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61E23EEB" w:rsidR="00560BC2" w:rsidRPr="0074622A" w:rsidRDefault="00ED2B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Urząd Dzielnicy Wilanów m.st. Warszawy</w:t>
            </w:r>
          </w:p>
          <w:p w14:paraId="188F7E8F" w14:textId="11907325" w:rsidR="00560BC2" w:rsidRDefault="00ED2B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Franciszka Klimczaka 2</w:t>
            </w:r>
          </w:p>
          <w:p w14:paraId="62FF7269" w14:textId="51AD161E" w:rsidR="00ED2B32" w:rsidRPr="0074622A" w:rsidRDefault="00ED2B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02-797 Warszawa</w:t>
            </w:r>
          </w:p>
          <w:p w14:paraId="56944402" w14:textId="572BE805" w:rsidR="00153A22" w:rsidRPr="0074622A" w:rsidRDefault="00ED2B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2B32">
              <w:rPr>
                <w:rFonts w:ascii="Times New Roman" w:hAnsi="Times New Roman"/>
                <w:b/>
                <w:sz w:val="20"/>
                <w:szCs w:val="20"/>
              </w:rPr>
              <w:t>01525964-00160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5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16"/>
        <w:gridCol w:w="326"/>
        <w:gridCol w:w="290"/>
        <w:gridCol w:w="316"/>
        <w:gridCol w:w="279"/>
        <w:gridCol w:w="316"/>
        <w:gridCol w:w="290"/>
        <w:gridCol w:w="278"/>
        <w:gridCol w:w="315"/>
        <w:gridCol w:w="278"/>
        <w:gridCol w:w="325"/>
        <w:gridCol w:w="325"/>
        <w:gridCol w:w="419"/>
        <w:gridCol w:w="325"/>
        <w:gridCol w:w="389"/>
        <w:gridCol w:w="270"/>
        <w:gridCol w:w="374"/>
        <w:gridCol w:w="315"/>
        <w:gridCol w:w="289"/>
        <w:gridCol w:w="302"/>
        <w:gridCol w:w="315"/>
        <w:gridCol w:w="315"/>
        <w:gridCol w:w="374"/>
        <w:gridCol w:w="315"/>
        <w:gridCol w:w="236"/>
        <w:gridCol w:w="236"/>
        <w:gridCol w:w="276"/>
        <w:gridCol w:w="276"/>
        <w:gridCol w:w="276"/>
        <w:gridCol w:w="276"/>
        <w:gridCol w:w="276"/>
        <w:gridCol w:w="276"/>
        <w:gridCol w:w="276"/>
        <w:gridCol w:w="266"/>
      </w:tblGrid>
      <w:tr w:rsidR="00E7124A" w:rsidRPr="0074622A" w14:paraId="363E7E78" w14:textId="77777777" w:rsidTr="00E7124A">
        <w:tc>
          <w:tcPr>
            <w:tcW w:w="142" w:type="pct"/>
          </w:tcPr>
          <w:p w14:paraId="73DBA040" w14:textId="2E38ED83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8" w:type="pct"/>
          </w:tcPr>
          <w:p w14:paraId="4B9FAF82" w14:textId="58FC92A1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53" w:type="pct"/>
          </w:tcPr>
          <w:p w14:paraId="481CFC99" w14:textId="16948CF6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36" w:type="pct"/>
          </w:tcPr>
          <w:p w14:paraId="1B13426A" w14:textId="5BF06D84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8" w:type="pct"/>
          </w:tcPr>
          <w:p w14:paraId="4CE7A543" w14:textId="31A64AFA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31" w:type="pct"/>
          </w:tcPr>
          <w:p w14:paraId="6DBBE37D" w14:textId="5397337C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8" w:type="pct"/>
          </w:tcPr>
          <w:p w14:paraId="5C131EAE" w14:textId="6A9EEDA4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6" w:type="pct"/>
          </w:tcPr>
          <w:p w14:paraId="648CE52E" w14:textId="6E0FA55C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31" w:type="pct"/>
          </w:tcPr>
          <w:p w14:paraId="0C410C1A" w14:textId="6947B321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8" w:type="pct"/>
          </w:tcPr>
          <w:p w14:paraId="3679F49F" w14:textId="7EAFEACD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1" w:type="pct"/>
          </w:tcPr>
          <w:p w14:paraId="7FAA53EC" w14:textId="3DCFB74E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3" w:type="pct"/>
          </w:tcPr>
          <w:p w14:paraId="44626E9C" w14:textId="64B7F67D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53" w:type="pct"/>
          </w:tcPr>
          <w:p w14:paraId="0F3A237A" w14:textId="0077FA5F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97" w:type="pct"/>
          </w:tcPr>
          <w:p w14:paraId="446FB9C4" w14:textId="15CCC3A4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53" w:type="pct"/>
          </w:tcPr>
          <w:p w14:paraId="0D3661C2" w14:textId="6B7A15BC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83" w:type="pct"/>
          </w:tcPr>
          <w:p w14:paraId="7A5102E0" w14:textId="45A0CA9D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" w:type="pct"/>
          </w:tcPr>
          <w:p w14:paraId="10E83C72" w14:textId="4489CE43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" w:type="pct"/>
          </w:tcPr>
          <w:p w14:paraId="386398A3" w14:textId="75BAC963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8" w:type="pct"/>
          </w:tcPr>
          <w:p w14:paraId="5FE37A08" w14:textId="19CCCE22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6" w:type="pct"/>
          </w:tcPr>
          <w:p w14:paraId="34CD766C" w14:textId="610CA8DE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2" w:type="pct"/>
          </w:tcPr>
          <w:p w14:paraId="4944EE31" w14:textId="3DB74788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8" w:type="pct"/>
          </w:tcPr>
          <w:p w14:paraId="7472A949" w14:textId="3B40020D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8" w:type="pct"/>
          </w:tcPr>
          <w:p w14:paraId="6DD54D67" w14:textId="219B77CE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" w:type="pct"/>
          </w:tcPr>
          <w:p w14:paraId="2B075A3C" w14:textId="644FCD76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8" w:type="pct"/>
          </w:tcPr>
          <w:p w14:paraId="541D8657" w14:textId="648A0779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11" w:type="pct"/>
          </w:tcPr>
          <w:p w14:paraId="0BB78995" w14:textId="43304DE1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" w:type="pct"/>
          </w:tcPr>
          <w:p w14:paraId="1B25C1AB" w14:textId="2F28955F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0" w:type="pct"/>
          </w:tcPr>
          <w:p w14:paraId="12837ADD" w14:textId="25F418B3" w:rsidR="00F84D18" w:rsidRPr="0074622A" w:rsidRDefault="00E7124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30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883B13A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E7124A">
              <w:rPr>
                <w:rFonts w:ascii="Times New Roman" w:hAnsi="Times New Roman"/>
                <w:sz w:val="21"/>
                <w:szCs w:val="21"/>
              </w:rPr>
              <w:t>: Mazowieckie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20111254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</w:t>
            </w:r>
            <w:r w:rsidR="00E7124A">
              <w:rPr>
                <w:rFonts w:ascii="Times New Roman" w:hAnsi="Times New Roman"/>
                <w:sz w:val="21"/>
                <w:szCs w:val="21"/>
              </w:rPr>
              <w:t>: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7124A">
              <w:rPr>
                <w:rFonts w:ascii="Times New Roman" w:hAnsi="Times New Roman"/>
                <w:sz w:val="21"/>
                <w:szCs w:val="21"/>
              </w:rPr>
              <w:t>Warszawa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6E8F1402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</w:t>
            </w:r>
            <w:r w:rsidR="00E7124A">
              <w:rPr>
                <w:rFonts w:ascii="Times New Roman" w:hAnsi="Times New Roman"/>
                <w:sz w:val="21"/>
                <w:szCs w:val="21"/>
              </w:rPr>
              <w:t>: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7124A">
              <w:rPr>
                <w:rFonts w:ascii="Times New Roman" w:hAnsi="Times New Roman"/>
                <w:sz w:val="21"/>
                <w:szCs w:val="21"/>
              </w:rPr>
              <w:t>Warszawa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47C412C" w14:textId="1DDCF6B3" w:rsidR="00F75240" w:rsidRPr="00F75240" w:rsidRDefault="00F7524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10ACC189" w14:textId="22A1CE83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16DE660" w14:textId="77777777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7BA60839" w14:textId="165FD9E8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BC0569" w14:textId="6B120292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  <w:p w14:paraId="273A944B" w14:textId="502BC9F7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0FBD3F0" w14:textId="77777777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  <w:p w14:paraId="35D877ED" w14:textId="40D4BB5A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F7FBCEF" w14:textId="77777777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20B53B83" w14:textId="37FE8C08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3CDD8D" w14:textId="77777777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  <w:p w14:paraId="4D85B2C5" w14:textId="727FFFA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300A001F" w:rsidR="0054585E" w:rsidRPr="0074622A" w:rsidRDefault="00F75240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21738D64" w:rsidR="0054585E" w:rsidRPr="0074622A" w:rsidRDefault="00F75240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55FE58E5" w:rsidR="0054585E" w:rsidRPr="0074622A" w:rsidRDefault="00F75240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423E3E6" w14:textId="77777777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29881F5A" w14:textId="19A52EF2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E754C95" w14:textId="15692F2D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77ACEAF8" w14:textId="2FEAD189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1023162" w14:textId="64DB01E2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1F2B34FD" w14:textId="5CEF3CF4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09351107" w14:textId="77777777" w:rsidR="00F75240" w:rsidRDefault="00F75240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CB2A67B" w14:textId="77777777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6224004A" w14:textId="53DAF33D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1BF836F7" w14:textId="6058DE08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  <w:p w14:paraId="32DEA438" w14:textId="1CA99FBE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6BAC190B" w:rsidR="00AE37D9" w:rsidRPr="0074622A" w:rsidRDefault="00F75240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5A1B56A8" w:rsidR="00AE37D9" w:rsidRPr="0074622A" w:rsidRDefault="00F752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37A87039" w:rsidR="00AE37D9" w:rsidRPr="0074622A" w:rsidRDefault="00F75240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7F1A58CA" w14:textId="77777777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384DE698" w14:textId="53E61585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C68C00" w14:textId="0E232F6C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5240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4A00BC95" w14:textId="30CD3066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215628C" w14:textId="674A9BEF" w:rsidR="00F75240" w:rsidRPr="00F75240" w:rsidRDefault="00F75240" w:rsidP="00F7524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  <w:p w14:paraId="55C9AD3C" w14:textId="62F8139D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F4539C2" w14:textId="77777777" w:rsidR="00F75240" w:rsidRDefault="00F75240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4106C" w14:textId="27880712" w:rsidR="00F75240" w:rsidRPr="0074622A" w:rsidRDefault="00F75240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Budynek nowoczesny, już na etapie oddania do użytkowania spełniał wszystkie współczesne wymogi dostępności architekto</w:t>
            </w:r>
            <w:r w:rsidR="00DE5538">
              <w:rPr>
                <w:rFonts w:ascii="Times New Roman" w:hAnsi="Times New Roman"/>
                <w:sz w:val="18"/>
                <w:szCs w:val="18"/>
              </w:rPr>
              <w:t xml:space="preserve">nicznej. Wejście z poziomu terenu, brak progów, parking podziemny, przed budynkiem miejsca parkingowe dla niepełnosprawnych. Dostęp do wszystkich kondygnacji i pomieszczeń dla osób niepełnosprawnych, plan </w:t>
            </w:r>
            <w:proofErr w:type="spellStart"/>
            <w:r w:rsidR="00DE5538">
              <w:rPr>
                <w:rFonts w:ascii="Times New Roman" w:hAnsi="Times New Roman"/>
                <w:sz w:val="18"/>
                <w:szCs w:val="18"/>
              </w:rPr>
              <w:t>tyflograficzny</w:t>
            </w:r>
            <w:proofErr w:type="spellEnd"/>
            <w:r w:rsidR="00DE5538">
              <w:rPr>
                <w:rFonts w:ascii="Times New Roman" w:hAnsi="Times New Roman"/>
                <w:sz w:val="18"/>
                <w:szCs w:val="18"/>
              </w:rPr>
              <w:t xml:space="preserve"> przy wejściu, komunikaty głosowe w windach, tabliczki z alfabetem Brajla na drzwiach pomieszczeń ogólnodostępnych.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981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781E6E">
        <w:trPr>
          <w:trHeight w:val="170"/>
        </w:trPr>
        <w:tc>
          <w:tcPr>
            <w:tcW w:w="1462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411"/>
            <w:bookmarkStart w:id="5" w:name="_Hlk156381352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783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5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24FA9DDE" w:rsidR="008E2696" w:rsidRPr="00DA5074" w:rsidRDefault="00DA5074" w:rsidP="00DA5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A5074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  <w:p w14:paraId="7D24AAA1" w14:textId="03335743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781E6E">
        <w:tc>
          <w:tcPr>
            <w:tcW w:w="146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3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03286D6D" w:rsidR="008E2696" w:rsidRPr="00DA5074" w:rsidRDefault="00DA5074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A5074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  <w:p w14:paraId="0CD6652B" w14:textId="32BE968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5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781E6E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538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781E6E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00D15AD9" w:rsidR="00460B99" w:rsidRPr="0074622A" w:rsidRDefault="00781E6E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E6E">
              <w:rPr>
                <w:rFonts w:ascii="Times New Roman" w:hAnsi="Times New Roman"/>
                <w:sz w:val="20"/>
                <w:szCs w:val="20"/>
              </w:rPr>
              <w:t>https://wilanow.um.warszawa.pl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0C3A1845" w:rsidR="00460B99" w:rsidRPr="0074622A" w:rsidRDefault="00781E6E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781E6E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15733960" w:rsidR="00781E6E" w:rsidRPr="0074622A" w:rsidRDefault="00781E6E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https://wilanow.pl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44C10F9D" w:rsidR="00460B99" w:rsidRPr="0074622A" w:rsidRDefault="00781E6E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81E6E" w:rsidRPr="0074622A" w14:paraId="2993FB93" w14:textId="77777777" w:rsidTr="00781E6E">
        <w:trPr>
          <w:trHeight w:val="182"/>
        </w:trPr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FCCA6" w14:textId="16927020" w:rsidR="00781E6E" w:rsidRPr="0074622A" w:rsidRDefault="00781E6E" w:rsidP="00781E6E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https://mrdw.wilanow.pl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AD791" w14:textId="6CC50075" w:rsidR="00781E6E" w:rsidRPr="0074622A" w:rsidRDefault="00781E6E" w:rsidP="00781E6E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CC41E" w14:textId="5CAF88B4" w:rsidR="00781E6E" w:rsidRPr="0074622A" w:rsidRDefault="00781E6E" w:rsidP="00781E6E">
            <w:pPr>
              <w:spacing w:after="0" w:line="211" w:lineRule="auto"/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CA90F" w14:textId="551C5980" w:rsidR="00781E6E" w:rsidRPr="0074622A" w:rsidRDefault="00781E6E" w:rsidP="00781E6E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E8F86" w14:textId="13ABBA46" w:rsidR="00781E6E" w:rsidRPr="0074622A" w:rsidRDefault="00781E6E" w:rsidP="00781E6E">
            <w:pPr>
              <w:spacing w:after="0" w:line="211" w:lineRule="auto"/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4D0E3" w14:textId="5FDDB906" w:rsidR="00781E6E" w:rsidRPr="0074622A" w:rsidRDefault="00781E6E" w:rsidP="00781E6E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E59B4" w14:textId="58100DAB" w:rsidR="00781E6E" w:rsidRPr="0074622A" w:rsidRDefault="00781E6E" w:rsidP="00781E6E">
            <w:pPr>
              <w:spacing w:after="0" w:line="211" w:lineRule="auto"/>
              <w:jc w:val="both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781E6E">
        <w:trPr>
          <w:trHeight w:val="182"/>
        </w:trPr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402B792A" w:rsidR="00460B99" w:rsidRPr="0074622A" w:rsidRDefault="00781E6E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https://bip.warszawa.pl/web/wilanow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33FA87A3" w:rsidR="00460B99" w:rsidRPr="0074622A" w:rsidRDefault="00781E6E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781E6E">
        <w:tc>
          <w:tcPr>
            <w:tcW w:w="1462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538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781E6E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781E6E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781E6E">
        <w:tc>
          <w:tcPr>
            <w:tcW w:w="1462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4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5D041DDE" w:rsidR="00DE4A0F" w:rsidRPr="0074622A" w:rsidRDefault="00DA507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081D9668" w:rsidR="009A09A3" w:rsidRPr="0074622A" w:rsidRDefault="00DA507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45D352AC" w:rsidR="009A09A3" w:rsidRPr="0074622A" w:rsidRDefault="00DA507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73D1080" w:rsidR="009A09A3" w:rsidRPr="0074622A" w:rsidRDefault="00DA507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17E5735A" w:rsidR="009A09A3" w:rsidRPr="0074622A" w:rsidRDefault="00DA507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5062BB03" w:rsidR="009A09A3" w:rsidRPr="0074622A" w:rsidRDefault="00DA507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712B50BF" w:rsidR="009A09A3" w:rsidRPr="0074622A" w:rsidRDefault="00DA5074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2C61006E" w:rsidR="006F6156" w:rsidRPr="0074622A" w:rsidRDefault="00DA5074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3790CE" w14:textId="77777777" w:rsidR="00DA5074" w:rsidRDefault="00200EC8" w:rsidP="00747517">
            <w:pPr>
              <w:spacing w:before="20" w:after="2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="00DA5074">
              <w:rPr>
                <w:rFonts w:ascii="MS Gothic" w:eastAsia="MS Gothic" w:hAnsi="MS Gothic"/>
                <w:sz w:val="24"/>
                <w:szCs w:val="24"/>
              </w:rPr>
              <w:t xml:space="preserve">x </w:t>
            </w:r>
          </w:p>
          <w:p w14:paraId="634E34E3" w14:textId="4DDBDDA4" w:rsidR="00200EC8" w:rsidRPr="00DA5074" w:rsidRDefault="00DA5074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 xml:space="preserve">          </w:t>
            </w:r>
            <w:r w:rsidRPr="00DA5074">
              <w:rPr>
                <w:rFonts w:ascii="MS Gothic" w:eastAsia="MS Gothic" w:hAnsi="MS Gothic"/>
                <w:sz w:val="20"/>
                <w:szCs w:val="20"/>
              </w:rPr>
              <w:t>3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3FD77F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5C00804D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DA507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088FB36E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DA507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43DF938D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DA507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390D3C34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>NIE</w:t>
            </w:r>
            <w:r w:rsidR="00ED2B32">
              <w:rPr>
                <w:rFonts w:ascii="Times New Roman" w:hAnsi="Times New Roman"/>
              </w:rPr>
              <w:t xml:space="preserve"> </w:t>
            </w:r>
            <w:r w:rsidR="00ED2B32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2F1C9786" w:rsidR="00F64545" w:rsidRPr="0074622A" w:rsidRDefault="00DA507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C27BBAE" w:rsidR="00F64545" w:rsidRPr="0074622A" w:rsidRDefault="00DA507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305D618A" w:rsidR="00F64545" w:rsidRPr="0074622A" w:rsidRDefault="00DA507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B59FA40" w:rsidR="00F64545" w:rsidRPr="0074622A" w:rsidRDefault="00DE5538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5346F85" w:rsidR="00695809" w:rsidRPr="0074622A" w:rsidRDefault="00DE5538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bookmarkStart w:id="10" w:name="_Hlk184648810"/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6D8244F7" w:rsidR="009865CC" w:rsidRPr="0074622A" w:rsidRDefault="00DE5538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047E1" w14:textId="44B6B8BF" w:rsidR="000F3625" w:rsidRPr="006E2BD7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obejmujących równocześnie dostępność architektoniczną </w:t>
            </w:r>
          </w:p>
          <w:p w14:paraId="108A4757" w14:textId="26E559BC" w:rsidR="00D2135A" w:rsidRPr="0074622A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>i informacyjno-komunikacyjną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40F864E1" w:rsidR="00686EDA" w:rsidRPr="0074622A" w:rsidRDefault="002C2EE0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>obejmujących równocześnie dostępność architektoniczną i informacyjno-komunikacyjną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89B52BA" w:rsidR="00686EDA" w:rsidRPr="0074622A" w:rsidRDefault="00E7124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5E17C179" w:rsidR="00686EDA" w:rsidRPr="0074622A" w:rsidRDefault="00E7124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4E43DB10" w14:textId="77777777" w:rsidR="00FF3ED3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455EA76" w14:textId="09B243E9" w:rsidR="00E7124A" w:rsidRPr="00E7124A" w:rsidRDefault="00E7124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24A">
              <w:rPr>
                <w:rFonts w:ascii="Times New Roman" w:hAnsi="Times New Roman"/>
                <w:sz w:val="20"/>
                <w:szCs w:val="20"/>
              </w:rPr>
              <w:t xml:space="preserve">                      22 443 50 25</w:t>
            </w:r>
          </w:p>
          <w:p w14:paraId="229619E2" w14:textId="77777777" w:rsidR="00E7124A" w:rsidRPr="0074622A" w:rsidRDefault="00E7124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62054079" w14:textId="77777777" w:rsidR="00FF3ED3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6E53D93" w14:textId="21434EF6" w:rsidR="00E7124A" w:rsidRPr="00E7124A" w:rsidRDefault="00E7124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24A">
              <w:rPr>
                <w:rFonts w:ascii="Times New Roman" w:hAnsi="Times New Roman"/>
                <w:sz w:val="20"/>
                <w:szCs w:val="20"/>
              </w:rPr>
              <w:t xml:space="preserve">            Warszawa, 10.04.2025 r.</w:t>
            </w:r>
          </w:p>
          <w:p w14:paraId="060A349C" w14:textId="77777777" w:rsidR="00E7124A" w:rsidRPr="0074622A" w:rsidRDefault="00E7124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9"/>
        <w:gridCol w:w="375"/>
        <w:gridCol w:w="293"/>
        <w:gridCol w:w="326"/>
        <w:gridCol w:w="326"/>
        <w:gridCol w:w="326"/>
        <w:gridCol w:w="375"/>
        <w:gridCol w:w="283"/>
        <w:gridCol w:w="314"/>
        <w:gridCol w:w="314"/>
        <w:gridCol w:w="419"/>
        <w:gridCol w:w="326"/>
        <w:gridCol w:w="388"/>
        <w:gridCol w:w="277"/>
        <w:gridCol w:w="375"/>
        <w:gridCol w:w="314"/>
        <w:gridCol w:w="293"/>
        <w:gridCol w:w="303"/>
        <w:gridCol w:w="314"/>
        <w:gridCol w:w="314"/>
        <w:gridCol w:w="424"/>
        <w:gridCol w:w="314"/>
        <w:gridCol w:w="276"/>
        <w:gridCol w:w="388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3"/>
        <w:gridCol w:w="233"/>
      </w:tblGrid>
      <w:tr w:rsidR="00E7124A" w:rsidRPr="0074622A" w14:paraId="444B9B2D" w14:textId="77777777" w:rsidTr="009C1674">
        <w:tc>
          <w:tcPr>
            <w:tcW w:w="238" w:type="dxa"/>
          </w:tcPr>
          <w:p w14:paraId="072FC8DC" w14:textId="47266505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4F394F0D" w14:textId="26FE4F14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1" w:type="dxa"/>
          </w:tcPr>
          <w:p w14:paraId="649A893A" w14:textId="052C7914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178F584E" w14:textId="162D9A55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713B60D4" w14:textId="6E866CD8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0DFEA393" w14:textId="360A7CA0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7CD5E9EF" w14:textId="4B5BDE2A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1" w:type="dxa"/>
          </w:tcPr>
          <w:p w14:paraId="357C641F" w14:textId="1E66DB82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0019BB21" w14:textId="6AFFD36E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1" w:type="dxa"/>
          </w:tcPr>
          <w:p w14:paraId="762C8780" w14:textId="735F0E8E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25572147" w14:textId="20BE577F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1AA477F0" w14:textId="602DDE2C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11" w:type="dxa"/>
          </w:tcPr>
          <w:p w14:paraId="3299EF2E" w14:textId="5AB118A6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56798C01" w14:textId="570B80E7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0FFCE978" w14:textId="6F5D0DA2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1" w:type="dxa"/>
          </w:tcPr>
          <w:p w14:paraId="749551AB" w14:textId="5FE0F962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1F6B0C5A" w14:textId="54CC166B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68C59CA7" w14:textId="3484DD57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0017A935" w14:textId="682C1D9B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26C3175E" w14:textId="7F78BCB0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644512" w14:textId="392D35A6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1" w:type="dxa"/>
          </w:tcPr>
          <w:p w14:paraId="12BA9570" w14:textId="558F7CF5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0" w:type="dxa"/>
          </w:tcPr>
          <w:p w14:paraId="1B03B19F" w14:textId="7CB9B0FF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77C1E29F" w14:textId="69816F21" w:rsidR="009C1674" w:rsidRPr="0074622A" w:rsidRDefault="00E7124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</w:t>
            </w:r>
            <w:proofErr w:type="spellEnd"/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BC50" w14:textId="77777777" w:rsidR="00ED33F1" w:rsidRDefault="00ED33F1" w:rsidP="005840AE">
      <w:pPr>
        <w:spacing w:after="0" w:line="240" w:lineRule="auto"/>
      </w:pPr>
      <w:r>
        <w:separator/>
      </w:r>
    </w:p>
  </w:endnote>
  <w:endnote w:type="continuationSeparator" w:id="0">
    <w:p w14:paraId="192162FF" w14:textId="77777777" w:rsidR="00ED33F1" w:rsidRDefault="00ED33F1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161F" w14:textId="77777777" w:rsidR="00ED33F1" w:rsidRDefault="00ED33F1" w:rsidP="005840AE">
      <w:pPr>
        <w:spacing w:after="0" w:line="240" w:lineRule="auto"/>
      </w:pPr>
      <w:r>
        <w:separator/>
      </w:r>
    </w:p>
  </w:footnote>
  <w:footnote w:type="continuationSeparator" w:id="0">
    <w:p w14:paraId="6F459025" w14:textId="77777777" w:rsidR="00ED33F1" w:rsidRDefault="00ED33F1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065516">
    <w:abstractNumId w:val="1"/>
  </w:num>
  <w:num w:numId="2" w16cid:durableId="1813327752">
    <w:abstractNumId w:val="34"/>
  </w:num>
  <w:num w:numId="3" w16cid:durableId="1209804100">
    <w:abstractNumId w:val="4"/>
  </w:num>
  <w:num w:numId="4" w16cid:durableId="792402265">
    <w:abstractNumId w:val="17"/>
  </w:num>
  <w:num w:numId="5" w16cid:durableId="2120879224">
    <w:abstractNumId w:val="9"/>
  </w:num>
  <w:num w:numId="6" w16cid:durableId="1044254484">
    <w:abstractNumId w:val="29"/>
  </w:num>
  <w:num w:numId="7" w16cid:durableId="1151140983">
    <w:abstractNumId w:val="19"/>
  </w:num>
  <w:num w:numId="8" w16cid:durableId="1765177732">
    <w:abstractNumId w:val="37"/>
  </w:num>
  <w:num w:numId="9" w16cid:durableId="1834030192">
    <w:abstractNumId w:val="7"/>
  </w:num>
  <w:num w:numId="10" w16cid:durableId="2109498566">
    <w:abstractNumId w:val="40"/>
  </w:num>
  <w:num w:numId="11" w16cid:durableId="1923829030">
    <w:abstractNumId w:val="15"/>
  </w:num>
  <w:num w:numId="12" w16cid:durableId="879321951">
    <w:abstractNumId w:val="20"/>
  </w:num>
  <w:num w:numId="13" w16cid:durableId="772480907">
    <w:abstractNumId w:val="44"/>
  </w:num>
  <w:num w:numId="14" w16cid:durableId="1825004592">
    <w:abstractNumId w:val="16"/>
  </w:num>
  <w:num w:numId="15" w16cid:durableId="2174324">
    <w:abstractNumId w:val="21"/>
  </w:num>
  <w:num w:numId="16" w16cid:durableId="781654272">
    <w:abstractNumId w:val="38"/>
  </w:num>
  <w:num w:numId="17" w16cid:durableId="1347755391">
    <w:abstractNumId w:val="12"/>
  </w:num>
  <w:num w:numId="18" w16cid:durableId="681668818">
    <w:abstractNumId w:val="18"/>
  </w:num>
  <w:num w:numId="19" w16cid:durableId="1711106579">
    <w:abstractNumId w:val="41"/>
  </w:num>
  <w:num w:numId="20" w16cid:durableId="63921565">
    <w:abstractNumId w:val="24"/>
  </w:num>
  <w:num w:numId="21" w16cid:durableId="597444343">
    <w:abstractNumId w:val="10"/>
  </w:num>
  <w:num w:numId="22" w16cid:durableId="829565640">
    <w:abstractNumId w:val="11"/>
  </w:num>
  <w:num w:numId="23" w16cid:durableId="1505389648">
    <w:abstractNumId w:val="0"/>
  </w:num>
  <w:num w:numId="24" w16cid:durableId="498472655">
    <w:abstractNumId w:val="5"/>
  </w:num>
  <w:num w:numId="25" w16cid:durableId="862984907">
    <w:abstractNumId w:val="25"/>
  </w:num>
  <w:num w:numId="26" w16cid:durableId="483818733">
    <w:abstractNumId w:val="32"/>
  </w:num>
  <w:num w:numId="27" w16cid:durableId="1135828988">
    <w:abstractNumId w:val="43"/>
  </w:num>
  <w:num w:numId="28" w16cid:durableId="563176050">
    <w:abstractNumId w:val="3"/>
  </w:num>
  <w:num w:numId="29" w16cid:durableId="1477575811">
    <w:abstractNumId w:val="28"/>
  </w:num>
  <w:num w:numId="30" w16cid:durableId="1189903463">
    <w:abstractNumId w:val="30"/>
  </w:num>
  <w:num w:numId="31" w16cid:durableId="1366831499">
    <w:abstractNumId w:val="22"/>
  </w:num>
  <w:num w:numId="32" w16cid:durableId="914164218">
    <w:abstractNumId w:val="33"/>
  </w:num>
  <w:num w:numId="33" w16cid:durableId="1084228078">
    <w:abstractNumId w:val="6"/>
  </w:num>
  <w:num w:numId="34" w16cid:durableId="1100874326">
    <w:abstractNumId w:val="13"/>
  </w:num>
  <w:num w:numId="35" w16cid:durableId="142280640">
    <w:abstractNumId w:val="42"/>
  </w:num>
  <w:num w:numId="36" w16cid:durableId="2010329660">
    <w:abstractNumId w:val="36"/>
  </w:num>
  <w:num w:numId="37" w16cid:durableId="1633251307">
    <w:abstractNumId w:val="27"/>
  </w:num>
  <w:num w:numId="38" w16cid:durableId="840047770">
    <w:abstractNumId w:val="26"/>
  </w:num>
  <w:num w:numId="39" w16cid:durableId="836653936">
    <w:abstractNumId w:val="14"/>
  </w:num>
  <w:num w:numId="40" w16cid:durableId="1083650794">
    <w:abstractNumId w:val="2"/>
  </w:num>
  <w:num w:numId="41" w16cid:durableId="52240411">
    <w:abstractNumId w:val="35"/>
  </w:num>
  <w:num w:numId="42" w16cid:durableId="1274938682">
    <w:abstractNumId w:val="8"/>
  </w:num>
  <w:num w:numId="43" w16cid:durableId="1497916553">
    <w:abstractNumId w:val="31"/>
  </w:num>
  <w:num w:numId="44" w16cid:durableId="707531051">
    <w:abstractNumId w:val="39"/>
  </w:num>
  <w:num w:numId="45" w16cid:durableId="10126078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208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625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2AEB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2EE0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B0B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2AB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25DD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6763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BD7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1E6E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3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2AF7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377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442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5074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538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124A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B32"/>
    <w:rsid w:val="00ED2D65"/>
    <w:rsid w:val="00ED33F1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40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6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Props1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6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6308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Wyszyński Piotr</cp:lastModifiedBy>
  <cp:revision>2</cp:revision>
  <cp:lastPrinted>2024-05-20T08:37:00Z</cp:lastPrinted>
  <dcterms:created xsi:type="dcterms:W3CDTF">2025-04-10T11:05:00Z</dcterms:created>
  <dcterms:modified xsi:type="dcterms:W3CDTF">2025-04-10T11:05:00Z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