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E0F" w:rsidRPr="00306910" w:rsidRDefault="00306910" w:rsidP="001F7C58">
      <w:pPr>
        <w:pStyle w:val="Bodytext30"/>
        <w:shd w:val="clear" w:color="auto" w:fill="auto"/>
        <w:spacing w:before="120" w:after="240" w:line="300" w:lineRule="auto"/>
        <w:ind w:left="5664"/>
        <w:rPr>
          <w:rFonts w:asciiTheme="minorHAnsi" w:hAnsiTheme="minorHAnsi" w:cstheme="minorHAnsi"/>
          <w:b w:val="0"/>
          <w:sz w:val="22"/>
          <w:szCs w:val="22"/>
        </w:rPr>
      </w:pPr>
      <w:r w:rsidRPr="00306910">
        <w:rPr>
          <w:rFonts w:asciiTheme="minorHAnsi" w:hAnsiTheme="minorHAnsi" w:cstheme="minorHAnsi"/>
          <w:b w:val="0"/>
          <w:sz w:val="22"/>
          <w:szCs w:val="22"/>
        </w:rPr>
        <w:t>Warszawa, 4 lipca 2023 r.</w:t>
      </w:r>
    </w:p>
    <w:p w:rsidR="009F3E0F" w:rsidRPr="00306910" w:rsidRDefault="00306910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b/>
          <w:sz w:val="22"/>
          <w:szCs w:val="22"/>
        </w:rPr>
        <w:t>Znak sprawy:</w:t>
      </w:r>
      <w:r>
        <w:t xml:space="preserve"> </w:t>
      </w:r>
      <w:r w:rsidR="009F3E0F" w:rsidRPr="00306910">
        <w:rPr>
          <w:rFonts w:asciiTheme="minorHAnsi" w:hAnsiTheme="minorHAnsi" w:cstheme="minorHAnsi"/>
          <w:sz w:val="22"/>
          <w:szCs w:val="22"/>
        </w:rPr>
        <w:t>KW-WP.1712.26.2022.JMA</w:t>
      </w:r>
    </w:p>
    <w:p w:rsidR="00FE7768" w:rsidRPr="00306910" w:rsidRDefault="00916DA9" w:rsidP="00306910">
      <w:pPr>
        <w:pStyle w:val="Bodytext20"/>
        <w:shd w:val="clear" w:color="auto" w:fill="auto"/>
        <w:spacing w:before="240" w:after="680" w:line="300" w:lineRule="auto"/>
        <w:ind w:left="4760" w:firstLine="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306910">
        <w:rPr>
          <w:rFonts w:asciiTheme="minorHAnsi" w:hAnsiTheme="minorHAnsi" w:cstheme="minorHAnsi"/>
          <w:b/>
          <w:sz w:val="22"/>
          <w:szCs w:val="22"/>
        </w:rPr>
        <w:t>Pan</w:t>
      </w:r>
    </w:p>
    <w:p w:rsidR="00FE7768" w:rsidRPr="00306910" w:rsidRDefault="00916DA9" w:rsidP="00306910">
      <w:pPr>
        <w:pStyle w:val="Bodytext20"/>
        <w:shd w:val="clear" w:color="auto" w:fill="auto"/>
        <w:spacing w:before="240" w:after="680" w:line="300" w:lineRule="auto"/>
        <w:ind w:left="4760" w:right="2240" w:firstLine="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306910">
        <w:rPr>
          <w:rFonts w:asciiTheme="minorHAnsi" w:hAnsiTheme="minorHAnsi" w:cstheme="minorHAnsi"/>
          <w:b/>
          <w:sz w:val="22"/>
          <w:szCs w:val="22"/>
        </w:rPr>
        <w:t>Jarosław Węgrzyn Dyrektor</w:t>
      </w:r>
    </w:p>
    <w:p w:rsidR="00536E47" w:rsidRPr="00306910" w:rsidRDefault="00916DA9" w:rsidP="00306910">
      <w:pPr>
        <w:pStyle w:val="Bodytext20"/>
        <w:shd w:val="clear" w:color="auto" w:fill="auto"/>
        <w:spacing w:before="240" w:after="680" w:line="300" w:lineRule="auto"/>
        <w:ind w:left="4763" w:right="522" w:firstLine="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306910">
        <w:rPr>
          <w:rFonts w:asciiTheme="minorHAnsi" w:hAnsiTheme="minorHAnsi" w:cstheme="minorHAnsi"/>
          <w:b/>
          <w:sz w:val="22"/>
          <w:szCs w:val="22"/>
        </w:rPr>
        <w:t xml:space="preserve">Biuro Mienia Miasta i Skarbu Państwa </w:t>
      </w:r>
    </w:p>
    <w:p w:rsidR="00536E47" w:rsidRPr="00306910" w:rsidRDefault="00916DA9" w:rsidP="00306910">
      <w:pPr>
        <w:pStyle w:val="Bodytext20"/>
        <w:shd w:val="clear" w:color="auto" w:fill="auto"/>
        <w:spacing w:before="240" w:after="680" w:line="300" w:lineRule="auto"/>
        <w:ind w:left="4763" w:right="522" w:firstLine="0"/>
        <w:contextualSpacing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306910">
        <w:rPr>
          <w:rFonts w:asciiTheme="minorHAnsi" w:hAnsiTheme="minorHAnsi" w:cstheme="minorHAnsi"/>
          <w:b/>
          <w:sz w:val="22"/>
          <w:szCs w:val="22"/>
          <w:lang w:val="de-DE" w:eastAsia="de-DE" w:bidi="de-DE"/>
        </w:rPr>
        <w:t>u</w:t>
      </w:r>
      <w:r w:rsidR="00306910" w:rsidRPr="00306910">
        <w:rPr>
          <w:rFonts w:asciiTheme="minorHAnsi" w:hAnsiTheme="minorHAnsi" w:cstheme="minorHAnsi"/>
          <w:b/>
          <w:sz w:val="22"/>
          <w:szCs w:val="22"/>
          <w:lang w:val="de-DE" w:eastAsia="de-DE" w:bidi="de-DE"/>
        </w:rPr>
        <w:t>l</w:t>
      </w:r>
      <w:proofErr w:type="spellEnd"/>
      <w:r w:rsidRPr="00306910">
        <w:rPr>
          <w:rFonts w:asciiTheme="minorHAnsi" w:hAnsiTheme="minorHAnsi" w:cstheme="minorHAnsi"/>
          <w:b/>
          <w:sz w:val="22"/>
          <w:szCs w:val="22"/>
          <w:lang w:val="de-DE" w:eastAsia="de-DE" w:bidi="de-DE"/>
        </w:rPr>
        <w:t xml:space="preserve">. </w:t>
      </w:r>
      <w:r w:rsidRPr="00306910">
        <w:rPr>
          <w:rFonts w:asciiTheme="minorHAnsi" w:hAnsiTheme="minorHAnsi" w:cstheme="minorHAnsi"/>
          <w:b/>
          <w:sz w:val="22"/>
          <w:szCs w:val="22"/>
        </w:rPr>
        <w:t xml:space="preserve">T. Chałubińskiego 8 </w:t>
      </w:r>
    </w:p>
    <w:p w:rsidR="00FE7768" w:rsidRPr="00306910" w:rsidRDefault="00536E47" w:rsidP="00306910">
      <w:pPr>
        <w:pStyle w:val="Bodytext20"/>
        <w:shd w:val="clear" w:color="auto" w:fill="auto"/>
        <w:spacing w:before="240" w:after="680" w:line="300" w:lineRule="auto"/>
        <w:ind w:left="4760" w:right="520" w:firstLine="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306910">
        <w:rPr>
          <w:rFonts w:asciiTheme="minorHAnsi" w:hAnsiTheme="minorHAnsi" w:cstheme="minorHAnsi"/>
          <w:b/>
          <w:sz w:val="22"/>
          <w:szCs w:val="22"/>
        </w:rPr>
        <w:t>00-</w:t>
      </w:r>
      <w:r w:rsidR="00916DA9" w:rsidRPr="00306910">
        <w:rPr>
          <w:rFonts w:asciiTheme="minorHAnsi" w:hAnsiTheme="minorHAnsi" w:cstheme="minorHAnsi"/>
          <w:b/>
          <w:sz w:val="22"/>
          <w:szCs w:val="22"/>
        </w:rPr>
        <w:t>613 Warszawa</w:t>
      </w:r>
    </w:p>
    <w:p w:rsidR="00FE7768" w:rsidRDefault="00916DA9" w:rsidP="00306910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06910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306910" w:rsidRPr="00306910" w:rsidRDefault="00306910" w:rsidP="00306910"/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30691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312/2.007 </w:t>
      </w:r>
      <w:r w:rsidRPr="00306910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z późn. zm. (zwanego dalej: Regulaminem organizacyjnym), w związku z kontrolą przeprowadzoną przez Biuro Kontroli Urzędu m.st. Warszawy w Biurze Mienia Miasta i </w:t>
      </w:r>
      <w:r w:rsidR="00A85B32" w:rsidRPr="00306910">
        <w:rPr>
          <w:rFonts w:asciiTheme="minorHAnsi" w:hAnsiTheme="minorHAnsi" w:cstheme="minorHAnsi"/>
          <w:sz w:val="22"/>
          <w:szCs w:val="22"/>
        </w:rPr>
        <w:t>Skarbu</w:t>
      </w:r>
      <w:r w:rsidRPr="00306910">
        <w:rPr>
          <w:rFonts w:asciiTheme="minorHAnsi" w:hAnsiTheme="minorHAnsi" w:cstheme="minorHAnsi"/>
          <w:sz w:val="22"/>
          <w:szCs w:val="22"/>
        </w:rPr>
        <w:t xml:space="preserve"> Państwa Urzędu m.st. Warszawy w okresie od 26.04,2022. r. do 2.7.05.2022 r. w zakresie prawidłowości wydawania w 2021 r. zezwoleń na wyłączenie z produkcji użytków rolnych, której wyniki zostały przedstawione w protokole kontroli podpisanym 25 lipca 2022 r., stosownie do § 39 ust. 1 i </w:t>
      </w:r>
      <w:r w:rsidRPr="00306910">
        <w:rPr>
          <w:rStyle w:val="Bodytext2Italic"/>
          <w:rFonts w:asciiTheme="minorHAnsi" w:hAnsiTheme="minorHAnsi" w:cstheme="minorHAnsi"/>
          <w:sz w:val="22"/>
          <w:szCs w:val="22"/>
        </w:rPr>
        <w:t>2</w:t>
      </w:r>
      <w:r w:rsidRPr="00306910">
        <w:rPr>
          <w:rFonts w:asciiTheme="minorHAnsi" w:hAnsiTheme="minorHAnsi" w:cstheme="minorHAnsi"/>
          <w:sz w:val="22"/>
          <w:szCs w:val="22"/>
        </w:rPr>
        <w:t xml:space="preserve"> Zarządzenia nr </w:t>
      </w:r>
      <w:r w:rsidRPr="0030691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306910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Panu niniejsze Wystąpienie pokontrolne, częściowo uwzględniające złożone zastrzeżenia do projektu wystąpienia pokontrolnego.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W 2021 </w:t>
      </w:r>
      <w:r w:rsidRPr="0030691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г. </w:t>
      </w:r>
      <w:r w:rsidRPr="00306910">
        <w:rPr>
          <w:rFonts w:asciiTheme="minorHAnsi" w:hAnsiTheme="minorHAnsi" w:cstheme="minorHAnsi"/>
          <w:sz w:val="22"/>
          <w:szCs w:val="22"/>
        </w:rPr>
        <w:t>w Biurze Mienia Miasta i Skarbu Państwa (dalej: Biuro Mienia) wydano 258 zezwoleń na wyłączenie gruntu z produkcji rolniczej.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Kontrolą objęto prawidłowość wydania 20 decyzji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306910">
        <w:rPr>
          <w:rFonts w:asciiTheme="minorHAnsi" w:hAnsiTheme="minorHAnsi" w:cstheme="minorHAnsi"/>
          <w:sz w:val="22"/>
          <w:szCs w:val="22"/>
        </w:rPr>
        <w:t xml:space="preserve"> zezwalających na wyłączenie z produkcji rolniczej gruntów o łącznej powierzchni 2,1455 ha.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Sprawdzenie ww. decyzji i poprzedzających ich wydanie postępowań wykazało m.in. szereg powtarzających się nieprawidłowości i uchybień. W obszarze kontrolowanym sformułowano następujące uwagi i oceny: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Zadania objęte kontrolą w 2021 r. realizowane były przez pracowników Działu Gospodarowania Mieniem Skarbu Państwa w Wydziale Mienia Skarbu Państwa pomimo, że zgodnie z §17 pkt 8 </w:t>
      </w:r>
      <w:r w:rsidRPr="00306910">
        <w:rPr>
          <w:rFonts w:asciiTheme="minorHAnsi" w:hAnsiTheme="minorHAnsi" w:cstheme="minorHAnsi"/>
          <w:sz w:val="22"/>
          <w:szCs w:val="22"/>
        </w:rPr>
        <w:lastRenderedPageBreak/>
        <w:t>Regulaminu organizacyjnego Biura Mienia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306910">
        <w:rPr>
          <w:rFonts w:asciiTheme="minorHAnsi" w:hAnsiTheme="minorHAnsi" w:cstheme="minorHAnsi"/>
          <w:sz w:val="22"/>
          <w:szCs w:val="22"/>
        </w:rPr>
        <w:t>, ww. zadania zostały przypisane Działowi Regulacji Stanów Prawnych Mienia Skarbu Państwa w Wydziale Mienia Skarbu Państwa. Jednocześnie sprawy związane z wyłączeniem gruntów z produkcji rolniczej prowadzone były na znakach spraw dwóch różnych komórek organizacyjnych (dwóch różnych działów wskazanych powyżej)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306910">
        <w:rPr>
          <w:rFonts w:asciiTheme="minorHAnsi" w:hAnsiTheme="minorHAnsi" w:cstheme="minorHAnsi"/>
          <w:sz w:val="22"/>
          <w:szCs w:val="22"/>
        </w:rPr>
        <w:t>, co było niezgodne z § 5 ust. 5 Załącznika nr 1 do rozporządzenia Prezesa Rady Ministrów z 18.01.2011 r.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306910">
        <w:rPr>
          <w:rFonts w:asciiTheme="minorHAnsi" w:hAnsiTheme="minorHAnsi" w:cstheme="minorHAnsi"/>
          <w:sz w:val="22"/>
          <w:szCs w:val="22"/>
        </w:rPr>
        <w:t xml:space="preserve"> wskazującego, iż oznaczenie komórki organizacyjnej, stanowiące element znaku sprawy, może być przyporządkowane w jednym roku kalendarzowym tylko do jednej komórki organizacyjnej, niezależnie od zmian organizacyjnych w podmiocie.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Co prawda, </w:t>
      </w:r>
      <w:r w:rsidRPr="0030691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р. </w:t>
      </w:r>
      <w:r w:rsidR="00285A46">
        <w:rPr>
          <w:rFonts w:asciiTheme="minorHAnsi" w:hAnsiTheme="minorHAnsi" w:cstheme="minorHAnsi"/>
          <w:sz w:val="22"/>
          <w:szCs w:val="22"/>
        </w:rPr>
        <w:t>Grz</w:t>
      </w:r>
      <w:r w:rsidRPr="00306910">
        <w:rPr>
          <w:rFonts w:asciiTheme="minorHAnsi" w:hAnsiTheme="minorHAnsi" w:cstheme="minorHAnsi"/>
          <w:sz w:val="22"/>
          <w:szCs w:val="22"/>
        </w:rPr>
        <w:t xml:space="preserve">egorz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Gadecki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p.o. Zastępcy Dyrektora Biura Mienia wyjaśnił, iż powodem były zmiany organizacyjne, a pracownicy rozpatrujący wnioski o wyłączenie gruntów z produkcji posiadali ww. zadania w zakresach obowiązków, jednakże powyższe naruszało standard A 3 kontroli zarządczej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306910">
        <w:rPr>
          <w:rFonts w:asciiTheme="minorHAnsi" w:hAnsiTheme="minorHAnsi" w:cstheme="minorHAnsi"/>
          <w:sz w:val="22"/>
          <w:szCs w:val="22"/>
        </w:rPr>
        <w:t>, stanowiący iż struktura organizacyjna jednostki powinna hyc dostosowana do aktualnych celów i zadań, a zakres zadań, uprawnień i odpowiedzialności poszczególnych komórek organizacyjnych powinien być określony w formie pisemnej w sposób przejrzysty i spójny.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We wszystkich 20 skontrolowanych decyzjach nie nałożono na wnioskodawców obowiązku uiszczania należności z uwagi na zastosowanie przez organ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12a ustawy z dnia 3 lutego 1995 r. o ochronie gruntów rolnych i leśnych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306910">
        <w:rPr>
          <w:rFonts w:asciiTheme="minorHAnsi" w:hAnsiTheme="minorHAnsi" w:cstheme="minorHAnsi"/>
          <w:sz w:val="22"/>
          <w:szCs w:val="22"/>
        </w:rPr>
        <w:t xml:space="preserve"> (dalej: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.)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wyłączenia gruntów z produkcji rolniczej na cele budownictwa mieszkaniowego bądź z uwagi na fakt, iż ustalona wartość rynkowa gruntu przewyższała wartość należności poprzez zastosowanie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12 ust. 6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W 16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306910">
        <w:rPr>
          <w:rFonts w:asciiTheme="minorHAnsi" w:hAnsiTheme="minorHAnsi" w:cstheme="minorHAnsi"/>
          <w:sz w:val="22"/>
          <w:szCs w:val="22"/>
        </w:rPr>
        <w:t>z 20 decyzji nałożono, natomiast, obowiązek uiszczania opłat rocznych.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Akta skontrolowanych postępowań nie zawierały informacji o dniu faktycznego wyłączenia </w:t>
      </w:r>
      <w:r w:rsidRPr="00306910">
        <w:rPr>
          <w:rFonts w:asciiTheme="minorHAnsi" w:hAnsiTheme="minorHAnsi" w:cstheme="minorHAnsi"/>
          <w:sz w:val="22"/>
          <w:szCs w:val="22"/>
        </w:rPr>
        <w:lastRenderedPageBreak/>
        <w:t>gruntu z produkcji rolniczej, a początek terminu uiszczania opłat rocznych ustalano w oparciu o deklarowaną przez stronę we wniosku planowaną datę rozpoczęcia budowy.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Na podstawie skontrolowanej dokumentacji nie da się jednoznaczne wywieść, czy deklarowana przez stronę data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306910">
        <w:rPr>
          <w:rFonts w:asciiTheme="minorHAnsi" w:hAnsiTheme="minorHAnsi" w:cstheme="minorHAnsi"/>
          <w:sz w:val="22"/>
          <w:szCs w:val="22"/>
        </w:rPr>
        <w:t xml:space="preserve"> była rzeczywiście „dniem faktycznego wyłączenia gruntów z produkcji", o którym mowa w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12 ust. 1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 Ponadto, w 10 przypadkach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306910">
        <w:rPr>
          <w:rFonts w:asciiTheme="minorHAnsi" w:hAnsiTheme="minorHAnsi" w:cstheme="minorHAnsi"/>
          <w:sz w:val="22"/>
          <w:szCs w:val="22"/>
        </w:rPr>
        <w:t xml:space="preserve"> decyzje zezwalające na wyłączenie gruntów z produkcji rolniczej zostały wydano po upływie zadeklarowanego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tei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minu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rozpoczęcia budowy przez wnioskodawców“.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Co prawda, Pan Grzegorz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Gadecki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p.o. Zastępcy Dyrektora wyjaśnił, iż nie ma możliwości weryfikacji każdorazowego faktycznego wyłączenia z produkcji rolniczej z uwagi m.in. na braki kadrowe, niemniej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left="140"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bez </w:t>
      </w:r>
      <w:proofErr w:type="spellStart"/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>vw</w:t>
      </w:r>
      <w:proofErr w:type="spellEnd"/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. </w:t>
      </w:r>
      <w:r w:rsidRPr="00306910">
        <w:rPr>
          <w:rFonts w:asciiTheme="minorHAnsi" w:hAnsiTheme="minorHAnsi" w:cstheme="minorHAnsi"/>
          <w:sz w:val="22"/>
          <w:szCs w:val="22"/>
        </w:rPr>
        <w:t xml:space="preserve">informacji nie można ocenić,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ay </w:t>
      </w:r>
      <w:r w:rsidRPr="00306910">
        <w:rPr>
          <w:rFonts w:asciiTheme="minorHAnsi" w:hAnsiTheme="minorHAnsi" w:cstheme="minorHAnsi"/>
          <w:sz w:val="22"/>
          <w:szCs w:val="22"/>
        </w:rPr>
        <w:t xml:space="preserve">organ prawidłowo ustalał datę powstania obowiązku uiszczania opłat rocznych, o którym mowa w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12 ust. 1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left="140"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12a pkt 1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 stanowi, iż obowiązek uiszczenia należności i opiąć rocznych nie dotyczy wyłą</w:t>
      </w:r>
      <w:r w:rsidR="002E7C65">
        <w:rPr>
          <w:rFonts w:asciiTheme="minorHAnsi" w:hAnsiTheme="minorHAnsi" w:cstheme="minorHAnsi"/>
          <w:sz w:val="22"/>
          <w:szCs w:val="22"/>
        </w:rPr>
        <w:t>cz</w:t>
      </w:r>
      <w:r w:rsidRPr="00306910">
        <w:rPr>
          <w:rFonts w:asciiTheme="minorHAnsi" w:hAnsiTheme="minorHAnsi" w:cstheme="minorHAnsi"/>
          <w:sz w:val="22"/>
          <w:szCs w:val="22"/>
        </w:rPr>
        <w:t>enia gruntów z produkcji rolniczej lub leśnej na cele budownictwa mieszkaniowego do 0,05 ha w przypadku budynku jednorodzinnego.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left="140"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Ustalając wysokości oprały rocznej, w ww. 16 postępowaniach dotycząc</w:t>
      </w:r>
      <w:r w:rsidR="00221893">
        <w:rPr>
          <w:rFonts w:asciiTheme="minorHAnsi" w:hAnsiTheme="minorHAnsi" w:cstheme="minorHAnsi"/>
          <w:sz w:val="22"/>
          <w:szCs w:val="22"/>
        </w:rPr>
        <w:t>ych wyłączenia z produkcji roln</w:t>
      </w:r>
      <w:r w:rsidRPr="00306910">
        <w:rPr>
          <w:rFonts w:asciiTheme="minorHAnsi" w:hAnsiTheme="minorHAnsi" w:cstheme="minorHAnsi"/>
          <w:sz w:val="22"/>
          <w:szCs w:val="22"/>
        </w:rPr>
        <w:t>ej gruntów o powierzchni przekraczającej 0,05 ha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306910">
        <w:rPr>
          <w:rFonts w:asciiTheme="minorHAnsi" w:hAnsiTheme="minorHAnsi" w:cstheme="minorHAnsi"/>
          <w:sz w:val="22"/>
          <w:szCs w:val="22"/>
        </w:rPr>
        <w:t>, Biuro Mienia naliczało opłaty od powierzchni pomniejszonej o grunt zwolniony na podstawie ww. przepisu, tj. o 0,05 ha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306910">
        <w:rPr>
          <w:rFonts w:asciiTheme="minorHAnsi" w:hAnsiTheme="minorHAnsi" w:cstheme="minorHAnsi"/>
          <w:sz w:val="22"/>
          <w:szCs w:val="22"/>
        </w:rPr>
        <w:t xml:space="preserve">. Jednakże należy zauważyć, iż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12c pkt 1 u.c.g.r.1. budzi wątpliwości interpretacyjne. Co </w:t>
      </w:r>
      <w:r w:rsidRPr="00306910">
        <w:rPr>
          <w:rFonts w:asciiTheme="minorHAnsi" w:hAnsiTheme="minorHAnsi" w:cstheme="minorHAnsi"/>
          <w:sz w:val="22"/>
          <w:szCs w:val="22"/>
        </w:rPr>
        <w:lastRenderedPageBreak/>
        <w:t>prawda dotychczasowe stanowiska doktryny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33</w:t>
      </w:r>
      <w:r w:rsidRPr="00306910">
        <w:rPr>
          <w:rFonts w:asciiTheme="minorHAnsi" w:hAnsiTheme="minorHAnsi" w:cstheme="minorHAnsi"/>
          <w:sz w:val="22"/>
          <w:szCs w:val="22"/>
        </w:rPr>
        <w:t xml:space="preserve"> i orzecznictwa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306910">
        <w:rPr>
          <w:rFonts w:asciiTheme="minorHAnsi" w:hAnsiTheme="minorHAnsi" w:cstheme="minorHAnsi"/>
          <w:sz w:val="22"/>
          <w:szCs w:val="22"/>
        </w:rPr>
        <w:t xml:space="preserve"> wskazywały na brak podstaw, aby zwolnienie od opłat i należności interpretować szerzej niż wynika to z dosłownego brzmienia przepisu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12a pkt 1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., niemniej </w:t>
      </w:r>
      <w:r w:rsidRPr="00306910">
        <w:rPr>
          <w:rStyle w:val="Bodytext2Italic"/>
          <w:rFonts w:asciiTheme="minorHAnsi" w:hAnsiTheme="minorHAnsi" w:cstheme="minorHAnsi"/>
          <w:sz w:val="22"/>
          <w:szCs w:val="22"/>
        </w:rPr>
        <w:t xml:space="preserve">Wojewódzki Sąd Administracyjny w Łodzi w wyroku sygn. </w:t>
      </w:r>
      <w:proofErr w:type="spellStart"/>
      <w:r w:rsidRPr="00306910">
        <w:rPr>
          <w:rStyle w:val="Bodytext2Italic"/>
          <w:rFonts w:asciiTheme="minorHAnsi" w:hAnsiTheme="minorHAnsi" w:cstheme="minorHAnsi"/>
          <w:sz w:val="22"/>
          <w:szCs w:val="22"/>
        </w:rPr>
        <w:t>flSA</w:t>
      </w:r>
      <w:proofErr w:type="spellEnd"/>
      <w:r w:rsidRPr="00306910">
        <w:rPr>
          <w:rStyle w:val="Bodytext2Italic"/>
          <w:rFonts w:asciiTheme="minorHAnsi" w:hAnsiTheme="minorHAnsi" w:cstheme="minorHAnsi"/>
          <w:sz w:val="22"/>
          <w:szCs w:val="22"/>
        </w:rPr>
        <w:t>/</w:t>
      </w:r>
      <w:proofErr w:type="spellStart"/>
      <w:r w:rsidRPr="00306910">
        <w:rPr>
          <w:rStyle w:val="Bodytext2Italic"/>
          <w:rFonts w:asciiTheme="minorHAnsi" w:hAnsiTheme="minorHAnsi" w:cstheme="minorHAnsi"/>
          <w:sz w:val="22"/>
          <w:szCs w:val="22"/>
        </w:rPr>
        <w:t>Łd</w:t>
      </w:r>
      <w:proofErr w:type="spellEnd"/>
      <w:r w:rsidRPr="00306910">
        <w:rPr>
          <w:rStyle w:val="Bodytext2Italic"/>
          <w:rFonts w:asciiTheme="minorHAnsi" w:hAnsiTheme="minorHAnsi" w:cstheme="minorHAnsi"/>
          <w:sz w:val="22"/>
          <w:szCs w:val="22"/>
          <w:lang w:val="ru-RU" w:eastAsia="ru-RU" w:bidi="ru-RU"/>
        </w:rPr>
        <w:t xml:space="preserve">530/11 </w:t>
      </w:r>
      <w:r w:rsidRPr="00306910">
        <w:rPr>
          <w:rFonts w:asciiTheme="minorHAnsi" w:hAnsiTheme="minorHAnsi" w:cstheme="minorHAnsi"/>
          <w:sz w:val="22"/>
          <w:szCs w:val="22"/>
        </w:rPr>
        <w:t xml:space="preserve">z dnia 26.01.2022 </w:t>
      </w:r>
      <w:r w:rsidRPr="00306910">
        <w:rPr>
          <w:rStyle w:val="Bodytext210ptBold"/>
          <w:rFonts w:asciiTheme="minorHAnsi" w:hAnsiTheme="minorHAnsi" w:cstheme="minorHAnsi"/>
          <w:sz w:val="22"/>
          <w:szCs w:val="22"/>
        </w:rPr>
        <w:t xml:space="preserve">r. </w:t>
      </w:r>
      <w:r w:rsidRPr="00306910">
        <w:rPr>
          <w:rFonts w:asciiTheme="minorHAnsi" w:hAnsiTheme="minorHAnsi" w:cstheme="minorHAnsi"/>
          <w:sz w:val="22"/>
          <w:szCs w:val="22"/>
        </w:rPr>
        <w:t xml:space="preserve">uznał przeciwną interpretację ww. przepisu. Z przedmiotowego wyroku wynika, iż obowiązek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uiszaenia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opłaty powstaje dopiero od nadwyżki od wskazanego obszaru.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Jednoaeśnie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należy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zaznaayć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, iż od wyroku </w:t>
      </w:r>
      <w:r w:rsidRPr="00306910">
        <w:rPr>
          <w:rStyle w:val="Bodytext2Italic"/>
          <w:rFonts w:asciiTheme="minorHAnsi" w:hAnsiTheme="minorHAnsi" w:cstheme="minorHAnsi"/>
          <w:sz w:val="22"/>
          <w:szCs w:val="22"/>
        </w:rPr>
        <w:t>Wojewódzkiego Sądu Administracyjnego w Łodzi</w:t>
      </w:r>
      <w:r w:rsidRPr="00306910">
        <w:rPr>
          <w:rFonts w:asciiTheme="minorHAnsi" w:hAnsiTheme="minorHAnsi" w:cstheme="minorHAnsi"/>
          <w:sz w:val="22"/>
          <w:szCs w:val="22"/>
        </w:rPr>
        <w:t xml:space="preserve"> złożono skargę kasacyjną do Naczelnego Sądu Administracyjnego, którego orzeczenie będzie miało rozstrzygające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znaaenie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dla interpretacji i stasowania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12a pkt 1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</w:t>
      </w:r>
    </w:p>
    <w:p w:rsidR="00B46A06" w:rsidRDefault="00916DA9" w:rsidP="00306910">
      <w:pPr>
        <w:pStyle w:val="Bodytext20"/>
        <w:shd w:val="clear" w:color="auto" w:fill="auto"/>
        <w:spacing w:before="120" w:after="240" w:line="300" w:lineRule="auto"/>
        <w:ind w:left="140"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W zakresie terminowości prowadzonych postępowań stwierdzono, że w 16 skontrolowanych prawach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35</w:t>
      </w:r>
      <w:r w:rsidRPr="00306910">
        <w:rPr>
          <w:rFonts w:asciiTheme="minorHAnsi" w:hAnsiTheme="minorHAnsi" w:cstheme="minorHAnsi"/>
          <w:sz w:val="22"/>
          <w:szCs w:val="22"/>
        </w:rPr>
        <w:t xml:space="preserve"> przekroczono termin określony w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35 § 3 ustawy z 14 czerwca 1960 r. Kodeks</w:t>
      </w:r>
    </w:p>
    <w:p w:rsidR="00FE7768" w:rsidRPr="00306910" w:rsidRDefault="009F5813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916DA9" w:rsidRPr="00306910">
        <w:rPr>
          <w:rFonts w:asciiTheme="minorHAnsi" w:hAnsiTheme="minorHAnsi" w:cstheme="minorHAnsi"/>
          <w:sz w:val="22"/>
          <w:szCs w:val="22"/>
        </w:rPr>
        <w:t>ostępowania administracyjnego</w:t>
      </w:r>
      <w:r w:rsidR="00916DA9"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="00916DA9" w:rsidRPr="00306910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916DA9"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="00916DA9" w:rsidRPr="00306910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916DA9"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="00916DA9" w:rsidRPr="00306910">
        <w:rPr>
          <w:rFonts w:asciiTheme="minorHAnsi" w:hAnsiTheme="minorHAnsi" w:cstheme="minorHAnsi"/>
          <w:sz w:val="22"/>
          <w:szCs w:val="22"/>
        </w:rPr>
        <w:t xml:space="preserve"> (dalej: k.p.a.}, tj. decyle wydano </w:t>
      </w:r>
      <w:proofErr w:type="spellStart"/>
      <w:r w:rsidR="00916DA9" w:rsidRPr="00306910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="00916DA9" w:rsidRPr="00306910">
        <w:rPr>
          <w:rFonts w:asciiTheme="minorHAnsi" w:hAnsiTheme="minorHAnsi" w:cstheme="minorHAnsi"/>
          <w:sz w:val="22"/>
          <w:szCs w:val="22"/>
        </w:rPr>
        <w:t xml:space="preserve"> upływie od 42 do 124 dni </w:t>
      </w:r>
      <w:proofErr w:type="spellStart"/>
      <w:r w:rsidR="00916DA9" w:rsidRPr="00306910">
        <w:rPr>
          <w:rFonts w:asciiTheme="minorHAnsi" w:hAnsiTheme="minorHAnsi" w:cstheme="minorHAnsi"/>
          <w:sz w:val="22"/>
          <w:szCs w:val="22"/>
        </w:rPr>
        <w:t>r,d</w:t>
      </w:r>
      <w:proofErr w:type="spellEnd"/>
      <w:r w:rsidR="00916DA9" w:rsidRPr="00306910">
        <w:rPr>
          <w:rFonts w:asciiTheme="minorHAnsi" w:hAnsiTheme="minorHAnsi" w:cstheme="minorHAnsi"/>
          <w:sz w:val="22"/>
          <w:szCs w:val="22"/>
        </w:rPr>
        <w:t xml:space="preserve"> wpływu wniosku lub jego uzupełniania.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Dodatkowo, w 4 przypadkach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306910">
        <w:rPr>
          <w:rFonts w:asciiTheme="minorHAnsi" w:hAnsiTheme="minorHAnsi" w:cstheme="minorHAnsi"/>
          <w:sz w:val="22"/>
          <w:szCs w:val="22"/>
        </w:rPr>
        <w:t xml:space="preserve">' naruszono obowiązek zawarty w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ai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t. 36 k.p.a., tj. nie poinformowano strony o przyczynach niezałatwienia sprawy w terminie oraz nie wyznaczono nowego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tenninu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załatwienia sprawy, pouczając o prawie do wniesienia ponaglenia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16</w:t>
      </w:r>
      <w:r w:rsidRPr="00306910">
        <w:rPr>
          <w:rFonts w:asciiTheme="minorHAnsi" w:hAnsiTheme="minorHAnsi" w:cstheme="minorHAnsi"/>
          <w:sz w:val="22"/>
          <w:szCs w:val="22"/>
        </w:rPr>
        <w:t>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Należy również zauważyć, że w skontrolowanych sprawach wykonywano czynności w dużych odstępach czasu, tj. przykładowo wydawano zawiadomienie o wszczęciu postępowania po </w:t>
      </w:r>
      <w:r w:rsidRPr="00306910">
        <w:rPr>
          <w:rFonts w:asciiTheme="minorHAnsi" w:hAnsiTheme="minorHAnsi" w:cstheme="minorHAnsi"/>
          <w:sz w:val="22"/>
          <w:szCs w:val="22"/>
        </w:rPr>
        <w:lastRenderedPageBreak/>
        <w:t>upływie nawet 30 dni od daty wpływu wniosku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19"/>
      </w:r>
      <w:r w:rsidRPr="00306910">
        <w:rPr>
          <w:rFonts w:asciiTheme="minorHAnsi" w:hAnsiTheme="minorHAnsi" w:cstheme="minorHAnsi"/>
          <w:sz w:val="22"/>
          <w:szCs w:val="22"/>
        </w:rPr>
        <w:t xml:space="preserve"> czy też. akceptowano dokumenty z dużą zwłoką (projekty zawiadomień, pism i decyzji)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10</w:t>
      </w:r>
      <w:r w:rsidRPr="00306910">
        <w:rPr>
          <w:rFonts w:asciiTheme="minorHAnsi" w:hAnsiTheme="minorHAnsi" w:cstheme="minorHAnsi"/>
          <w:sz w:val="22"/>
          <w:szCs w:val="22"/>
        </w:rPr>
        <w:t>. Powyższe może świadczyć o bezczynności lub przewlekłości w prowadzonych postępowaniach.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Jak wyjaśnił p. Grzegorz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Gadecki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p.o. Zastępcy Dyrektora przyczyną długiego rozpatrywania spraw było m.in. rozpatrywanie wniosków według kolejności ich złożenia, dodatkowe czynności wykonywane przez pracowników oraz wielostopniowa akceptacja sporządzanych dokumentów, niemniej należy podkreślić, iż zasady i wymogi procedury administracyjnej nie mogą doznawać ograniczeń z racji </w:t>
      </w:r>
      <w:r w:rsidR="00E66775" w:rsidRPr="00306910">
        <w:rPr>
          <w:rFonts w:asciiTheme="minorHAnsi" w:hAnsiTheme="minorHAnsi" w:cstheme="minorHAnsi"/>
          <w:sz w:val="22"/>
          <w:szCs w:val="22"/>
        </w:rPr>
        <w:t>przyjętej</w:t>
      </w:r>
      <w:r w:rsidRPr="00306910">
        <w:rPr>
          <w:rFonts w:asciiTheme="minorHAnsi" w:hAnsiTheme="minorHAnsi" w:cstheme="minorHAnsi"/>
          <w:sz w:val="22"/>
          <w:szCs w:val="22"/>
        </w:rPr>
        <w:t xml:space="preserve"> w Biurze Mienia organizacji pi </w:t>
      </w:r>
      <w:r w:rsidRPr="0030691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асу </w:t>
      </w:r>
      <w:r w:rsidRPr="00306910">
        <w:rPr>
          <w:rFonts w:asciiTheme="minorHAnsi" w:hAnsiTheme="minorHAnsi" w:cstheme="minorHAnsi"/>
          <w:sz w:val="22"/>
          <w:szCs w:val="22"/>
        </w:rPr>
        <w:t>i sposobu rozdzielenia obowiązków pracowniczych.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Ponadto, w 3 postępowaniach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20"/>
      </w:r>
      <w:r w:rsidRPr="00306910">
        <w:rPr>
          <w:rFonts w:asciiTheme="minorHAnsi" w:hAnsiTheme="minorHAnsi" w:cstheme="minorHAnsi"/>
          <w:sz w:val="22"/>
          <w:szCs w:val="22"/>
        </w:rPr>
        <w:t xml:space="preserve"> w zawiadomieniu informującym o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niezałatwienin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sprawy w terminie nie pouczono strony o przysługującym prawie do wniesienia ponaglenia na podstawie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37 k.p.a.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Stwierdzono pr</w:t>
      </w:r>
      <w:r w:rsidR="009F3E0F" w:rsidRPr="00306910">
        <w:rPr>
          <w:rFonts w:asciiTheme="minorHAnsi" w:hAnsiTheme="minorHAnsi" w:cstheme="minorHAnsi"/>
          <w:sz w:val="22"/>
          <w:szCs w:val="22"/>
        </w:rPr>
        <w:t>zypadki naruszenia zasady infor</w:t>
      </w:r>
      <w:r w:rsidRPr="00306910">
        <w:rPr>
          <w:rFonts w:asciiTheme="minorHAnsi" w:hAnsiTheme="minorHAnsi" w:cstheme="minorHAnsi"/>
          <w:sz w:val="22"/>
          <w:szCs w:val="22"/>
        </w:rPr>
        <w:t xml:space="preserve">mowania stron postępowania, wyrażonej w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9 k.p.a., zobowiązującej organy administracji publicznej do należytego i wyczerpującego informowania</w:t>
      </w:r>
      <w:r w:rsidR="001F7C58">
        <w:rPr>
          <w:rFonts w:asciiTheme="minorHAnsi" w:hAnsiTheme="minorHAnsi" w:cstheme="minorHAnsi"/>
          <w:sz w:val="22"/>
          <w:szCs w:val="22"/>
        </w:rPr>
        <w:t xml:space="preserve"> </w:t>
      </w:r>
      <w:r w:rsidRPr="00306910">
        <w:rPr>
          <w:rFonts w:asciiTheme="minorHAnsi" w:hAnsiTheme="minorHAnsi" w:cstheme="minorHAnsi"/>
          <w:sz w:val="22"/>
          <w:szCs w:val="22"/>
        </w:rPr>
        <w:t>stron o okolicznościach faktycznych i prawnych, które mogą mieć wpływ na ustalenie ich praw i obowiązków, poprzez:</w:t>
      </w:r>
    </w:p>
    <w:p w:rsidR="00FE7768" w:rsidRPr="00306910" w:rsidRDefault="00916DA9" w:rsidP="00306910">
      <w:pPr>
        <w:pStyle w:val="Bodytext20"/>
        <w:numPr>
          <w:ilvl w:val="0"/>
          <w:numId w:val="1"/>
        </w:numPr>
        <w:shd w:val="clear" w:color="auto" w:fill="auto"/>
        <w:tabs>
          <w:tab w:val="left" w:pos="459"/>
        </w:tabs>
        <w:spacing w:before="120" w:after="240" w:line="300" w:lineRule="auto"/>
        <w:ind w:left="420" w:hanging="2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brak pouczenia strony o ustawowym obowiązku zgłoszenia zmian danych objętych ewidencją gruntów oraz sankcji związanych z niedopełnieniem tego obowiązku wynikających z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22 ust. 2 i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48 ust. 1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pke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5 ustawy z dnia 17 maja 1989 r. Prawo geodezyjne i kartograficzne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22</w:t>
      </w:r>
      <w:r w:rsidRPr="00306910">
        <w:rPr>
          <w:rFonts w:asciiTheme="minorHAnsi" w:hAnsiTheme="minorHAnsi" w:cstheme="minorHAnsi"/>
          <w:sz w:val="22"/>
          <w:szCs w:val="22"/>
        </w:rPr>
        <w:t xml:space="preserve"> - we wszystkich 20 decyzjach.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left="420"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Jednocześnie należy wskazać, iż p. Grzegorz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Gadeck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: p.o. Zastępcy Dyrektora Biura Mienia poinformował, iż powyższe uchybienie zostało wyeliminowane od początku 2022 r.</w:t>
      </w:r>
    </w:p>
    <w:p w:rsidR="00FE7768" w:rsidRPr="00306910" w:rsidRDefault="00916DA9" w:rsidP="00306910">
      <w:pPr>
        <w:pStyle w:val="Bodytext20"/>
        <w:numPr>
          <w:ilvl w:val="0"/>
          <w:numId w:val="1"/>
        </w:numPr>
        <w:shd w:val="clear" w:color="auto" w:fill="auto"/>
        <w:tabs>
          <w:tab w:val="left" w:pos="474"/>
        </w:tabs>
        <w:spacing w:before="120" w:after="240" w:line="300" w:lineRule="auto"/>
        <w:ind w:left="420" w:hanging="2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brak pouczenia strony o konsekwencjach wynikających z niewykonania obowiązku określonego w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14 ust. 2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 - w 6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H</w:t>
      </w:r>
      <w:r w:rsidRPr="00306910">
        <w:rPr>
          <w:rFonts w:asciiTheme="minorHAnsi" w:hAnsiTheme="minorHAnsi" w:cstheme="minorHAnsi"/>
          <w:sz w:val="22"/>
          <w:szCs w:val="22"/>
        </w:rPr>
        <w:t xml:space="preserve"> z 9 decyzji, w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któ^ch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zobowiązano strony do zdjęcia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left="420"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oraz wykorzystania na cele poprawy wartości użytkowej gruntów próchniczej warstwy gleby.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lastRenderedPageBreak/>
        <w:t xml:space="preserve">Ponadto, ustalono, iż w toku postępowania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306910">
        <w:rPr>
          <w:rFonts w:asciiTheme="minorHAnsi" w:hAnsiTheme="minorHAnsi" w:cstheme="minorHAnsi"/>
          <w:sz w:val="22"/>
          <w:szCs w:val="22"/>
        </w:rPr>
        <w:t>uzyskania zezwolenia na wyłączenie gruntu z produkcji rolniczej żądano od wnioskodawców przedkładania m.in. aktualnego wypisu z rejestru gruntów oraz wypisu i wyrysu z miejscowego planu zagospodarowania przestrzennego dla działki objętej wnioskiem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24</w:t>
      </w:r>
      <w:r w:rsidRPr="00306910">
        <w:rPr>
          <w:rFonts w:asciiTheme="minorHAnsi" w:hAnsiTheme="minorHAnsi" w:cstheme="minorHAnsi"/>
          <w:sz w:val="22"/>
          <w:szCs w:val="22"/>
        </w:rPr>
        <w:t>, pomimo iż urzędnicy mieli dostęp do tych dokumentów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25</w:t>
      </w:r>
      <w:r w:rsidRPr="00306910">
        <w:rPr>
          <w:rFonts w:asciiTheme="minorHAnsi" w:hAnsiTheme="minorHAnsi" w:cstheme="minorHAnsi"/>
          <w:sz w:val="22"/>
          <w:szCs w:val="22"/>
        </w:rPr>
        <w:t xml:space="preserve">. Powyższe naruszało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77 § 4 k.p.a., stanowiący, że fakty powszechnie znane oraz fakty znane organowi z urzędu nie wymagają dowodu. Jednocześnie należy wskazać, iż to organ - w myśl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77 § 1 k.p.a. - jest zobowiązany do zebrania i rozpatrzenia w sposób wyczerpujący całego materiału dowodowego.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W 2 przypadkach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26</w:t>
      </w:r>
      <w:r w:rsidRPr="00306910">
        <w:rPr>
          <w:rFonts w:asciiTheme="minorHAnsi" w:hAnsiTheme="minorHAnsi" w:cstheme="minorHAnsi"/>
          <w:sz w:val="22"/>
          <w:szCs w:val="22"/>
        </w:rPr>
        <w:t xml:space="preserve"> naruszono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61 § 1 k.p.a., gdyż treść decyzji była rozbieżna z treścią złożonego wniosku w zakresie powierzchni gruntów do wyłączenia.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Należy podkreślić, iż określenie powierzchni przewidzianej do wyłączenia stanowi Istotny element wniosku, który wyznacza przedmiot postępowania przed organem. Zgadnie z orzecznictwem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27</w:t>
      </w:r>
      <w:r w:rsidRPr="00306910">
        <w:rPr>
          <w:rFonts w:asciiTheme="minorHAnsi" w:hAnsiTheme="minorHAnsi" w:cstheme="minorHAnsi"/>
          <w:sz w:val="22"/>
          <w:szCs w:val="22"/>
        </w:rPr>
        <w:t xml:space="preserve">, w przypadku postępowań wszczynanych na wniosek, tylko strona określa przedmiot żądania, przy czym w razie wystąpienia wątpliwości, co do zakresu czy przedmiotu żądania jego uszczegółowienie należy do wnioskodawcy, nie zaś do sfery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ocennej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organu administracji.</w:t>
      </w:r>
    </w:p>
    <w:p w:rsidR="00FE7768" w:rsidRPr="00306910" w:rsidRDefault="00916DA9" w:rsidP="00306910">
      <w:pPr>
        <w:pStyle w:val="Bodytext20"/>
        <w:numPr>
          <w:ilvl w:val="0"/>
          <w:numId w:val="2"/>
        </w:numPr>
        <w:pBdr>
          <w:top w:val="single" w:sz="4" w:space="1" w:color="auto"/>
        </w:pBdr>
        <w:shd w:val="clear" w:color="auto" w:fill="auto"/>
        <w:tabs>
          <w:tab w:val="left" w:pos="284"/>
        </w:tabs>
        <w:spacing w:before="120" w:after="240" w:line="30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Dz.U. z </w:t>
      </w:r>
      <w:r w:rsidRPr="0030691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2021г., </w:t>
      </w:r>
      <w:r w:rsidRPr="00306910">
        <w:rPr>
          <w:rFonts w:asciiTheme="minorHAnsi" w:hAnsiTheme="minorHAnsi" w:cstheme="minorHAnsi"/>
          <w:sz w:val="22"/>
          <w:szCs w:val="22"/>
        </w:rPr>
        <w:t>poz.l990t.j.</w:t>
      </w:r>
    </w:p>
    <w:p w:rsidR="00FE7768" w:rsidRPr="00306910" w:rsidRDefault="00916DA9" w:rsidP="00306910">
      <w:pPr>
        <w:pStyle w:val="Bodytext60"/>
        <w:shd w:val="clear" w:color="auto" w:fill="auto"/>
        <w:spacing w:before="120" w:after="240" w:line="300" w:lineRule="auto"/>
        <w:ind w:left="18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23</w:t>
      </w:r>
    </w:p>
    <w:p w:rsidR="00FE7768" w:rsidRPr="00306910" w:rsidRDefault="00916DA9" w:rsidP="00306910">
      <w:pPr>
        <w:pStyle w:val="Heading110"/>
        <w:keepNext/>
        <w:keepLines/>
        <w:shd w:val="clear" w:color="auto" w:fill="auto"/>
        <w:tabs>
          <w:tab w:val="left" w:pos="2683"/>
          <w:tab w:val="left" w:pos="3139"/>
          <w:tab w:val="left" w:leader="dot" w:pos="5251"/>
        </w:tabs>
        <w:spacing w:before="120" w:after="240" w:line="300" w:lineRule="auto"/>
        <w:ind w:left="840"/>
        <w:jc w:val="left"/>
        <w:outlineLvl w:val="9"/>
        <w:rPr>
          <w:rFonts w:asciiTheme="minorHAnsi" w:hAnsiTheme="minorHAnsi" w:cstheme="minorHAnsi"/>
          <w:sz w:val="22"/>
          <w:szCs w:val="22"/>
        </w:rPr>
      </w:pPr>
      <w:bookmarkStart w:id="1" w:name="bookmark0"/>
      <w:r w:rsidRPr="00306910">
        <w:rPr>
          <w:rFonts w:asciiTheme="minorHAnsi" w:hAnsiTheme="minorHAnsi" w:cstheme="minorHAnsi"/>
          <w:sz w:val="22"/>
          <w:szCs w:val="22"/>
        </w:rPr>
        <w:t>. —-</w:t>
      </w:r>
      <w:r w:rsidRPr="00306910">
        <w:rPr>
          <w:rFonts w:asciiTheme="minorHAnsi" w:hAnsiTheme="minorHAnsi" w:cstheme="minorHAnsi"/>
          <w:sz w:val="22"/>
          <w:szCs w:val="22"/>
        </w:rPr>
        <w:tab/>
        <w:t>.</w:t>
      </w:r>
      <w:r w:rsidRPr="00306910">
        <w:rPr>
          <w:rFonts w:asciiTheme="minorHAnsi" w:hAnsiTheme="minorHAnsi" w:cstheme="minorHAnsi"/>
          <w:sz w:val="22"/>
          <w:szCs w:val="22"/>
        </w:rPr>
        <w:tab/>
        <w:t>-</w:t>
      </w:r>
      <w:r w:rsidRPr="00306910">
        <w:rPr>
          <w:rFonts w:asciiTheme="minorHAnsi" w:hAnsiTheme="minorHAnsi" w:cstheme="minorHAnsi"/>
          <w:sz w:val="22"/>
          <w:szCs w:val="22"/>
        </w:rPr>
        <w:tab/>
        <w:t>I-</w:t>
      </w:r>
      <w:bookmarkEnd w:id="1"/>
    </w:p>
    <w:p w:rsidR="00FE7768" w:rsidRPr="00306910" w:rsidRDefault="00916DA9" w:rsidP="00306910">
      <w:pPr>
        <w:pStyle w:val="Bodytext20"/>
        <w:numPr>
          <w:ilvl w:val="0"/>
          <w:numId w:val="2"/>
        </w:numPr>
        <w:shd w:val="clear" w:color="auto" w:fill="auto"/>
        <w:tabs>
          <w:tab w:val="left" w:pos="274"/>
        </w:tabs>
        <w:spacing w:before="120" w:after="240" w:line="30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Informacja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uzyskania zezwolenia na wyłączenie gruntu z produkcji rolniczej zamieszczona na stronie </w:t>
      </w:r>
      <w:hyperlink r:id="rId7" w:history="1">
        <w:r w:rsidRPr="00306910">
          <w:rPr>
            <w:rFonts w:asciiTheme="minorHAnsi" w:hAnsiTheme="minorHAnsi" w:cstheme="minorHAnsi"/>
            <w:sz w:val="22"/>
            <w:szCs w:val="22"/>
            <w:lang w:val="en-US" w:eastAsia="en-US" w:bidi="en-US"/>
          </w:rPr>
          <w:t>https://warszawal9115.pI/-/wyNczenie-gruntu-z-produkcji-rolniczej</w:t>
        </w:r>
      </w:hyperlink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 </w:t>
      </w:r>
      <w:r w:rsidRPr="00306910">
        <w:rPr>
          <w:rFonts w:asciiTheme="minorHAnsi" w:hAnsiTheme="minorHAnsi" w:cstheme="minorHAnsi"/>
          <w:sz w:val="22"/>
          <w:szCs w:val="22"/>
        </w:rPr>
        <w:t>oraz w przypadku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left="4880"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wezwanie do uzupełnienia wniosku.</w:t>
      </w:r>
    </w:p>
    <w:p w:rsidR="00FE7768" w:rsidRPr="00306910" w:rsidRDefault="00916DA9" w:rsidP="00306910">
      <w:pPr>
        <w:pStyle w:val="Bodytext20"/>
        <w:numPr>
          <w:ilvl w:val="0"/>
          <w:numId w:val="2"/>
        </w:numPr>
        <w:shd w:val="clear" w:color="auto" w:fill="auto"/>
        <w:tabs>
          <w:tab w:val="left" w:pos="274"/>
        </w:tabs>
        <w:spacing w:before="120" w:after="240" w:line="30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Pracownic/ p</w:t>
      </w:r>
      <w:r w:rsidR="009F3E0F" w:rsidRPr="00306910">
        <w:rPr>
          <w:rFonts w:asciiTheme="minorHAnsi" w:hAnsiTheme="minorHAnsi" w:cstheme="minorHAnsi"/>
          <w:sz w:val="22"/>
          <w:szCs w:val="22"/>
        </w:rPr>
        <w:t>osiadali dostęp do Centralnej Ba</w:t>
      </w:r>
      <w:r w:rsidRPr="00306910">
        <w:rPr>
          <w:rFonts w:asciiTheme="minorHAnsi" w:hAnsiTheme="minorHAnsi" w:cstheme="minorHAnsi"/>
          <w:sz w:val="22"/>
          <w:szCs w:val="22"/>
        </w:rPr>
        <w:t xml:space="preserve">zy Ewidencji Gruntów, Budynków i Lokali prowadzonej przez starostę [w aktach 19 spraw znajdowały się informacje z rejestru gruntów </w:t>
      </w:r>
      <w:r w:rsidR="009F3E0F" w:rsidRPr="00306910">
        <w:rPr>
          <w:rFonts w:asciiTheme="minorHAnsi" w:hAnsiTheme="minorHAnsi" w:cstheme="minorHAnsi"/>
          <w:sz w:val="22"/>
          <w:szCs w:val="22"/>
        </w:rPr>
        <w:t>sporządzone/generowane pr</w:t>
      </w:r>
      <w:r w:rsidRPr="00306910">
        <w:rPr>
          <w:rFonts w:asciiTheme="minorHAnsi" w:hAnsiTheme="minorHAnsi" w:cstheme="minorHAnsi"/>
          <w:sz w:val="22"/>
          <w:szCs w:val="22"/>
        </w:rPr>
        <w:t xml:space="preserve">zez pracownika prowadzącego sprawę (bez sprawy nr BM-WMSP-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DGJdt25.B01.2021.AWi)], </w:t>
      </w:r>
      <w:r w:rsidRPr="00306910">
        <w:rPr>
          <w:rFonts w:asciiTheme="minorHAnsi" w:hAnsiTheme="minorHAnsi" w:cstheme="minorHAnsi"/>
          <w:sz w:val="22"/>
          <w:szCs w:val="22"/>
        </w:rPr>
        <w:t>zaś uchwały w sprawie uchwalenia i zmian miejscowego planu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left="419" w:hanging="238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zagospodarowania przestrzennego ogłaszane były w Dzienniku Urzędowym Województwa.</w:t>
      </w:r>
    </w:p>
    <w:p w:rsidR="00FE7768" w:rsidRPr="00306910" w:rsidRDefault="00916DA9" w:rsidP="00306910">
      <w:pPr>
        <w:pStyle w:val="Bodytext70"/>
        <w:numPr>
          <w:ilvl w:val="0"/>
          <w:numId w:val="2"/>
        </w:numPr>
        <w:shd w:val="clear" w:color="auto" w:fill="auto"/>
        <w:tabs>
          <w:tab w:val="left" w:pos="274"/>
        </w:tabs>
        <w:spacing w:before="120" w:after="240" w:line="300" w:lineRule="auto"/>
        <w:ind w:left="18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27</w:t>
      </w:r>
      <w:r w:rsidRPr="00306910">
        <w:rPr>
          <w:rFonts w:asciiTheme="minorHAnsi" w:hAnsiTheme="minorHAnsi" w:cstheme="minorHAnsi"/>
          <w:sz w:val="22"/>
          <w:szCs w:val="22"/>
        </w:rPr>
        <w:t xml:space="preserve"> Postanowienie NSA z dnia 04.03.2014 r., sygn. IIOW</w:t>
      </w:r>
      <w:r w:rsidRPr="00306910">
        <w:rPr>
          <w:rFonts w:asciiTheme="minorHAnsi" w:hAnsiTheme="minorHAnsi" w:cstheme="minorHAnsi"/>
          <w:sz w:val="22"/>
          <w:szCs w:val="22"/>
          <w:lang w:val="ru-RU" w:eastAsia="ru-RU" w:bidi="ru-RU"/>
        </w:rPr>
        <w:t>157/13.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lastRenderedPageBreak/>
        <w:t xml:space="preserve">Stwierdzono również, że w </w:t>
      </w:r>
      <w:r w:rsidRPr="0030691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/ </w:t>
      </w:r>
      <w:r w:rsidRPr="00306910">
        <w:rPr>
          <w:rFonts w:asciiTheme="minorHAnsi" w:hAnsiTheme="minorHAnsi" w:cstheme="minorHAnsi"/>
          <w:sz w:val="22"/>
          <w:szCs w:val="22"/>
        </w:rPr>
        <w:t>p stępowaniach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21"/>
      </w:r>
      <w:r w:rsidRPr="00306910">
        <w:rPr>
          <w:rFonts w:asciiTheme="minorHAnsi" w:hAnsiTheme="minorHAnsi" w:cstheme="minorHAnsi"/>
          <w:sz w:val="22"/>
          <w:szCs w:val="22"/>
        </w:rPr>
        <w:t xml:space="preserve"> naruszono zasadę czynnego udziału strony w postępowaniu wyrażoną w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10 § 1 k.p.a., gdyż wydano decyzję przed upływem terminu wyznaczonego stronie w zawiadomieniu na wypowiedzenie się co do zebranych dowodów i materiałów oraz zgłoszonych żądań.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Przy tym należy wskazać, iż przez datę wydania decyzji zgodnie z orzecznictwem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22"/>
      </w:r>
      <w:r w:rsidRPr="00306910">
        <w:rPr>
          <w:rFonts w:asciiTheme="minorHAnsi" w:hAnsiTheme="minorHAnsi" w:cstheme="minorHAnsi"/>
          <w:sz w:val="22"/>
          <w:szCs w:val="22"/>
        </w:rPr>
        <w:t xml:space="preserve"> należy rozumieć datę wydania decyzji na piśmie lub datę ogłoszenia decyzji ustnie z tym, że datą wydania decyzji pisemnej jest dzień podpisania decyzji zawierającej prawem wymagane składniki, w tym również datę wydania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(art. </w:t>
      </w:r>
      <w:r w:rsidRPr="00306910">
        <w:rPr>
          <w:rFonts w:asciiTheme="minorHAnsi" w:hAnsiTheme="minorHAnsi" w:cstheme="minorHAnsi"/>
          <w:sz w:val="22"/>
          <w:szCs w:val="22"/>
        </w:rPr>
        <w:t>107 § 1 k.p.a.}.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Ponadto, w 7 przypadkach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23"/>
      </w:r>
      <w:r w:rsidRPr="00306910">
        <w:rPr>
          <w:rFonts w:asciiTheme="minorHAnsi" w:hAnsiTheme="minorHAnsi" w:cstheme="minorHAnsi"/>
          <w:sz w:val="22"/>
          <w:szCs w:val="22"/>
        </w:rPr>
        <w:t xml:space="preserve"> błędnie ustalono datę, w której decyzja administracyjna stała się ostateczna, wskazując ją za wcześnie lub za późno w odniesieniu do dyspozycji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16 § 1 k.p.a. stanowiącego, iż decyzje, od których nie służy odwołanie w administracyjnym toku instancji lub wniosek o ponowne rozpatrzenie sprawy, są ostateczne.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Stwierdzono przypadki sporządzenia w sposób niestaranny lub z błędami decyzji administracyjnych, informacji o niezałatwieniu sprawy w terminie oraz oświadczeń co do bezstronności pracownika m.in,:</w:t>
      </w:r>
    </w:p>
    <w:p w:rsidR="00FE7768" w:rsidRPr="00306910" w:rsidRDefault="00916DA9" w:rsidP="00306910">
      <w:pPr>
        <w:pStyle w:val="Bodytext20"/>
        <w:numPr>
          <w:ilvl w:val="0"/>
          <w:numId w:val="3"/>
        </w:numPr>
        <w:shd w:val="clear" w:color="auto" w:fill="auto"/>
        <w:tabs>
          <w:tab w:val="left" w:pos="1073"/>
        </w:tabs>
        <w:spacing w:before="120" w:after="240" w:line="300" w:lineRule="auto"/>
        <w:ind w:left="1060" w:hanging="32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w podstawie prawnej decyzji błędnie wskazano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12a ust. 1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. zamiast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12a pkt 1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 - 2 przypadki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24"/>
      </w:r>
      <w:r w:rsidRPr="00306910">
        <w:rPr>
          <w:rFonts w:asciiTheme="minorHAnsi" w:hAnsiTheme="minorHAnsi" w:cstheme="minorHAnsi"/>
          <w:sz w:val="22"/>
          <w:szCs w:val="22"/>
        </w:rPr>
        <w:t>,</w:t>
      </w:r>
    </w:p>
    <w:p w:rsidR="00FE7768" w:rsidRPr="00306910" w:rsidRDefault="00916DA9" w:rsidP="00306910">
      <w:pPr>
        <w:pStyle w:val="Bodytext20"/>
        <w:numPr>
          <w:ilvl w:val="0"/>
          <w:numId w:val="3"/>
        </w:numPr>
        <w:shd w:val="clear" w:color="auto" w:fill="auto"/>
        <w:tabs>
          <w:tab w:val="left" w:pos="1073"/>
        </w:tabs>
        <w:spacing w:before="120" w:after="240" w:line="300" w:lineRule="auto"/>
        <w:ind w:left="1060" w:hanging="32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w informacji o niezałatwieniu sprawy w terminie jako przyczynę zwłoki wskazano m.in. konieczność uzyskania opinii z Wydziału Ochrony Środowiska dla dzielnicy, pomimo iż nic występowano o przedmiotową opinię - 2 przypadki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25"/>
      </w:r>
      <w:r w:rsidRPr="00306910">
        <w:rPr>
          <w:rFonts w:asciiTheme="minorHAnsi" w:hAnsiTheme="minorHAnsi" w:cstheme="minorHAnsi"/>
          <w:sz w:val="22"/>
          <w:szCs w:val="22"/>
        </w:rPr>
        <w:t>,</w:t>
      </w:r>
    </w:p>
    <w:p w:rsidR="00FE7768" w:rsidRPr="00306910" w:rsidRDefault="00916DA9" w:rsidP="00306910">
      <w:pPr>
        <w:pStyle w:val="Bodytext20"/>
        <w:numPr>
          <w:ilvl w:val="0"/>
          <w:numId w:val="3"/>
        </w:numPr>
        <w:shd w:val="clear" w:color="auto" w:fill="auto"/>
        <w:tabs>
          <w:tab w:val="left" w:pos="1073"/>
        </w:tabs>
        <w:spacing w:before="120" w:after="240" w:line="300" w:lineRule="auto"/>
        <w:ind w:left="1060" w:hanging="32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w oświadczeniu co do bezstronności pracowników zajmujących się sprawą lub pracowników podpisujących dokumenty w postępowaniu błędnie wskazywano </w:t>
      </w:r>
      <w:r w:rsidRPr="00306910">
        <w:rPr>
          <w:rFonts w:asciiTheme="minorHAnsi" w:hAnsiTheme="minorHAnsi" w:cstheme="minorHAnsi"/>
          <w:sz w:val="22"/>
          <w:szCs w:val="22"/>
        </w:rPr>
        <w:lastRenderedPageBreak/>
        <w:t>stanowisko pracownika - 7 przypadków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26"/>
      </w:r>
      <w:r w:rsidRPr="00306910">
        <w:rPr>
          <w:rFonts w:asciiTheme="minorHAnsi" w:hAnsiTheme="minorHAnsi" w:cstheme="minorHAnsi"/>
          <w:sz w:val="22"/>
          <w:szCs w:val="22"/>
        </w:rPr>
        <w:t>.</w:t>
      </w:r>
    </w:p>
    <w:p w:rsidR="00FE7768" w:rsidRPr="00306910" w:rsidRDefault="00916DA9" w:rsidP="00306910">
      <w:pPr>
        <w:pStyle w:val="Bodytext20"/>
        <w:numPr>
          <w:ilvl w:val="0"/>
          <w:numId w:val="3"/>
        </w:numPr>
        <w:shd w:val="clear" w:color="auto" w:fill="auto"/>
        <w:tabs>
          <w:tab w:val="left" w:pos="1051"/>
        </w:tabs>
        <w:spacing w:before="120" w:after="240" w:line="300" w:lineRule="auto"/>
        <w:ind w:left="1038" w:hanging="318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w pouczeniu decyzji błędnie pouczono stronę o konsekwencjach niewykonania obowiązku wynikającego z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14 ust. 2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 -1 przypadek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t>34</w:t>
      </w:r>
      <w:r w:rsidRPr="00306910">
        <w:rPr>
          <w:rFonts w:asciiTheme="minorHAnsi" w:hAnsiTheme="minorHAnsi" w:cstheme="minorHAnsi"/>
          <w:sz w:val="22"/>
          <w:szCs w:val="22"/>
        </w:rPr>
        <w:t>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Należy również wskazać, iż w 16 postępowaniach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27"/>
      </w:r>
      <w:r w:rsidRPr="00306910">
        <w:rPr>
          <w:rFonts w:asciiTheme="minorHAnsi" w:hAnsiTheme="minorHAnsi" w:cstheme="minorHAnsi"/>
          <w:sz w:val="22"/>
          <w:szCs w:val="22"/>
        </w:rPr>
        <w:t xml:space="preserve"> do akt spraw nie dołączono oświadczeń co do bezstronności pracowników zajmujących się sprawą lub pracowników podpisujących dokumenty w postępowaniu, co było niezgodne z wymogami § 2 ust. 1 i 2 Zarządzenia Prezydenta m.st. Warszawy Nr </w:t>
      </w:r>
      <w:r w:rsidRPr="0030691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1793/2016 </w:t>
      </w:r>
      <w:r w:rsidRPr="00306910">
        <w:rPr>
          <w:rFonts w:asciiTheme="minorHAnsi" w:hAnsiTheme="minorHAnsi" w:cstheme="minorHAnsi"/>
          <w:sz w:val="22"/>
          <w:szCs w:val="22"/>
        </w:rPr>
        <w:t>z dnia 9 grudnia 2016 r.</w:t>
      </w:r>
      <w:r w:rsidRPr="00306910">
        <w:rPr>
          <w:rFonts w:asciiTheme="minorHAnsi" w:hAnsiTheme="minorHAnsi" w:cstheme="minorHAnsi"/>
          <w:sz w:val="22"/>
          <w:szCs w:val="22"/>
          <w:vertAlign w:val="superscript"/>
        </w:rPr>
        <w:footnoteReference w:id="28"/>
      </w:r>
      <w:r w:rsidRPr="00306910">
        <w:rPr>
          <w:rFonts w:asciiTheme="minorHAnsi" w:hAnsiTheme="minorHAnsi" w:cstheme="minorHAnsi"/>
          <w:sz w:val="22"/>
          <w:szCs w:val="22"/>
        </w:rPr>
        <w:t>, który stanowi iż powyższe oświadczenia pracownik włącza do akt prowadzonej sprawy.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Wszystkie skontrolowane decyzje podpisała Pani Iwona Cichecka pełniąca w okresie objętym kontrolą funkcję Naczelnika Wydziału Mienia Skarbu Państwa.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W okresie objętym kontrolą funkcję p.o. Kierownika Działu Gospodarowania Mieniem Skarbu Państwa pełniła Pani Anna Pokojska.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W badanym okresie Dyrektorem Biura Mienia był Pan Arkadiusz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Kuranowski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Dokonując oceny działalności jednostki kontrolowanej w obszarze objętym kontrolą, należy stwierdzić, iż redakcja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12a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 budzi uzasadnione wątpliwości interpretacyjne, zatem zasadnym jest śledzenie orzecznictwa w przedmiotowym zakresie celem ustalenia, czy stosowana przez Biuro Mienia wykładnia ww. przepisu była właściwa.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Odnosząc się natomiast do stwierdzonych nieprawidłowości i uchybień należy uznać, iż ich skala i powtarzalność świadczą o braku rzetelności i staranności w działaniu oraz wskazują na konieczność zwiększenia nadzoru nad realizacją tych zadań.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FE7768" w:rsidRPr="00306910" w:rsidRDefault="00916DA9" w:rsidP="00306910">
      <w:pPr>
        <w:pStyle w:val="Bodytext20"/>
        <w:numPr>
          <w:ilvl w:val="0"/>
          <w:numId w:val="4"/>
        </w:numPr>
        <w:shd w:val="clear" w:color="auto" w:fill="auto"/>
        <w:tabs>
          <w:tab w:val="left" w:pos="71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lastRenderedPageBreak/>
        <w:t>Nadawanie znaku spraw zgodnie z wymogami § 5 ust. 5 Załącznika nr 1 do rozporządzenia Prezesa Rady Ministrów z 18.01.2011 r.</w:t>
      </w:r>
    </w:p>
    <w:p w:rsidR="006F6ED2" w:rsidRPr="00306910" w:rsidRDefault="00916DA9" w:rsidP="00306910">
      <w:pPr>
        <w:pStyle w:val="Bodytext20"/>
        <w:numPr>
          <w:ilvl w:val="0"/>
          <w:numId w:val="4"/>
        </w:numPr>
        <w:shd w:val="clear" w:color="auto" w:fill="auto"/>
        <w:tabs>
          <w:tab w:val="left" w:pos="731"/>
        </w:tabs>
        <w:spacing w:before="120" w:after="240" w:line="300" w:lineRule="auto"/>
        <w:ind w:left="7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Ustalanie dnia faktycznego wyłączenia gruntów z produkcji z wykorzystaniem środków dowodowych przewidzianych w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75 k.p.a.</w:t>
      </w:r>
    </w:p>
    <w:p w:rsidR="00FE7768" w:rsidRPr="00306910" w:rsidRDefault="00916DA9" w:rsidP="00306910">
      <w:pPr>
        <w:pStyle w:val="Bodytext20"/>
        <w:numPr>
          <w:ilvl w:val="0"/>
          <w:numId w:val="4"/>
        </w:numPr>
        <w:shd w:val="clear" w:color="auto" w:fill="auto"/>
        <w:tabs>
          <w:tab w:val="left" w:pos="731"/>
        </w:tabs>
        <w:spacing w:before="120" w:after="240" w:line="300" w:lineRule="auto"/>
        <w:ind w:left="7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Ustalanie terminu powstania obowiązku uiszczania opłat rocznych w oparciu o dzień faktycznego wyłączenia gruntów z produkcji zgodnie z treścią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12 ust. 1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</w:t>
      </w:r>
    </w:p>
    <w:p w:rsidR="00FE7768" w:rsidRPr="00306910" w:rsidRDefault="00916DA9" w:rsidP="00306910">
      <w:pPr>
        <w:pStyle w:val="Bodytext20"/>
        <w:numPr>
          <w:ilvl w:val="0"/>
          <w:numId w:val="4"/>
        </w:numPr>
        <w:shd w:val="clear" w:color="auto" w:fill="auto"/>
        <w:tabs>
          <w:tab w:val="left" w:pos="731"/>
        </w:tabs>
        <w:spacing w:before="120" w:after="240" w:line="300" w:lineRule="auto"/>
        <w:ind w:left="7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Monitorowanie i uwzględnianie, w rozpatrywanych sprawach, orzecznictwa w przedmiocie interpretacji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12a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</w:t>
      </w:r>
    </w:p>
    <w:p w:rsidR="00FE7768" w:rsidRPr="00306910" w:rsidRDefault="00916DA9" w:rsidP="00306910">
      <w:pPr>
        <w:pStyle w:val="Bodytext20"/>
        <w:numPr>
          <w:ilvl w:val="0"/>
          <w:numId w:val="4"/>
        </w:numPr>
        <w:shd w:val="clear" w:color="auto" w:fill="auto"/>
        <w:tabs>
          <w:tab w:val="left" w:pos="731"/>
        </w:tabs>
        <w:spacing w:before="120" w:after="240" w:line="300" w:lineRule="auto"/>
        <w:ind w:left="7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Wydawanie zezwoleń dotyczących usunięcia drzew lub krzewów w terminach określonych w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35 § 3 k.p.a., a w przypadku braku możliwości zachowania tych terminów - pisemnego zawiadamiania stron o przyczynach zwłoki i nowym terminie załatwienia sprawy, zgodnie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z wymogami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36 k.p.a.</w:t>
      </w:r>
    </w:p>
    <w:p w:rsidR="00FE7768" w:rsidRPr="00306910" w:rsidRDefault="00916DA9" w:rsidP="00306910">
      <w:pPr>
        <w:pStyle w:val="Bodytext20"/>
        <w:numPr>
          <w:ilvl w:val="0"/>
          <w:numId w:val="4"/>
        </w:numPr>
        <w:shd w:val="clear" w:color="auto" w:fill="auto"/>
        <w:tabs>
          <w:tab w:val="left" w:pos="731"/>
        </w:tabs>
        <w:spacing w:before="120" w:after="240" w:line="300" w:lineRule="auto"/>
        <w:ind w:left="7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Umieszczenie w zezwoleniach na wyłączenie gruntów z produkcji rolniczej, w których zobowiązano stronę do zdjęcia próchniczej warstwy gleby, pouczenia o konsekwencjach wynikających z niewykonania obowiązku, określonego w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 xml:space="preserve">14 ust. 2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u.o.g.r.l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>.</w:t>
      </w:r>
    </w:p>
    <w:p w:rsidR="00FE7768" w:rsidRPr="00306910" w:rsidRDefault="00916DA9" w:rsidP="00306910">
      <w:pPr>
        <w:pStyle w:val="Bodytext20"/>
        <w:numPr>
          <w:ilvl w:val="0"/>
          <w:numId w:val="4"/>
        </w:numPr>
        <w:shd w:val="clear" w:color="auto" w:fill="auto"/>
        <w:tabs>
          <w:tab w:val="left" w:pos="731"/>
        </w:tabs>
        <w:spacing w:before="120" w:after="240" w:line="300" w:lineRule="auto"/>
        <w:ind w:left="7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Zrezygnowanie z żądania od wnioskodawców przedkładania dokumentów, potwierdzających fakty powszechnie znane oraz fakty znane organowi z urzędu.</w:t>
      </w:r>
    </w:p>
    <w:p w:rsidR="00FE7768" w:rsidRPr="00306910" w:rsidRDefault="00916DA9" w:rsidP="00306910">
      <w:pPr>
        <w:pStyle w:val="Bodytext20"/>
        <w:numPr>
          <w:ilvl w:val="0"/>
          <w:numId w:val="4"/>
        </w:numPr>
        <w:shd w:val="clear" w:color="auto" w:fill="auto"/>
        <w:tabs>
          <w:tab w:val="left" w:pos="731"/>
        </w:tabs>
        <w:spacing w:before="120" w:after="240" w:line="300" w:lineRule="auto"/>
        <w:ind w:left="7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Dokładne analizowanie treści wniosku, a w przypadku wystąpienia wątpliwości, co do zakresu żądania - wzywanie strony do jego formalnego doprecyzowania.</w:t>
      </w:r>
    </w:p>
    <w:p w:rsidR="00FE7768" w:rsidRPr="00306910" w:rsidRDefault="00916DA9" w:rsidP="00306910">
      <w:pPr>
        <w:pStyle w:val="Bodytext20"/>
        <w:numPr>
          <w:ilvl w:val="0"/>
          <w:numId w:val="4"/>
        </w:numPr>
        <w:shd w:val="clear" w:color="auto" w:fill="auto"/>
        <w:tabs>
          <w:tab w:val="left" w:pos="731"/>
        </w:tabs>
        <w:spacing w:before="120" w:after="240" w:line="300" w:lineRule="auto"/>
        <w:ind w:left="7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Prowadzenie postępowań administracyjnych z zachowaniem zasady zawartej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left="743"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w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10 § 1 k.p.a., w tym w szczególności zawiadamianie stron o fakcie zebrania dowodów i materiałów w postępowaniach oraz umożliwianie stronom wypowiedzenie się w tym zakresie przed wydaniem decyzji.</w:t>
      </w:r>
    </w:p>
    <w:p w:rsidR="00FE7768" w:rsidRPr="00306910" w:rsidRDefault="00916DA9" w:rsidP="00306910">
      <w:pPr>
        <w:pStyle w:val="Bodytext20"/>
        <w:numPr>
          <w:ilvl w:val="0"/>
          <w:numId w:val="4"/>
        </w:numPr>
        <w:shd w:val="clear" w:color="auto" w:fill="auto"/>
        <w:tabs>
          <w:tab w:val="left" w:pos="785"/>
        </w:tabs>
        <w:spacing w:before="120" w:after="240" w:line="300" w:lineRule="auto"/>
        <w:ind w:left="7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 xml:space="preserve">Prawidłowe ustalanie daty ostateczności decyzji z uwzględnieniem dyspozycji </w:t>
      </w:r>
      <w:r w:rsidRPr="0030691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306910">
        <w:rPr>
          <w:rFonts w:asciiTheme="minorHAnsi" w:hAnsiTheme="minorHAnsi" w:cstheme="minorHAnsi"/>
          <w:sz w:val="22"/>
          <w:szCs w:val="22"/>
        </w:rPr>
        <w:t>16 §1 k.p.a.</w:t>
      </w:r>
    </w:p>
    <w:p w:rsidR="00FE7768" w:rsidRPr="00306910" w:rsidRDefault="00916DA9" w:rsidP="00306910">
      <w:pPr>
        <w:pStyle w:val="Bodytext20"/>
        <w:numPr>
          <w:ilvl w:val="0"/>
          <w:numId w:val="4"/>
        </w:numPr>
        <w:shd w:val="clear" w:color="auto" w:fill="auto"/>
        <w:tabs>
          <w:tab w:val="left" w:pos="785"/>
        </w:tabs>
        <w:spacing w:before="120" w:after="240" w:line="300" w:lineRule="auto"/>
        <w:ind w:left="7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Staranne sporządzanie decyzji administracyjnych, informacji o niezałatwieniu sprawy w terminie i oświadczeń o bezstronności pracownika oraz każdorazową weryfikację poprawności ww. dokumentów w celu wyeliminowania błędów i omyłek.</w:t>
      </w:r>
    </w:p>
    <w:p w:rsidR="00FE7768" w:rsidRPr="00306910" w:rsidRDefault="00916DA9" w:rsidP="00306910">
      <w:pPr>
        <w:pStyle w:val="Bodytext20"/>
        <w:numPr>
          <w:ilvl w:val="0"/>
          <w:numId w:val="4"/>
        </w:numPr>
        <w:shd w:val="clear" w:color="auto" w:fill="auto"/>
        <w:tabs>
          <w:tab w:val="left" w:pos="785"/>
        </w:tabs>
        <w:spacing w:before="120" w:after="240" w:line="300" w:lineRule="auto"/>
        <w:ind w:left="74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lastRenderedPageBreak/>
        <w:t>Każdorazowe dołączenie do akt sprawy oświadczeń o bezstronności pracownika.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Pana w terminie nie dłuższym niż 30 dni od dnia doręc</w:t>
      </w:r>
      <w:r w:rsidR="00163857" w:rsidRPr="00306910">
        <w:rPr>
          <w:rFonts w:asciiTheme="minorHAnsi" w:hAnsiTheme="minorHAnsi" w:cstheme="minorHAnsi"/>
          <w:sz w:val="22"/>
          <w:szCs w:val="22"/>
        </w:rPr>
        <w:t>zenia niniejszego Wystąpienia po</w:t>
      </w:r>
      <w:r w:rsidRPr="00306910">
        <w:rPr>
          <w:rFonts w:asciiTheme="minorHAnsi" w:hAnsiTheme="minorHAnsi" w:cstheme="minorHAnsi"/>
          <w:sz w:val="22"/>
          <w:szCs w:val="22"/>
        </w:rPr>
        <w:t xml:space="preserve">kontrolnego, informacji o sposobie realizacji zaleceń/wniosków </w:t>
      </w:r>
      <w:proofErr w:type="spellStart"/>
      <w:r w:rsidRPr="00306910">
        <w:rPr>
          <w:rFonts w:asciiTheme="minorHAnsi" w:hAnsiTheme="minorHAnsi" w:cstheme="minorHAnsi"/>
          <w:sz w:val="22"/>
          <w:szCs w:val="22"/>
        </w:rPr>
        <w:t>pokonttolnych</w:t>
      </w:r>
      <w:proofErr w:type="spellEnd"/>
      <w:r w:rsidRPr="00306910">
        <w:rPr>
          <w:rFonts w:asciiTheme="minorHAnsi" w:hAnsiTheme="minorHAnsi" w:cstheme="minorHAnsi"/>
          <w:sz w:val="22"/>
          <w:szCs w:val="22"/>
        </w:rPr>
        <w:t xml:space="preserve"> </w:t>
      </w:r>
      <w:r w:rsidR="00163857" w:rsidRPr="00306910">
        <w:rPr>
          <w:rFonts w:asciiTheme="minorHAnsi" w:hAnsiTheme="minorHAnsi" w:cstheme="minorHAnsi"/>
          <w:sz w:val="22"/>
          <w:szCs w:val="22"/>
        </w:rPr>
        <w:t xml:space="preserve">i wykorzystaniu </w:t>
      </w:r>
      <w:r w:rsidRPr="00306910">
        <w:rPr>
          <w:rFonts w:asciiTheme="minorHAnsi" w:hAnsiTheme="minorHAnsi" w:cstheme="minorHAnsi"/>
          <w:sz w:val="22"/>
          <w:szCs w:val="22"/>
        </w:rPr>
        <w:t>uwag zawartych w wystąpieniu pokontrolnym lub przyczynach braku realizacji zaleceń/wniosków pokontrolnych lub niewykorzystaniu uwag bądź o innym sposobie usunięcia stwierdzonych nieprawidłowości lub uchybień. Na podstawie § 41 ust. 1 Zarządzenia zobowiązuję Pana do przekazania kopii ww. informacji Panu Tomaszowi Bratkowi Zastępcy Prezydenta m.st. Warszawy.</w:t>
      </w:r>
    </w:p>
    <w:p w:rsidR="00163857" w:rsidRPr="00306910" w:rsidRDefault="00306910" w:rsidP="00306910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306910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06910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FE7768" w:rsidRPr="00306910" w:rsidRDefault="00916DA9" w:rsidP="003069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  <w:sectPr w:rsidR="00FE7768" w:rsidRPr="00306910" w:rsidSect="00337773">
          <w:footerReference w:type="default" r:id="rId8"/>
          <w:headerReference w:type="first" r:id="rId9"/>
          <w:footerReference w:type="first" r:id="rId10"/>
          <w:pgSz w:w="11900" w:h="16840"/>
          <w:pgMar w:top="2063" w:right="1575" w:bottom="1796" w:left="1660" w:header="0" w:footer="3" w:gutter="0"/>
          <w:cols w:space="720"/>
          <w:noEndnote/>
          <w:titlePg/>
          <w:docGrid w:linePitch="360"/>
        </w:sectPr>
      </w:pPr>
      <w:r w:rsidRPr="00306910">
        <w:rPr>
          <w:rFonts w:asciiTheme="minorHAnsi" w:hAnsiTheme="minorHAnsi" w:cstheme="minorHAnsi"/>
          <w:sz w:val="22"/>
          <w:szCs w:val="22"/>
        </w:rPr>
        <w:t>1. Pan Tomasz Bratek - Zas</w:t>
      </w:r>
      <w:r w:rsidR="00306910">
        <w:rPr>
          <w:rFonts w:asciiTheme="minorHAnsi" w:hAnsiTheme="minorHAnsi" w:cstheme="minorHAnsi"/>
          <w:sz w:val="22"/>
          <w:szCs w:val="22"/>
        </w:rPr>
        <w:t xml:space="preserve">tępca Prezydenta m.st. </w:t>
      </w:r>
      <w:proofErr w:type="spellStart"/>
      <w:r w:rsidR="00306910">
        <w:rPr>
          <w:rFonts w:asciiTheme="minorHAnsi" w:hAnsiTheme="minorHAnsi" w:cstheme="minorHAnsi"/>
          <w:sz w:val="22"/>
          <w:szCs w:val="22"/>
        </w:rPr>
        <w:t>Warsza</w:t>
      </w:r>
      <w:proofErr w:type="spellEnd"/>
    </w:p>
    <w:p w:rsidR="00FE7768" w:rsidRPr="00306910" w:rsidRDefault="00FE7768" w:rsidP="00306910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</w:p>
    <w:sectPr w:rsidR="00FE7768" w:rsidRPr="00306910" w:rsidSect="006F6ED2">
      <w:footerReference w:type="default" r:id="rId11"/>
      <w:pgSz w:w="11900" w:h="16840"/>
      <w:pgMar w:top="13046" w:right="7492" w:bottom="3609" w:left="4312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DA9" w:rsidRDefault="00916DA9">
      <w:r>
        <w:separator/>
      </w:r>
    </w:p>
  </w:endnote>
  <w:endnote w:type="continuationSeparator" w:id="0">
    <w:p w:rsidR="00916DA9" w:rsidRDefault="0091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7210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306910" w:rsidRPr="00306910" w:rsidRDefault="00306910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30691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0691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30691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74CD4">
          <w:rPr>
            <w:rFonts w:asciiTheme="minorHAnsi" w:hAnsiTheme="minorHAnsi" w:cstheme="minorHAnsi"/>
            <w:noProof/>
            <w:sz w:val="22"/>
            <w:szCs w:val="22"/>
          </w:rPr>
          <w:t>10</w:t>
        </w:r>
        <w:r w:rsidRPr="00306910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FE7768" w:rsidRPr="00306910" w:rsidRDefault="00FE7768">
    <w:pPr>
      <w:rPr>
        <w:rFonts w:asciiTheme="minorHAnsi" w:hAnsiTheme="minorHAnsi" w:cstheme="minorHAnsi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917711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306910" w:rsidRPr="00306910" w:rsidRDefault="00306910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30691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0691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30691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74CD4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306910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306910" w:rsidRDefault="003069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768" w:rsidRPr="00163857" w:rsidRDefault="00FE7768" w:rsidP="00163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DA9" w:rsidRDefault="00916DA9"/>
  </w:footnote>
  <w:footnote w:type="continuationSeparator" w:id="0">
    <w:p w:rsidR="00916DA9" w:rsidRDefault="00916DA9"/>
  </w:footnote>
  <w:footnote w:id="1">
    <w:p w:rsidR="00FE7768" w:rsidRPr="009F5813" w:rsidRDefault="00916DA9" w:rsidP="00E74CD4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left="180" w:right="700" w:hanging="180"/>
        <w:contextualSpacing/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ab/>
        <w:t xml:space="preserve">Zarządzenie nr </w:t>
      </w:r>
      <w:r w:rsidRPr="009F581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585/2020 </w:t>
      </w:r>
      <w:r w:rsidRPr="009F5813">
        <w:rPr>
          <w:rFonts w:asciiTheme="minorHAnsi" w:hAnsiTheme="minorHAnsi" w:cstheme="minorHAnsi"/>
          <w:sz w:val="22"/>
          <w:szCs w:val="22"/>
        </w:rPr>
        <w:t>Prezydenta Miasta Stołecznego Warszawy z dnia 11 maja 2020 r. w sprawie nadania wewnętrznego regulaminu organizacyjnego Biura Mienia Miasta i Skarbu Państwa Urzędu Miasta Stołecznego Warszawy ze zm.</w:t>
      </w:r>
    </w:p>
  </w:footnote>
  <w:footnote w:id="2">
    <w:p w:rsidR="00FE7768" w:rsidRPr="009F5813" w:rsidRDefault="00916DA9" w:rsidP="00E74CD4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ab/>
        <w:t>6 spraw związanych z wyłączeniem gruntów z produkcji rolniczej prowadzono pod &lt;</w:t>
      </w:r>
    </w:p>
    <w:p w:rsidR="00FE7768" w:rsidRPr="009F5813" w:rsidRDefault="00916DA9" w:rsidP="00E74CD4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</w:rPr>
        <w:t>tj.</w:t>
      </w:r>
    </w:p>
  </w:footnote>
  <w:footnote w:id="3">
    <w:p w:rsidR="00FE7768" w:rsidRPr="009F5813" w:rsidRDefault="00916DA9" w:rsidP="00E74CD4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left="180" w:hanging="18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ab/>
        <w:t>W sprawie instrukcji kancelaryjnej, jednolitych rzeczowych wykazów akt oraz instrukcji w sprawie organizacji i zakresu działania archiwów zakładowych (Dz.U. z 2011 r. Nr 14 poz. 67).</w:t>
      </w:r>
    </w:p>
  </w:footnote>
  <w:footnote w:id="4">
    <w:p w:rsidR="00FE7768" w:rsidRPr="009F5813" w:rsidRDefault="00916DA9" w:rsidP="00E74CD4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left="160" w:right="680" w:hanging="16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ab/>
        <w:t>Komunikat Nr 23 Ministra Finansów z dnia 16 grudnia 2009 r. w sprawie standardów kontroli zarządczej dla sektora finansów publicznych (Dz.Urz.MF.2009.15.84).</w:t>
      </w:r>
    </w:p>
  </w:footnote>
  <w:footnote w:id="5">
    <w:p w:rsidR="00FE7768" w:rsidRPr="009F5813" w:rsidRDefault="00916DA9" w:rsidP="00E74CD4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ab/>
        <w:t xml:space="preserve">Dz. U. z 2022 r., poz. 2409 </w:t>
      </w:r>
      <w:proofErr w:type="spellStart"/>
      <w:r w:rsidRPr="009F581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9F5813">
        <w:rPr>
          <w:rFonts w:asciiTheme="minorHAnsi" w:hAnsiTheme="minorHAnsi" w:cstheme="minorHAnsi"/>
          <w:sz w:val="22"/>
          <w:szCs w:val="22"/>
        </w:rPr>
        <w:t>.</w:t>
      </w:r>
    </w:p>
  </w:footnote>
  <w:footnote w:id="6">
    <w:p w:rsidR="00FE7768" w:rsidRPr="009F5813" w:rsidRDefault="00916DA9" w:rsidP="00E74CD4">
      <w:pPr>
        <w:pStyle w:val="Footnote2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</w:rPr>
        <w:footnoteRef/>
      </w:r>
    </w:p>
  </w:footnote>
  <w:footnote w:id="7">
    <w:p w:rsidR="00FE7768" w:rsidRPr="009F5813" w:rsidRDefault="00916DA9" w:rsidP="00E74CD4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58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A85B32">
        <w:rPr>
          <w:rFonts w:asciiTheme="minorHAnsi" w:hAnsiTheme="minorHAnsi" w:cstheme="minorHAnsi"/>
          <w:sz w:val="22"/>
          <w:szCs w:val="22"/>
        </w:rPr>
        <w:t xml:space="preserve"> </w:t>
      </w:r>
      <w:r w:rsidRPr="009F5813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9F5813">
        <w:rPr>
          <w:rFonts w:asciiTheme="minorHAnsi" w:hAnsiTheme="minorHAnsi" w:cstheme="minorHAnsi"/>
          <w:sz w:val="22"/>
          <w:szCs w:val="22"/>
        </w:rPr>
        <w:t>spraw, w których decyzja zezwalająca na wyłączenie gruntów z produkcji rolniczej została wydana przed planowaną datą rozpoczęcia budowy wskazaną we wniosku.</w:t>
      </w:r>
    </w:p>
  </w:footnote>
  <w:footnote w:id="8">
    <w:p w:rsidR="00FE7768" w:rsidRPr="009F5813" w:rsidRDefault="00916DA9" w:rsidP="00E74CD4">
      <w:pPr>
        <w:pStyle w:val="Footnote2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</w:rPr>
        <w:footnoteRef/>
      </w:r>
    </w:p>
  </w:footnote>
  <w:footnote w:id="9">
    <w:p w:rsidR="00FE7768" w:rsidRPr="009F5813" w:rsidRDefault="00916DA9" w:rsidP="00E74CD4">
      <w:pPr>
        <w:pStyle w:val="Footnote10"/>
        <w:shd w:val="clear" w:color="auto" w:fill="auto"/>
        <w:spacing w:before="120" w:after="240" w:line="300" w:lineRule="auto"/>
        <w:ind w:right="48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 xml:space="preserve"> We wniosku o wyłączeniu gruntu z produkcji rolniczej wnioskodawcy każdorazowo wskazywali miesiąc i rok planowanego rozpoczęcia budowy.</w:t>
      </w:r>
    </w:p>
  </w:footnote>
  <w:footnote w:id="10">
    <w:p w:rsidR="00FE7768" w:rsidRPr="009F5813" w:rsidRDefault="00916DA9" w:rsidP="00E74CD4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 xml:space="preserve"> </w:t>
      </w:r>
      <w:r w:rsidRPr="009F5813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9F5813">
        <w:rPr>
          <w:rFonts w:asciiTheme="minorHAnsi" w:hAnsiTheme="minorHAnsi" w:cstheme="minorHAnsi"/>
          <w:sz w:val="22"/>
          <w:szCs w:val="22"/>
        </w:rPr>
        <w:t>wyłą</w:t>
      </w:r>
      <w:r w:rsidR="00A85B32">
        <w:rPr>
          <w:rFonts w:asciiTheme="minorHAnsi" w:hAnsiTheme="minorHAnsi" w:cstheme="minorHAnsi"/>
          <w:sz w:val="22"/>
          <w:szCs w:val="22"/>
        </w:rPr>
        <w:t>cz</w:t>
      </w:r>
      <w:r w:rsidRPr="009F5813">
        <w:rPr>
          <w:rFonts w:asciiTheme="minorHAnsi" w:hAnsiTheme="minorHAnsi" w:cstheme="minorHAnsi"/>
          <w:sz w:val="22"/>
          <w:szCs w:val="22"/>
        </w:rPr>
        <w:t xml:space="preserve">enia gruntów z produkcji </w:t>
      </w:r>
      <w:r w:rsidR="00A85B32" w:rsidRPr="009F5813">
        <w:rPr>
          <w:rFonts w:asciiTheme="minorHAnsi" w:hAnsiTheme="minorHAnsi" w:cstheme="minorHAnsi"/>
          <w:sz w:val="22"/>
          <w:szCs w:val="22"/>
        </w:rPr>
        <w:t>rolnej</w:t>
      </w:r>
      <w:r w:rsidRPr="009F5813">
        <w:rPr>
          <w:rFonts w:asciiTheme="minorHAnsi" w:hAnsiTheme="minorHAnsi" w:cstheme="minorHAnsi"/>
          <w:sz w:val="22"/>
          <w:szCs w:val="22"/>
        </w:rPr>
        <w:t xml:space="preserve"> na cele budownictwa mieszkaniowego</w:t>
      </w:r>
    </w:p>
  </w:footnote>
  <w:footnote w:id="11">
    <w:p w:rsidR="00FE7768" w:rsidRPr="009F5813" w:rsidRDefault="00916DA9" w:rsidP="00E74CD4">
      <w:pPr>
        <w:pStyle w:val="Footnote10"/>
        <w:shd w:val="clear" w:color="auto" w:fill="auto"/>
        <w:spacing w:before="120" w:after="240" w:line="300" w:lineRule="auto"/>
        <w:ind w:right="7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t>32</w:t>
      </w:r>
      <w:r w:rsidRPr="009F5813">
        <w:rPr>
          <w:rFonts w:asciiTheme="minorHAnsi" w:hAnsiTheme="minorHAnsi" w:cstheme="minorHAnsi"/>
          <w:sz w:val="22"/>
          <w:szCs w:val="22"/>
        </w:rPr>
        <w:t xml:space="preserve"> W przypadku, gdy celem wyłą</w:t>
      </w:r>
      <w:r w:rsidR="00A85B32">
        <w:rPr>
          <w:rFonts w:asciiTheme="minorHAnsi" w:hAnsiTheme="minorHAnsi" w:cstheme="minorHAnsi"/>
          <w:sz w:val="22"/>
          <w:szCs w:val="22"/>
        </w:rPr>
        <w:t>cz</w:t>
      </w:r>
      <w:r w:rsidRPr="009F5813">
        <w:rPr>
          <w:rFonts w:asciiTheme="minorHAnsi" w:hAnsiTheme="minorHAnsi" w:cstheme="minorHAnsi"/>
          <w:sz w:val="22"/>
          <w:szCs w:val="22"/>
        </w:rPr>
        <w:t xml:space="preserve">enia gruntu było wybudowanie </w:t>
      </w:r>
      <w:r w:rsidRPr="009F5813">
        <w:rPr>
          <w:rStyle w:val="Footnote1Italic"/>
          <w:rFonts w:asciiTheme="minorHAnsi" w:hAnsiTheme="minorHAnsi" w:cstheme="minorHAnsi"/>
          <w:sz w:val="22"/>
          <w:szCs w:val="22"/>
        </w:rPr>
        <w:t>m</w:t>
      </w:r>
      <w:r w:rsidRPr="009F5813">
        <w:rPr>
          <w:rFonts w:asciiTheme="minorHAnsi" w:hAnsiTheme="minorHAnsi" w:cstheme="minorHAnsi"/>
          <w:sz w:val="22"/>
          <w:szCs w:val="22"/>
        </w:rPr>
        <w:t xml:space="preserve"> gruncie dwóch lub więcej budynków, odliczano 0,05 ha za każdy budynek.</w:t>
      </w:r>
    </w:p>
  </w:footnote>
  <w:footnote w:id="12">
    <w:p w:rsidR="00FE7768" w:rsidRPr="009F5813" w:rsidRDefault="00916DA9" w:rsidP="00E74CD4">
      <w:pPr>
        <w:pStyle w:val="Footnote10"/>
        <w:shd w:val="clear" w:color="auto" w:fill="auto"/>
        <w:spacing w:before="120" w:after="240" w:line="300" w:lineRule="auto"/>
        <w:ind w:right="94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 xml:space="preserve"> Danecka Daria, Radecki Wojciech, Ochrona gruntów rolnych i leśnych. Komentarz, wyd. V, opublikowano: WKP 2021.</w:t>
      </w:r>
    </w:p>
  </w:footnote>
  <w:footnote w:id="13">
    <w:p w:rsidR="00FE7768" w:rsidRPr="009F5813" w:rsidRDefault="00916DA9" w:rsidP="00E74CD4">
      <w:pPr>
        <w:pStyle w:val="Footnote3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i w:val="0"/>
          <w:sz w:val="22"/>
          <w:szCs w:val="22"/>
        </w:rPr>
      </w:pPr>
      <w:r w:rsidRPr="009F5813">
        <w:rPr>
          <w:rStyle w:val="Footnote3NotItalic"/>
          <w:rFonts w:asciiTheme="minorHAnsi" w:hAnsiTheme="minorHAnsi" w:cstheme="minorHAnsi"/>
          <w:sz w:val="22"/>
          <w:szCs w:val="22"/>
          <w:vertAlign w:val="superscript"/>
        </w:rPr>
        <w:t>34</w:t>
      </w:r>
      <w:r w:rsidRPr="009F5813">
        <w:rPr>
          <w:rStyle w:val="Footnote3NotItalic"/>
          <w:rFonts w:asciiTheme="minorHAnsi" w:hAnsiTheme="minorHAnsi" w:cstheme="minorHAnsi"/>
          <w:sz w:val="22"/>
          <w:szCs w:val="22"/>
        </w:rPr>
        <w:t xml:space="preserve"> </w:t>
      </w:r>
      <w:r w:rsidRPr="009F5813">
        <w:rPr>
          <w:rStyle w:val="Footnote3NotItalic"/>
          <w:rFonts w:asciiTheme="minorHAnsi" w:hAnsiTheme="minorHAnsi" w:cstheme="minorHAnsi"/>
          <w:i/>
          <w:sz w:val="22"/>
          <w:szCs w:val="22"/>
        </w:rPr>
        <w:t xml:space="preserve">W </w:t>
      </w:r>
      <w:r w:rsidRPr="009F5813">
        <w:rPr>
          <w:rFonts w:asciiTheme="minorHAnsi" w:hAnsiTheme="minorHAnsi" w:cstheme="minorHAnsi"/>
          <w:i w:val="0"/>
          <w:sz w:val="22"/>
          <w:szCs w:val="22"/>
        </w:rPr>
        <w:t>Wyroku Wojewódzkiego Sądu Administracyjnego w Warszawie z dnia 18.12.2019 r., sygn. IV</w:t>
      </w:r>
      <w:r w:rsidRPr="009F5813">
        <w:rPr>
          <w:rStyle w:val="Footnote3NotItalic"/>
          <w:rFonts w:asciiTheme="minorHAnsi" w:hAnsiTheme="minorHAnsi" w:cstheme="minorHAnsi"/>
          <w:i/>
          <w:sz w:val="22"/>
          <w:szCs w:val="22"/>
        </w:rPr>
        <w:t xml:space="preserve"> '</w:t>
      </w:r>
    </w:p>
  </w:footnote>
  <w:footnote w:id="14">
    <w:p w:rsidR="00FE7768" w:rsidRPr="009F5813" w:rsidRDefault="00916DA9" w:rsidP="00E74CD4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Style w:val="Footnote1Italic"/>
          <w:rFonts w:asciiTheme="minorHAnsi" w:hAnsiTheme="minorHAnsi" w:cstheme="minorHAnsi"/>
          <w:i w:val="0"/>
          <w:sz w:val="22"/>
          <w:szCs w:val="22"/>
        </w:rPr>
        <w:t xml:space="preserve">SA/Wa </w:t>
      </w:r>
      <w:r w:rsidRPr="009F5813">
        <w:rPr>
          <w:rStyle w:val="Footnote1Italic"/>
          <w:rFonts w:asciiTheme="minorHAnsi" w:hAnsiTheme="minorHAnsi" w:cstheme="minorHAnsi"/>
          <w:i w:val="0"/>
          <w:sz w:val="22"/>
          <w:szCs w:val="22"/>
          <w:lang w:val="ru-RU" w:eastAsia="ru-RU" w:bidi="ru-RU"/>
        </w:rPr>
        <w:t>730/19</w:t>
      </w:r>
      <w:r w:rsidRPr="009F581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 </w:t>
      </w:r>
      <w:r w:rsidRPr="009F5813">
        <w:rPr>
          <w:rFonts w:asciiTheme="minorHAnsi" w:hAnsiTheme="minorHAnsi" w:cstheme="minorHAnsi"/>
          <w:sz w:val="22"/>
          <w:szCs w:val="22"/>
        </w:rPr>
        <w:t xml:space="preserve">wskazano, że gdy wyłączeniu z produkcji podlega grunt o powierzchni </w:t>
      </w:r>
      <w:proofErr w:type="spellStart"/>
      <w:r w:rsidRPr="009F5813">
        <w:rPr>
          <w:rFonts w:asciiTheme="minorHAnsi" w:hAnsiTheme="minorHAnsi" w:cstheme="minorHAnsi"/>
          <w:sz w:val="22"/>
          <w:szCs w:val="22"/>
        </w:rPr>
        <w:t>przekraaającej</w:t>
      </w:r>
      <w:proofErr w:type="spellEnd"/>
      <w:r w:rsidRPr="009F5813">
        <w:rPr>
          <w:rFonts w:asciiTheme="minorHAnsi" w:hAnsiTheme="minorHAnsi" w:cstheme="minorHAnsi"/>
          <w:sz w:val="22"/>
          <w:szCs w:val="22"/>
        </w:rPr>
        <w:t xml:space="preserve"> 0,05 ha, </w:t>
      </w:r>
      <w:proofErr w:type="spellStart"/>
      <w:r w:rsidRPr="009F5813">
        <w:rPr>
          <w:rFonts w:asciiTheme="minorHAnsi" w:hAnsiTheme="minorHAnsi" w:cstheme="minorHAnsi"/>
          <w:sz w:val="22"/>
          <w:szCs w:val="22"/>
        </w:rPr>
        <w:t>konieaność</w:t>
      </w:r>
      <w:proofErr w:type="spellEnd"/>
      <w:r w:rsidRPr="009F58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5813">
        <w:rPr>
          <w:rFonts w:asciiTheme="minorHAnsi" w:hAnsiTheme="minorHAnsi" w:cstheme="minorHAnsi"/>
          <w:sz w:val="22"/>
          <w:szCs w:val="22"/>
        </w:rPr>
        <w:t>uiszaenia</w:t>
      </w:r>
      <w:proofErr w:type="spellEnd"/>
      <w:r w:rsidRPr="009F5813">
        <w:rPr>
          <w:rFonts w:asciiTheme="minorHAnsi" w:hAnsiTheme="minorHAnsi" w:cstheme="minorHAnsi"/>
          <w:sz w:val="22"/>
          <w:szCs w:val="22"/>
        </w:rPr>
        <w:t xml:space="preserve"> należności i opłat rocznych dotyczy całej powierzchni podlegającej </w:t>
      </w:r>
      <w:proofErr w:type="spellStart"/>
      <w:r w:rsidRPr="009F5813">
        <w:rPr>
          <w:rFonts w:asciiTheme="minorHAnsi" w:hAnsiTheme="minorHAnsi" w:cstheme="minorHAnsi"/>
          <w:sz w:val="22"/>
          <w:szCs w:val="22"/>
        </w:rPr>
        <w:t>wyłąaeniu</w:t>
      </w:r>
      <w:proofErr w:type="spellEnd"/>
      <w:r w:rsidRPr="009F5813">
        <w:rPr>
          <w:rFonts w:asciiTheme="minorHAnsi" w:hAnsiTheme="minorHAnsi" w:cstheme="minorHAnsi"/>
          <w:sz w:val="22"/>
          <w:szCs w:val="22"/>
        </w:rPr>
        <w:t>. Ustawodawca "premiuje" bowiem jedynie brakiem należności i opłat powierzchnię gruntu podlegającą wyłączeniu nieprzekraczającą 0,05 ha. Takie rozumienie przepisu zdaniem sądu wpisuje się w ochronę gruntów rolnych/leśnych przed zmianą ich przeznaczenia.</w:t>
      </w:r>
    </w:p>
  </w:footnote>
  <w:footnote w:id="15">
    <w:p w:rsidR="00FE7768" w:rsidRPr="009F5813" w:rsidRDefault="00916DA9" w:rsidP="00E74CD4">
      <w:pPr>
        <w:pStyle w:val="Footnote10"/>
        <w:pBdr>
          <w:top w:val="single" w:sz="4" w:space="1" w:color="auto"/>
        </w:pBdr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ab/>
        <w:t xml:space="preserve">Dz. U. z 2022 r., </w:t>
      </w:r>
      <w:proofErr w:type="spellStart"/>
      <w:r w:rsidRPr="009F5813">
        <w:rPr>
          <w:rFonts w:asciiTheme="minorHAnsi" w:hAnsiTheme="minorHAnsi" w:cstheme="minorHAnsi"/>
          <w:sz w:val="22"/>
          <w:szCs w:val="22"/>
        </w:rPr>
        <w:t>puz</w:t>
      </w:r>
      <w:proofErr w:type="spellEnd"/>
      <w:r w:rsidRPr="009F5813">
        <w:rPr>
          <w:rFonts w:asciiTheme="minorHAnsi" w:hAnsiTheme="minorHAnsi" w:cstheme="minorHAnsi"/>
          <w:sz w:val="22"/>
          <w:szCs w:val="22"/>
        </w:rPr>
        <w:t xml:space="preserve">. 7000 </w:t>
      </w:r>
      <w:proofErr w:type="spellStart"/>
      <w:r w:rsidRPr="009F581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9F5813">
        <w:rPr>
          <w:rFonts w:asciiTheme="minorHAnsi" w:hAnsiTheme="minorHAnsi" w:cstheme="minorHAnsi"/>
          <w:sz w:val="22"/>
          <w:szCs w:val="22"/>
        </w:rPr>
        <w:t>.</w:t>
      </w:r>
    </w:p>
  </w:footnote>
  <w:footnote w:id="16">
    <w:p w:rsidR="00FE7768" w:rsidRPr="009F5813" w:rsidRDefault="00916DA9" w:rsidP="00E74CD4">
      <w:pPr>
        <w:pStyle w:val="Footnote2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</w:rPr>
        <w:footnoteRef/>
      </w:r>
    </w:p>
  </w:footnote>
  <w:footnote w:id="17">
    <w:p w:rsidR="00FE7768" w:rsidRPr="009F5813" w:rsidRDefault="00916DA9" w:rsidP="00E74CD4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 xml:space="preserve"> </w:t>
      </w:r>
      <w:r w:rsidRPr="009F5813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9F5813">
        <w:rPr>
          <w:rFonts w:asciiTheme="minorHAnsi" w:hAnsiTheme="minorHAnsi" w:cstheme="minorHAnsi"/>
          <w:sz w:val="22"/>
          <w:szCs w:val="22"/>
        </w:rPr>
        <w:t>przypadków, w których organ wyznaczył nowy termin na załatwienie sprawy i nie dochował wskazanego terminu.</w:t>
      </w:r>
    </w:p>
  </w:footnote>
  <w:footnote w:id="18">
    <w:p w:rsidR="00FE7768" w:rsidRPr="009F5813" w:rsidRDefault="00916DA9" w:rsidP="00E74CD4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</w:rPr>
        <w:t>19</w:t>
      </w:r>
      <w:r w:rsidRPr="009F5813">
        <w:rPr>
          <w:rFonts w:asciiTheme="minorHAnsi" w:hAnsiTheme="minorHAnsi" w:cstheme="minorHAnsi"/>
          <w:sz w:val="22"/>
          <w:szCs w:val="22"/>
          <w:vertAlign w:val="subscript"/>
        </w:rPr>
        <w:t>S</w:t>
      </w:r>
    </w:p>
  </w:footnote>
  <w:footnote w:id="19">
    <w:p w:rsidR="00FE7768" w:rsidRPr="009F5813" w:rsidRDefault="00916DA9" w:rsidP="00E74CD4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 xml:space="preserve"> W13 postępowaniach dokumenty sporządzone przez pracownika były akceptowane przez osobę upoważnioną do ich podpisu po upływie </w:t>
      </w:r>
      <w:proofErr w:type="spellStart"/>
      <w:r w:rsidRPr="009F5813">
        <w:rPr>
          <w:rFonts w:asciiTheme="minorHAnsi" w:hAnsiTheme="minorHAnsi" w:cstheme="minorHAnsi"/>
          <w:sz w:val="22"/>
          <w:szCs w:val="22"/>
        </w:rPr>
        <w:t>ori</w:t>
      </w:r>
      <w:proofErr w:type="spellEnd"/>
      <w:r w:rsidRPr="009F5813">
        <w:rPr>
          <w:rFonts w:asciiTheme="minorHAnsi" w:hAnsiTheme="minorHAnsi" w:cstheme="minorHAnsi"/>
          <w:sz w:val="22"/>
          <w:szCs w:val="22"/>
        </w:rPr>
        <w:t xml:space="preserve"> 11 </w:t>
      </w:r>
      <w:proofErr w:type="spellStart"/>
      <w:r w:rsidRPr="009F5813">
        <w:rPr>
          <w:rFonts w:asciiTheme="minorHAnsi" w:hAnsiTheme="minorHAnsi" w:cstheme="minorHAnsi"/>
          <w:sz w:val="22"/>
          <w:szCs w:val="22"/>
        </w:rPr>
        <w:t>tlo</w:t>
      </w:r>
      <w:proofErr w:type="spellEnd"/>
      <w:r w:rsidRPr="009F5813">
        <w:rPr>
          <w:rFonts w:asciiTheme="minorHAnsi" w:hAnsiTheme="minorHAnsi" w:cstheme="minorHAnsi"/>
          <w:sz w:val="22"/>
          <w:szCs w:val="22"/>
        </w:rPr>
        <w:t xml:space="preserve"> 50 dni.</w:t>
      </w:r>
    </w:p>
  </w:footnote>
  <w:footnote w:id="20">
    <w:p w:rsidR="00FE7768" w:rsidRPr="009F5813" w:rsidRDefault="00916DA9" w:rsidP="00E74CD4">
      <w:pPr>
        <w:pStyle w:val="Footnote10"/>
        <w:shd w:val="clear" w:color="auto" w:fill="auto"/>
        <w:spacing w:before="120" w:after="240" w:line="300" w:lineRule="auto"/>
        <w:ind w:left="18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</w:rPr>
        <w:t>C</w:t>
      </w:r>
    </w:p>
  </w:footnote>
  <w:footnote w:id="21">
    <w:p w:rsidR="00FE7768" w:rsidRPr="009F5813" w:rsidRDefault="00916DA9" w:rsidP="00E74CD4">
      <w:pPr>
        <w:pStyle w:val="Footnote20"/>
        <w:pBdr>
          <w:top w:val="single" w:sz="4" w:space="1" w:color="auto"/>
        </w:pBdr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</w:rPr>
        <w:footnoteRef/>
      </w:r>
    </w:p>
  </w:footnote>
  <w:footnote w:id="22">
    <w:p w:rsidR="00FE7768" w:rsidRPr="009F5813" w:rsidRDefault="00916DA9" w:rsidP="00E74CD4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ab/>
        <w:t xml:space="preserve">Wyrok NAS z dnia 25.04.2006 r. </w:t>
      </w:r>
      <w:proofErr w:type="spellStart"/>
      <w:r w:rsidRPr="009F5813">
        <w:rPr>
          <w:rFonts w:asciiTheme="minorHAnsi" w:hAnsiTheme="minorHAnsi" w:cstheme="minorHAnsi"/>
          <w:sz w:val="22"/>
          <w:szCs w:val="22"/>
        </w:rPr>
        <w:t>syg</w:t>
      </w:r>
      <w:proofErr w:type="spellEnd"/>
      <w:r w:rsidRPr="009F5813">
        <w:rPr>
          <w:rFonts w:asciiTheme="minorHAnsi" w:hAnsiTheme="minorHAnsi" w:cstheme="minorHAnsi"/>
          <w:sz w:val="22"/>
          <w:szCs w:val="22"/>
        </w:rPr>
        <w:t xml:space="preserve">. II OSK </w:t>
      </w:r>
      <w:r w:rsidRPr="009F581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714/05, </w:t>
      </w:r>
      <w:r w:rsidRPr="009F5813">
        <w:rPr>
          <w:rFonts w:asciiTheme="minorHAnsi" w:hAnsiTheme="minorHAnsi" w:cstheme="minorHAnsi"/>
          <w:sz w:val="22"/>
          <w:szCs w:val="22"/>
        </w:rPr>
        <w:t xml:space="preserve">wyrok NSA z dnia 16.07.2010 r„ sygn. akt l OSK </w:t>
      </w:r>
      <w:r w:rsidRPr="009F581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216/10, </w:t>
      </w:r>
      <w:r w:rsidRPr="009F5813">
        <w:rPr>
          <w:rFonts w:asciiTheme="minorHAnsi" w:hAnsiTheme="minorHAnsi" w:cstheme="minorHAnsi"/>
          <w:sz w:val="22"/>
          <w:szCs w:val="22"/>
        </w:rPr>
        <w:t xml:space="preserve">wyrok NSA z dnia 02.10.2002 r. </w:t>
      </w:r>
      <w:proofErr w:type="spellStart"/>
      <w:r w:rsidRPr="009F5813">
        <w:rPr>
          <w:rFonts w:asciiTheme="minorHAnsi" w:hAnsiTheme="minorHAnsi" w:cstheme="minorHAnsi"/>
          <w:sz w:val="22"/>
          <w:szCs w:val="22"/>
        </w:rPr>
        <w:t>syg</w:t>
      </w:r>
      <w:proofErr w:type="spellEnd"/>
      <w:r w:rsidRPr="009F5813">
        <w:rPr>
          <w:rFonts w:asciiTheme="minorHAnsi" w:hAnsiTheme="minorHAnsi" w:cstheme="minorHAnsi"/>
          <w:sz w:val="22"/>
          <w:szCs w:val="22"/>
        </w:rPr>
        <w:t xml:space="preserve">. III RN </w:t>
      </w:r>
      <w:r w:rsidRPr="009F5813">
        <w:rPr>
          <w:rFonts w:asciiTheme="minorHAnsi" w:hAnsiTheme="minorHAnsi" w:cstheme="minorHAnsi"/>
          <w:sz w:val="22"/>
          <w:szCs w:val="22"/>
          <w:lang w:val="ru-RU" w:eastAsia="ru-RU" w:bidi="ru-RU"/>
        </w:rPr>
        <w:t>149/1.</w:t>
      </w:r>
    </w:p>
  </w:footnote>
  <w:footnote w:id="23">
    <w:p w:rsidR="00FE7768" w:rsidRPr="009F5813" w:rsidRDefault="00916DA9" w:rsidP="00E74CD4">
      <w:pPr>
        <w:pStyle w:val="Footnote2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</w:rPr>
        <w:footnoteRef/>
      </w:r>
    </w:p>
  </w:footnote>
  <w:footnote w:id="24">
    <w:p w:rsidR="00FE7768" w:rsidRPr="009F5813" w:rsidRDefault="00916DA9" w:rsidP="00E74CD4">
      <w:pPr>
        <w:pStyle w:val="Footnote2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</w:rPr>
        <w:footnoteRef/>
      </w:r>
    </w:p>
  </w:footnote>
  <w:footnote w:id="25">
    <w:p w:rsidR="00FE7768" w:rsidRPr="009F5813" w:rsidRDefault="00916DA9" w:rsidP="00E74CD4">
      <w:pPr>
        <w:pStyle w:val="Footnote2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</w:rPr>
        <w:footnoteRef/>
      </w:r>
    </w:p>
  </w:footnote>
  <w:footnote w:id="26">
    <w:p w:rsidR="00FE7768" w:rsidRPr="009F5813" w:rsidRDefault="00916DA9" w:rsidP="00E74CD4">
      <w:pPr>
        <w:pStyle w:val="Footnote40"/>
        <w:shd w:val="clear" w:color="auto" w:fill="auto"/>
        <w:tabs>
          <w:tab w:val="left" w:pos="173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ab/>
        <w:t>C</w:t>
      </w:r>
    </w:p>
  </w:footnote>
  <w:footnote w:id="27">
    <w:p w:rsidR="00FE7768" w:rsidRPr="009F5813" w:rsidRDefault="00916DA9" w:rsidP="00E74CD4">
      <w:pPr>
        <w:pStyle w:val="Footnote2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 xml:space="preserve"> c</w:t>
      </w:r>
    </w:p>
  </w:footnote>
  <w:footnote w:id="28">
    <w:p w:rsidR="00FE7768" w:rsidRPr="009F5813" w:rsidRDefault="00916DA9" w:rsidP="00E74CD4">
      <w:pPr>
        <w:pStyle w:val="Footnote10"/>
        <w:shd w:val="clear" w:color="auto" w:fill="auto"/>
        <w:spacing w:before="120" w:after="240" w:line="300" w:lineRule="auto"/>
        <w:ind w:left="260"/>
        <w:contextualSpacing/>
        <w:rPr>
          <w:rFonts w:asciiTheme="minorHAnsi" w:hAnsiTheme="minorHAnsi" w:cstheme="minorHAnsi"/>
          <w:sz w:val="22"/>
          <w:szCs w:val="22"/>
        </w:rPr>
      </w:pPr>
      <w:r w:rsidRPr="009F581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9F5813">
        <w:rPr>
          <w:rFonts w:asciiTheme="minorHAnsi" w:hAnsiTheme="minorHAnsi" w:cstheme="minorHAnsi"/>
          <w:sz w:val="22"/>
          <w:szCs w:val="22"/>
        </w:rPr>
        <w:t xml:space="preserve"> Zarządzenie Prezydenta m.st. Warszawy Nr </w:t>
      </w:r>
      <w:r w:rsidRPr="009F581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1793/2016 </w:t>
      </w:r>
      <w:r w:rsidRPr="009F5813">
        <w:rPr>
          <w:rFonts w:asciiTheme="minorHAnsi" w:hAnsiTheme="minorHAnsi" w:cstheme="minorHAnsi"/>
          <w:sz w:val="22"/>
          <w:szCs w:val="22"/>
        </w:rPr>
        <w:t>z dnia 9 grudnia 2016 r. w sprawie procedury wyłączenia pracowników od postępowania w</w:t>
      </w:r>
      <w:r w:rsidR="00163857" w:rsidRPr="009F5813">
        <w:rPr>
          <w:rFonts w:asciiTheme="minorHAnsi" w:hAnsiTheme="minorHAnsi" w:cstheme="minorHAnsi"/>
          <w:sz w:val="22"/>
          <w:szCs w:val="22"/>
        </w:rPr>
        <w:t xml:space="preserve"> sprawach prowadzonych w Biurze </w:t>
      </w:r>
      <w:r w:rsidRPr="009F5813">
        <w:rPr>
          <w:rFonts w:asciiTheme="minorHAnsi" w:hAnsiTheme="minorHAnsi" w:cstheme="minorHAnsi"/>
          <w:sz w:val="22"/>
          <w:szCs w:val="22"/>
        </w:rPr>
        <w:t>Mienia Miasta i Skarbu Państwa, Biurze Spraw Dekretowych, Biurze Architektury i Planowania Przestrzennego Urzędu m.st. Warszawy oraz wydziałach w urzędach dzielnic właściwych w sprawach z zakresu gospodarki nieruchomościami i wydziałach w urzędach dzielnic właściwych w sprawach z zakresu architektury.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E47" w:rsidRDefault="00306910" w:rsidP="00306910">
    <w:pPr>
      <w:pStyle w:val="Nagwek"/>
      <w:ind w:right="1694"/>
    </w:pPr>
    <w:r>
      <w:rPr>
        <w:noProof/>
        <w:lang w:bidi="ar-SA"/>
      </w:rPr>
      <w:drawing>
        <wp:inline distT="0" distB="0" distL="0" distR="0" wp14:anchorId="26BE8A44" wp14:editId="76CB27F8">
          <wp:extent cx="5507355" cy="1034415"/>
          <wp:effectExtent l="0" t="0" r="0" b="0"/>
          <wp:docPr id="19" name="Obraz 19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7355" cy="1034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790D"/>
    <w:multiLevelType w:val="multilevel"/>
    <w:tmpl w:val="8DBE376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2574FA"/>
    <w:multiLevelType w:val="multilevel"/>
    <w:tmpl w:val="C082E5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8334AC"/>
    <w:multiLevelType w:val="multilevel"/>
    <w:tmpl w:val="D9A0589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C47528"/>
    <w:multiLevelType w:val="multilevel"/>
    <w:tmpl w:val="9CB2CE26"/>
    <w:lvl w:ilvl="0">
      <w:start w:val="2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768"/>
    <w:rsid w:val="00163857"/>
    <w:rsid w:val="001F7C58"/>
    <w:rsid w:val="00221893"/>
    <w:rsid w:val="00285A46"/>
    <w:rsid w:val="002E7C65"/>
    <w:rsid w:val="00306910"/>
    <w:rsid w:val="00337773"/>
    <w:rsid w:val="00536E47"/>
    <w:rsid w:val="006F6ED2"/>
    <w:rsid w:val="00746927"/>
    <w:rsid w:val="00752C89"/>
    <w:rsid w:val="00863886"/>
    <w:rsid w:val="00916DA9"/>
    <w:rsid w:val="009C694E"/>
    <w:rsid w:val="009F3E0F"/>
    <w:rsid w:val="009F5813"/>
    <w:rsid w:val="00A85B32"/>
    <w:rsid w:val="00B46A06"/>
    <w:rsid w:val="00D35279"/>
    <w:rsid w:val="00E66775"/>
    <w:rsid w:val="00E74CD4"/>
    <w:rsid w:val="00F5345F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0D66C25-7398-4AA8-87B2-29AE554BF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69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Footnote2">
    <w:name w:val="Footnote|2_"/>
    <w:basedOn w:val="Domylnaczcionkaakapitu"/>
    <w:link w:val="Footnote2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Footnote1Italic">
    <w:name w:val="Footnote|1 + Italic"/>
    <w:basedOn w:val="Footnote1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Footnote3">
    <w:name w:val="Footnote|3_"/>
    <w:basedOn w:val="Domylnaczcionkaakapitu"/>
    <w:link w:val="Footnote3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Footnote3NotItalic">
    <w:name w:val="Footnote|3 + Not Italic"/>
    <w:basedOn w:val="Footnot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Footnote4">
    <w:name w:val="Footnote|4_"/>
    <w:basedOn w:val="Domylnaczcionkaakapitu"/>
    <w:link w:val="Footnote4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Bodytext2Exact">
    <w:name w:val="Body text|2 Exact"/>
    <w:basedOn w:val="Domylnaczcionkaakapitu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5Exact">
    <w:name w:val="Body text|5 Exact"/>
    <w:basedOn w:val="Domylnaczcionkaakapitu"/>
    <w:link w:val="Bodytext5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  <w:lang w:val="ru-RU" w:eastAsia="ru-RU" w:bidi="ru-RU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4Italic">
    <w:name w:val="Body text|4 + Italic"/>
    <w:basedOn w:val="Bodytext4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Italic">
    <w:name w:val="Body text|2 + 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10ptBold">
    <w:name w:val="Body text|2 + 10 pt;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icturecaption2Exact">
    <w:name w:val="Picture caption|2 Exact"/>
    <w:basedOn w:val="Domylnaczcionkaakapitu"/>
    <w:link w:val="Picturecaption2"/>
    <w:rPr>
      <w:b w:val="0"/>
      <w:bCs w:val="0"/>
      <w:i w:val="0"/>
      <w:iCs w:val="0"/>
      <w:smallCaps w:val="0"/>
      <w:strike w:val="0"/>
      <w:spacing w:val="10"/>
      <w:sz w:val="13"/>
      <w:szCs w:val="13"/>
      <w:u w:val="none"/>
    </w:rPr>
  </w:style>
  <w:style w:type="character" w:customStyle="1" w:styleId="Picturecaption2Arial8ptBoldSpacing1ptExact">
    <w:name w:val="Picture caption|2 + Arial;8 pt;Bold;Spacing 1 pt Exact"/>
    <w:basedOn w:val="Picturecaption2Exact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6">
    <w:name w:val="Body text|6_"/>
    <w:basedOn w:val="Domylnaczcionkaakapitu"/>
    <w:link w:val="Bodytext6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7">
    <w:name w:val="Body text|7_"/>
    <w:basedOn w:val="Domylnaczcionkaakapitu"/>
    <w:link w:val="Bodytext70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Bodytext75ptNotBold">
    <w:name w:val="Body text|7 + 5 pt;Not Bold"/>
    <w:basedOn w:val="Bodytext7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Bodytext8Exact">
    <w:name w:val="Body text|8 Exact"/>
    <w:basedOn w:val="Domylnaczcionkaakapitu"/>
    <w:link w:val="Bodytext8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307" w:lineRule="exact"/>
      <w:ind w:hanging="260"/>
    </w:pPr>
    <w:rPr>
      <w:rFonts w:ascii="Arial" w:eastAsia="Arial" w:hAnsi="Arial" w:cs="Arial"/>
      <w:sz w:val="18"/>
      <w:szCs w:val="18"/>
    </w:rPr>
  </w:style>
  <w:style w:type="paragraph" w:customStyle="1" w:styleId="Footnote20">
    <w:name w:val="Footnote|2"/>
    <w:basedOn w:val="Normalny"/>
    <w:link w:val="Footnote2"/>
    <w:pPr>
      <w:shd w:val="clear" w:color="auto" w:fill="FFFFFF"/>
      <w:spacing w:line="134" w:lineRule="exact"/>
    </w:pPr>
    <w:rPr>
      <w:rFonts w:ascii="Arial" w:eastAsia="Arial" w:hAnsi="Arial" w:cs="Arial"/>
      <w:sz w:val="12"/>
      <w:szCs w:val="12"/>
    </w:rPr>
  </w:style>
  <w:style w:type="paragraph" w:customStyle="1" w:styleId="Footnote30">
    <w:name w:val="Footnote|3"/>
    <w:basedOn w:val="Normalny"/>
    <w:link w:val="Footnote3"/>
    <w:pPr>
      <w:shd w:val="clear" w:color="auto" w:fill="FFFFFF"/>
      <w:spacing w:line="312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Footnote40">
    <w:name w:val="Footnote|4"/>
    <w:basedOn w:val="Normalny"/>
    <w:link w:val="Footnote4"/>
    <w:pPr>
      <w:shd w:val="clear" w:color="auto" w:fill="FFFFFF"/>
      <w:spacing w:line="122" w:lineRule="exact"/>
      <w:jc w:val="both"/>
    </w:pPr>
    <w:rPr>
      <w:rFonts w:ascii="Arial" w:eastAsia="Arial" w:hAnsi="Arial" w:cs="Arial"/>
      <w:sz w:val="11"/>
      <w:szCs w:val="11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200" w:lineRule="exact"/>
      <w:ind w:hanging="340"/>
    </w:pPr>
    <w:rPr>
      <w:rFonts w:ascii="Arial" w:eastAsia="Arial" w:hAnsi="Arial" w:cs="Arial"/>
      <w:sz w:val="18"/>
      <w:szCs w:val="18"/>
    </w:rPr>
  </w:style>
  <w:style w:type="paragraph" w:customStyle="1" w:styleId="Bodytext5">
    <w:name w:val="Body text|5"/>
    <w:basedOn w:val="Normalny"/>
    <w:link w:val="Bodytext5Exact"/>
    <w:pPr>
      <w:shd w:val="clear" w:color="auto" w:fill="FFFFFF"/>
      <w:spacing w:line="178" w:lineRule="exact"/>
      <w:jc w:val="right"/>
    </w:pPr>
    <w:rPr>
      <w:rFonts w:ascii="Arial" w:eastAsia="Arial" w:hAnsi="Arial" w:cs="Arial"/>
      <w:i/>
      <w:iCs/>
      <w:sz w:val="16"/>
      <w:szCs w:val="16"/>
      <w:lang w:val="ru-RU" w:eastAsia="ru-RU" w:bidi="ru-RU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12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163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  <w:jc w:val="right"/>
    </w:pPr>
    <w:rPr>
      <w:rFonts w:ascii="Arial" w:eastAsia="Arial" w:hAnsi="Arial" w:cs="Arial"/>
      <w:b/>
      <w:bCs/>
      <w:sz w:val="19"/>
      <w:szCs w:val="19"/>
      <w:lang w:val="ru-RU" w:eastAsia="ru-RU" w:bidi="ru-RU"/>
    </w:rPr>
  </w:style>
  <w:style w:type="paragraph" w:customStyle="1" w:styleId="Picturecaption2">
    <w:name w:val="Picture caption|2"/>
    <w:basedOn w:val="Normalny"/>
    <w:link w:val="Picturecaption2Exact"/>
    <w:pPr>
      <w:shd w:val="clear" w:color="auto" w:fill="FFFFFF"/>
      <w:spacing w:line="178" w:lineRule="exact"/>
      <w:jc w:val="center"/>
    </w:pPr>
    <w:rPr>
      <w:spacing w:val="10"/>
      <w:sz w:val="13"/>
      <w:szCs w:val="13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</w:rPr>
  </w:style>
  <w:style w:type="paragraph" w:customStyle="1" w:styleId="Bodytext60">
    <w:name w:val="Body text|6"/>
    <w:basedOn w:val="Normalny"/>
    <w:link w:val="Bodytext6"/>
    <w:pPr>
      <w:shd w:val="clear" w:color="auto" w:fill="FFFFFF"/>
      <w:spacing w:after="280" w:line="134" w:lineRule="exact"/>
      <w:ind w:hanging="180"/>
    </w:pPr>
    <w:rPr>
      <w:rFonts w:ascii="Arial" w:eastAsia="Arial" w:hAnsi="Arial" w:cs="Arial"/>
      <w:sz w:val="12"/>
      <w:szCs w:val="12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before="280" w:line="200" w:lineRule="exact"/>
      <w:jc w:val="both"/>
      <w:outlineLvl w:val="0"/>
    </w:pPr>
    <w:rPr>
      <w:rFonts w:ascii="Arial" w:eastAsia="Arial" w:hAnsi="Arial" w:cs="Arial"/>
      <w:sz w:val="18"/>
      <w:szCs w:val="18"/>
    </w:rPr>
  </w:style>
  <w:style w:type="paragraph" w:customStyle="1" w:styleId="Bodytext70">
    <w:name w:val="Body text|7"/>
    <w:basedOn w:val="Normalny"/>
    <w:link w:val="Bodytext7"/>
    <w:pPr>
      <w:shd w:val="clear" w:color="auto" w:fill="FFFFFF"/>
      <w:spacing w:after="280" w:line="112" w:lineRule="exact"/>
      <w:ind w:hanging="180"/>
    </w:pPr>
    <w:rPr>
      <w:rFonts w:ascii="Arial" w:eastAsia="Arial" w:hAnsi="Arial" w:cs="Arial"/>
      <w:b/>
      <w:bCs/>
      <w:sz w:val="8"/>
      <w:szCs w:val="8"/>
    </w:rPr>
  </w:style>
  <w:style w:type="paragraph" w:customStyle="1" w:styleId="Bodytext8">
    <w:name w:val="Body text|8"/>
    <w:basedOn w:val="Normalny"/>
    <w:link w:val="Bodytext8Exact"/>
    <w:pPr>
      <w:shd w:val="clear" w:color="auto" w:fill="FFFFFF"/>
      <w:spacing w:line="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536E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6E4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36E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E47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3069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arszawal9115.pI/-/wyNczenie-gruntu-z-produkcji-rolnicze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2396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Wystąpienie pokontrolne</vt:lpstr>
    </vt:vector>
  </TitlesOfParts>
  <Company>UMSTW</Company>
  <LinksUpToDate>false</LinksUpToDate>
  <CharactersWithSpaces>16740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creator>Urban Marzanna (KW)</dc:creator>
  <cp:lastModifiedBy>Nalazek Izabela (KW)</cp:lastModifiedBy>
  <cp:revision>15</cp:revision>
  <dcterms:created xsi:type="dcterms:W3CDTF">2023-07-06T07:58:00Z</dcterms:created>
  <dcterms:modified xsi:type="dcterms:W3CDTF">2024-04-30T10:49:00Z</dcterms:modified>
</cp:coreProperties>
</file>