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52" w:rsidRPr="00267DE7" w:rsidRDefault="00F519D6" w:rsidP="00246C9A">
      <w:pPr>
        <w:pStyle w:val="Bodytext20"/>
        <w:shd w:val="clear" w:color="auto" w:fill="auto"/>
        <w:spacing w:before="120" w:after="240" w:line="300" w:lineRule="auto"/>
        <w:ind w:left="6372" w:right="14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Warszawa,12.08.</w:t>
      </w:r>
      <w:r w:rsidR="002E39AF" w:rsidRPr="00267DE7">
        <w:rPr>
          <w:rFonts w:asciiTheme="minorHAnsi" w:hAnsiTheme="minorHAnsi" w:cstheme="minorHAnsi"/>
          <w:sz w:val="22"/>
          <w:szCs w:val="22"/>
        </w:rPr>
        <w:t>2022 r.</w:t>
      </w:r>
    </w:p>
    <w:p w:rsidR="00734052" w:rsidRPr="00267DE7" w:rsidRDefault="00267DE7" w:rsidP="00267DE7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46C9A">
        <w:rPr>
          <w:rFonts w:asciiTheme="minorHAnsi" w:hAnsiTheme="minorHAnsi" w:cstheme="minorHAnsi"/>
          <w:b/>
          <w:sz w:val="22"/>
          <w:szCs w:val="22"/>
        </w:rPr>
        <w:t>Znak sprawy:</w:t>
      </w:r>
      <w:r w:rsidRPr="00267DE7">
        <w:rPr>
          <w:rFonts w:asciiTheme="minorHAnsi" w:hAnsiTheme="minorHAnsi" w:cstheme="minorHAnsi"/>
          <w:sz w:val="22"/>
          <w:szCs w:val="22"/>
        </w:rPr>
        <w:t xml:space="preserve"> </w:t>
      </w:r>
      <w:r w:rsidR="002E39AF" w:rsidRPr="00267DE7">
        <w:rPr>
          <w:rFonts w:asciiTheme="minorHAnsi" w:hAnsiTheme="minorHAnsi" w:cstheme="minorHAnsi"/>
          <w:sz w:val="22"/>
          <w:szCs w:val="22"/>
        </w:rPr>
        <w:t>KW-WP. 1712.11.2022.MST</w:t>
      </w:r>
    </w:p>
    <w:p w:rsidR="00734052" w:rsidRPr="00267DE7" w:rsidRDefault="002E39AF" w:rsidP="00246C9A">
      <w:pPr>
        <w:pStyle w:val="Bodytext50"/>
        <w:shd w:val="clear" w:color="auto" w:fill="auto"/>
        <w:spacing w:before="240" w:after="680" w:line="300" w:lineRule="auto"/>
        <w:ind w:left="5279" w:right="1660"/>
        <w:contextualSpacing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Pani Alicja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Brudło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734052" w:rsidRPr="00267DE7" w:rsidRDefault="002E39AF" w:rsidP="00246C9A">
      <w:pPr>
        <w:pStyle w:val="Bodytext50"/>
        <w:shd w:val="clear" w:color="auto" w:fill="auto"/>
        <w:spacing w:before="240" w:after="680" w:line="300" w:lineRule="auto"/>
        <w:ind w:left="5279"/>
        <w:contextualSpacing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Ośrodka Kultury Ochoty</w:t>
      </w:r>
    </w:p>
    <w:p w:rsidR="00734052" w:rsidRDefault="002E39AF" w:rsidP="00246C9A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46C9A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246C9A" w:rsidRPr="00246C9A" w:rsidRDefault="00246C9A" w:rsidP="00246C9A"/>
    <w:p w:rsid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Na podstawie § 22 ust. 12 Regulaminu organizacyjnego Urzędu miasta stołecznego Warszawy, stanowiącego załącznik do zarządzenia Nr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267DE7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Ośrodku Kultury Ochoty w okresie od 23 lutego 2022 do 22 marca 2022 r., w zakresie realizacji zadań statutowych, prowadzenia spraw kadrowych oraz zamówień publicznych poniżej 130 000 zł, której wyniki zostały przedstawione w protokole kontroli podpisanym w dniu 01 kwietnia 2022 r., stosownie do § 39 ust. 3 Zarządzenia nr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267DE7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Pani niniejsze Wystąpienie pokontrolne.</w:t>
      </w:r>
      <w:r w:rsidR="00267DE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Ośrodek Kultury Ochoty jest samorządową instytucją kultury posiadającą osobowość prawną, wpisaną pod pozycją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Rik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2 do Rejestru instytucji kultury prowadzonego przez m.st. Warszawa, organizatora Ośrodka. Instytucje kultury organizują i prowadzą działalność kulturalną na podstawie ustawy z dnia 25 października 1991 r. o organizowaniu i prowadzeniu działalności kulturalnej oraz na podstawie statutu nadanego przez organizatora.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Kontrolą objęto działalność Ośrodka Kultury Ochoty w 2021 r., prowadzoną w oparciu o statut stanowiący załącznik do Uchwały zmieniającej nr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XIII/308/2019 </w:t>
      </w:r>
      <w:r w:rsidRPr="00267DE7">
        <w:rPr>
          <w:rFonts w:asciiTheme="minorHAnsi" w:hAnsiTheme="minorHAnsi" w:cstheme="minorHAnsi"/>
          <w:sz w:val="22"/>
          <w:szCs w:val="22"/>
        </w:rPr>
        <w:t>Rady Miasta Stołecznego Warszawy z dnia 30.05.2019 r.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267DE7">
        <w:rPr>
          <w:rFonts w:asciiTheme="minorHAnsi" w:hAnsiTheme="minorHAnsi" w:cstheme="minorHAnsi"/>
          <w:sz w:val="22"/>
          <w:szCs w:val="22"/>
        </w:rPr>
        <w:t xml:space="preserve"> w sprawie zmiany statutu Ośrodka Kultury Ochoty.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Ocenie poddano sposób realizacji w kontrolowanym okresie zadań statutowych w wybranych obszarach, tj.: prowadzenie systematycznej działalności tematycznej w różnych dziedzinach edukacji kulturalnej, prowadzenia polityki kad</w:t>
      </w:r>
      <w:bookmarkStart w:id="0" w:name="_GoBack"/>
      <w:bookmarkEnd w:id="0"/>
      <w:r w:rsidRPr="00267DE7">
        <w:rPr>
          <w:rFonts w:asciiTheme="minorHAnsi" w:hAnsiTheme="minorHAnsi" w:cstheme="minorHAnsi"/>
          <w:sz w:val="22"/>
          <w:szCs w:val="22"/>
        </w:rPr>
        <w:t xml:space="preserve">rowej i spraw kadrowych (w tym udzielania pełnomocnictw i upoważnień, zawierania z pracownikami etatowymi umów cywilnoprawnych, prowadzenie akt osobowych), sposobu udzielania zamówień publicznych tzw. podprogowych, prawidłowości i terminowości sporządzania planów i sprawozdań finansowych oraz prawidłowości wykorzystania i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>rozliczenia dotacji podmiotowych m.st. Warszawy.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 kontrolowanym okresie Ośrodek Kultury Ochoty w stosownych terminach przekazał do Dzielnicy Ochoty m.st. Warszawy projekt planu finansowego i plan finansowy na 2021 r., uwzględniający wysokość przyznanej na dany rok dotacji podmiotowej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267DE7">
        <w:rPr>
          <w:rFonts w:asciiTheme="minorHAnsi" w:hAnsiTheme="minorHAnsi" w:cstheme="minorHAnsi"/>
          <w:sz w:val="22"/>
          <w:szCs w:val="22"/>
        </w:rPr>
        <w:t xml:space="preserve"> oraz sprawozdanie z wykonania planu finansowego za 2021 r. Jednocześnie zgodnie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52 ustawy z dnia 29 września 1994 r. o rachunkowości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267DE7">
        <w:rPr>
          <w:rFonts w:asciiTheme="minorHAnsi" w:hAnsiTheme="minorHAnsi" w:cstheme="minorHAnsi"/>
          <w:sz w:val="22"/>
          <w:szCs w:val="22"/>
        </w:rPr>
        <w:t xml:space="preserve"> Ośrodek przekazał w dniu 15 lutego 2022 r. do Dzielnicy Ochota m.st. Warszawy roczne sprawozdanie finansowe.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 kontrolowanym okresie nominalna wysokość pierwotnie przyznanej dotacji podmiotowej przekazywanej na działalność Ochota została zwiększona raz o kwotę 1.200.000,00 zł na działalność podstawową. W kontrolowanym okresie, w Ośrodku Kultury Ochoty nastąpiła zmiana na stanowisku Dyrektora jednostki, a wynik finansowy za rok 2020 był ujemny (-403.92,99 zł). W okresie od 01.04.2021 r. do 30.06.2021 r., w związku z brakiem Dyrektora jednostki i zgodnie z §4 obowiązującego Regulaminu organizacyjnego i pełnioną funkcją. Dyrektora zastępowała Pani Ewa Maślanka - Zastępca Dyrektora Ośrodka Kultury Ochoty. Ustalono, że w jednostce w 2021 r. nie udzielono pisemnych pełnomocnictw do dokonywania w imieniu Ośrodka czynności prawnych. Dyrektor Ośrodka wyjaśniła, cyt.: „Podczas tego roku (2021) instytucja była zarządzana w różnych okresach przez inne osoby w związku ze zmiana dyrekcji. Dużym utrudnieniem okazał się czas 4 miesięcy funkcjonowania Ośrodka bez dyrektora i z jednoczesnymi ograniczeniami i uprawnieniami dla wicedyrektora."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 toku kontroli sporządzono i przedstawiono Pełnomocnictwo z dnia 24.02.2022 r. Dyrektora Ośrodka Kultury Ochoty dla Pani Ewy Maślanka.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Ośrodek w roku 2021 realizował zadania zgodnie z § 4 statutu poprzez organizowanie: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• Wydarzenia/imprezy - koncerty, spektakle, spotkania (185 imprez, 6.924 odbiorców)</w:t>
      </w:r>
    </w:p>
    <w:p w:rsidR="00734052" w:rsidRPr="00267DE7" w:rsidRDefault="002E39AF" w:rsidP="00267DE7">
      <w:pPr>
        <w:pStyle w:val="Bodytext20"/>
        <w:numPr>
          <w:ilvl w:val="0"/>
          <w:numId w:val="4"/>
        </w:numPr>
        <w:shd w:val="clear" w:color="auto" w:fill="auto"/>
        <w:tabs>
          <w:tab w:val="left" w:pos="292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Wydarzenia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online </w:t>
      </w:r>
      <w:r w:rsidRPr="00267DE7">
        <w:rPr>
          <w:rFonts w:asciiTheme="minorHAnsi" w:hAnsiTheme="minorHAnsi" w:cstheme="minorHAnsi"/>
          <w:sz w:val="22"/>
          <w:szCs w:val="22"/>
        </w:rPr>
        <w:t>(117 wydarzeń, 146.549 wyświetleń)</w:t>
      </w:r>
    </w:p>
    <w:p w:rsidR="00734052" w:rsidRPr="00267DE7" w:rsidRDefault="002E39AF" w:rsidP="00267DE7">
      <w:pPr>
        <w:pStyle w:val="Bodytext20"/>
        <w:numPr>
          <w:ilvl w:val="0"/>
          <w:numId w:val="4"/>
        </w:numPr>
        <w:shd w:val="clear" w:color="auto" w:fill="auto"/>
        <w:tabs>
          <w:tab w:val="left" w:pos="292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Sekcje/zajęcia - grupy edukacyjne dla dzieci, młodzieży i dorosłych (134 sekcje, 1.894 osoby).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Łącznie wysokość kosztów poniesionych w 2021 r. wyniosła 5.308.548,73 zł., zaś przychód ogółem wyniósł 5.845.199,75 zł. Wynik finansowy Ośrodka Kultury Ochoty w 2021 r. był dodatni i wyniósł 536.651,02 zł.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Pomimo ograniczeń spowodowanych pandemią Covid-19 w 2021 r., Ośrodek dostosował ofertę kulturalną do panującej sytuacji i zachował ciągłość funkcjonowania, a duża liczba wydarzeń i część stałych zajęć w roku 2021 odbyła się w trybie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online. </w:t>
      </w:r>
      <w:r w:rsidRPr="00267DE7">
        <w:rPr>
          <w:rFonts w:asciiTheme="minorHAnsi" w:hAnsiTheme="minorHAnsi" w:cstheme="minorHAnsi"/>
          <w:sz w:val="22"/>
          <w:szCs w:val="22"/>
        </w:rPr>
        <w:t xml:space="preserve">Także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online </w:t>
      </w:r>
      <w:r w:rsidRPr="00267DE7">
        <w:rPr>
          <w:rFonts w:asciiTheme="minorHAnsi" w:hAnsiTheme="minorHAnsi" w:cstheme="minorHAnsi"/>
          <w:sz w:val="22"/>
          <w:szCs w:val="22"/>
        </w:rPr>
        <w:t xml:space="preserve">prowadzone były koncerty,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>retransmisje oraz spektakle teatralne dla dzieci. W ramach działalności programowej Ośrodek współpracował również z wieloma instytucjami pozarządowymi oraz innymi instytucjami kultury.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Szczegółowej kontroli poddano dokumentację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267DE7">
        <w:rPr>
          <w:rFonts w:asciiTheme="minorHAnsi" w:hAnsiTheme="minorHAnsi" w:cstheme="minorHAnsi"/>
          <w:sz w:val="22"/>
          <w:szCs w:val="22"/>
        </w:rPr>
        <w:t>prowadzenia działań statutowych w Ośrodku na podstawie losowo wybranych 7 umów na łączną kwotę 15.859,07zł, zrealizowanych w 2021 r. przez pracowników nieetatowych zatrudnionych na podstawie umów cywilnoprawnych.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Analiza powyższych umów wykazała, że wszystkie zostały prawidłowo i terminowo rozliczone, a dokumentacja zawierała uzasadnienie konieczności ich zawarcia. Jednakże tylko jedna z zawartych umów została podpisana przez główną księgową na dowód przeprowadzenia kontroli wstępnej. Zgodnie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54 ust. 3 ustawy z dnia 27 sierpnia 2009 r. o finansach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267DE7">
        <w:rPr>
          <w:rFonts w:asciiTheme="minorHAnsi" w:hAnsiTheme="minorHAnsi" w:cstheme="minorHAnsi"/>
          <w:sz w:val="22"/>
          <w:szCs w:val="22"/>
        </w:rPr>
        <w:t>, dowodem dokonania przez głównego księgowego wstępnej kontroli, o której mowa w ust. 1 pkt 3, jest jego podpis złożony na dokumentach dotyczących danej operacji. Złożenie podpisu przez głównego księgowego na dokumencie, obok podpisu pracownika właściwego rzeczowo, oznacza, że:</w:t>
      </w:r>
    </w:p>
    <w:p w:rsidR="00734052" w:rsidRPr="00267DE7" w:rsidRDefault="002E39AF" w:rsidP="00267DE7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nie zgłasza zastrzeżeń do przedstawionej przez właściwych rzeczowo pracowników oceny prawidłowości tej operacji i jej zgodności z prawem;</w:t>
      </w:r>
    </w:p>
    <w:p w:rsidR="00734052" w:rsidRPr="00267DE7" w:rsidRDefault="002E39AF" w:rsidP="00267DE7">
      <w:pPr>
        <w:pStyle w:val="Bodytext20"/>
        <w:numPr>
          <w:ilvl w:val="0"/>
          <w:numId w:val="5"/>
        </w:numPr>
        <w:shd w:val="clear" w:color="auto" w:fill="auto"/>
        <w:tabs>
          <w:tab w:val="left" w:pos="303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nie zgłasza zastrzeżeń do kompletności oraz formalno-rachunkowej rzetelności i prawidłowości dokumentów dotyczących tej operacji;</w:t>
      </w:r>
    </w:p>
    <w:p w:rsidR="00734052" w:rsidRPr="00267DE7" w:rsidRDefault="002E39AF" w:rsidP="00267DE7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zobowiązania wynikające z operacji mieszczą się w planie finansowym jednostki.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Wszystkie rachunki do umów objętych kontrolą zawierały informację o sposobie ujęcia wydatku w księgach rachunkowych (dekretację), informację o sprawdzeniu pod względem merytorycznym i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formalno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- rachunkowym oraz zatwierdzeniu do wypłaty przez Głównego Księgowego i Dyrektora Ośrodka, a wszystkie zobowiązania Ośrodek Kultury Ochoty regulował terminowo.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Zgodnie z §6 Statutu Ośrodek mógł prowadzić działalność gospodarczą, przy czym ww. działalność ta nie mogła ograniczać ani utrudniać zadań statutowych. Działalność gospodarcza Ośrodka polegała na wynajmowaniu pomieszczeń i sprzętu. W okresie kontrolowanym zasady wynajmu powierzchni określone były w Regulaminie wynajmu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267DE7">
        <w:rPr>
          <w:rFonts w:asciiTheme="minorHAnsi" w:hAnsiTheme="minorHAnsi" w:cstheme="minorHAnsi"/>
          <w:sz w:val="22"/>
          <w:szCs w:val="22"/>
        </w:rPr>
        <w:t>, który określał zasady współpracy pomiędzy OKO a każdym podmiotem dokonującym rezerwacji i najmu pomieszczeń, do których tytuł prawny posiada Ośrodek. Stawkę odpłatności za wynajem pomieszczeń określał cennik stanowiący załącznik do powyższego Regulaminu.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Na podstawie próby 3 umów objętych kontrolą ustalono, iż wszystkie umowy zawarte z najemcami posiadały zapis określający termin zapłaty rachunku/faktury przez wynajmującego oraz że w sprawach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>nieuregulowanych umową mają zastosowanie odpowiednie przepisy Kodeksu Cywilnego.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Na podstawie analizy umów objętych kontrolą ustalono, że w przypadku zawarcia przedmiotowych umów nie przestrzegano stawek obowiązujących w cenniku stanowiącym załącznik do Regulaminu wynajmu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. Dyrektor Ośrodka wyjaśniła, że w przypadku powyższych umów, stawka została ustalona indywidulanie przy zastosowaniu upustów. Jednocześnie należy zauważyć, że Regulamin wynajmu pomieszczeń został wprowadzony Zarządzeniem w 2012 r. i jako osobę odpowiedzialną za wynajem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w Ośrodku wskazuje imiennie pracownika, który obecnie nie jest zatrudniony w jednostce.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 jednostce wprowadzono Zarządzenie nr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7/12/2011 </w:t>
      </w:r>
      <w:r w:rsidRPr="00267DE7">
        <w:rPr>
          <w:rFonts w:asciiTheme="minorHAnsi" w:hAnsiTheme="minorHAnsi" w:cstheme="minorHAnsi"/>
          <w:sz w:val="22"/>
          <w:szCs w:val="22"/>
        </w:rPr>
        <w:t>Dyrektora Ośrodka Kultury Pani Bożeny Majewskiej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267DE7">
        <w:rPr>
          <w:rFonts w:asciiTheme="minorHAnsi" w:hAnsiTheme="minorHAnsi" w:cstheme="minorHAnsi"/>
          <w:sz w:val="22"/>
          <w:szCs w:val="22"/>
        </w:rPr>
        <w:t xml:space="preserve"> z dnia 30.12.2011 r. określające Zasady funkcjonowania kontroli zarządczej w Ośrodku Kultury Ochoty. Obowiązek wdrożenia kontroli zarządczej został wprowadzony ustawą o finansach publicznych i zgodnie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68 ww. ustawy, ma obejmować całokształt działań jednostki, ze szczególnym uwzględnieniem funkcjonowania procedur i procesów, które pozwalają jednostce na realizację jej celów zgodnie z prawem, w sposób efektywny, oszczędny i terminowy. Stosownie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267DE7">
        <w:rPr>
          <w:rFonts w:asciiTheme="minorHAnsi" w:hAnsiTheme="minorHAnsi" w:cstheme="minorHAnsi"/>
          <w:sz w:val="22"/>
          <w:szCs w:val="22"/>
        </w:rPr>
        <w:t>69 kierownik instytucji kultury jest także zobowiązany do zapewnienia skutecznej kontroli zarządczej, a zgodnie ze standardem nr C.10. kontroli zarządczej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267DE7">
        <w:rPr>
          <w:rFonts w:asciiTheme="minorHAnsi" w:hAnsiTheme="minorHAnsi" w:cstheme="minorHAnsi"/>
          <w:sz w:val="22"/>
          <w:szCs w:val="22"/>
        </w:rPr>
        <w:t xml:space="preserve"> do obowiązków kierownika jednostki sektora finansów publicznych należy: „dokumentowanie systemu kontroli zarządczej", co sprawia pożądanym m.in. wprowadzenie procedur wewnętrznych, instrukcji, wytycznych i innych dokumentów wewnętrznych (które stanowią dokumentację systemu kontroli zarządczej, w tym Regulamin kontroli zarządczej). Pani Alicja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Brudło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, która objęła obowiązki Dyrektora Ośrodka dnia 01.07.2021 r., sukcesywnie zmienia lub wprowadza brakujące procedury niezbędne do prawidłowego funkcjonowania jednostki.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Przykładem jest Zarządzenie nr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02/02/2022 </w:t>
      </w:r>
      <w:r w:rsidRPr="00267DE7">
        <w:rPr>
          <w:rFonts w:asciiTheme="minorHAnsi" w:hAnsiTheme="minorHAnsi" w:cstheme="minorHAnsi"/>
          <w:sz w:val="22"/>
          <w:szCs w:val="22"/>
        </w:rPr>
        <w:t>z dnia 25.02.2022 r. w sprawie wprowadzenia Regulaminu udzielania zamówień publicznych o wartości nieprzekraczającej 130.000 zł netto, prowadzenia rejestru zamówień publicznych oraz sporządzania planu zamówień publicznych w Ośrodku Kultury Ochoty, wprowadzone w celu usprawnienia działania Ośrodka.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 okresie objętym kontrolą obowiązywały wcześniejsze procedury udzielania zamówień, wprowadzone Zarządzeniem nr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02/12/2020 </w:t>
      </w:r>
      <w:r w:rsidRPr="00267DE7">
        <w:rPr>
          <w:rFonts w:asciiTheme="minorHAnsi" w:hAnsiTheme="minorHAnsi" w:cstheme="minorHAnsi"/>
          <w:sz w:val="22"/>
          <w:szCs w:val="22"/>
        </w:rPr>
        <w:t>Dyrektora Ośrodka Kultury Ochoty Pani Bożeny Majewskiej z dnia</w:t>
      </w:r>
      <w:r w:rsidR="00CD7545" w:rsidRPr="00267DE7">
        <w:rPr>
          <w:rFonts w:asciiTheme="minorHAnsi" w:hAnsiTheme="minorHAnsi" w:cstheme="minorHAnsi"/>
          <w:sz w:val="22"/>
          <w:szCs w:val="22"/>
        </w:rPr>
        <w:t xml:space="preserve"> 31.12.2020 </w:t>
      </w:r>
      <w:r w:rsidRPr="00267DE7">
        <w:rPr>
          <w:rFonts w:asciiTheme="minorHAnsi" w:hAnsiTheme="minorHAnsi" w:cstheme="minorHAnsi"/>
          <w:sz w:val="22"/>
          <w:szCs w:val="22"/>
        </w:rPr>
        <w:t xml:space="preserve">r. w sprawie wprowadzenia Regulaminu udzielania zamówień publicznych o wartości nieprzekraczającej kwoty wskazanej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4 pkt 8 ustawy Prawo zamówień publicznych. Termin i tytuł wprowadzonego Zarządzenia wskazuje na błędne określenie wysokości progu zamówień i sprawia, że procedura nie była zgodna z wchodzącą w życie dnia 01.01.2021 r. nową Ustawa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, i nie regulowała kluczowej kwestii zmiany progu zamówień podprogowych na 130.000 zł.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Do kontroli przedstawiono rejestr kontrahentów z podziałem na kategorie, w związku z powyższym w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>celu doboru próby i uzyskania informacji o ilości zamówień do 30.000 euro, wykorzystano wydruki zapisów na analitycznych kontach księgowych zespołu „4" i z Centralnego rejestru umów.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Na podstawie przedstawionych wydruków, wybrano do analizy szczegółowej 20 postępowań o udzielenie zamówień publicznych poniżej progu określonego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2 ust. 2 ustawy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 jednostce stosowano wewnętrzne zasady udzielania zamówień do 130.000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zl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bez przestrzegania należytej staranności, jednakże nie stwierdzono elementów wskazujących na tzw. podział zamówienia w celu ominięcia stosowania ustawy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Stosownie do Zarządzenia obowiązującego w okresie objętym kontrolą, w przeprowadzonych postępowaniach zastosowano kryteria wg kwoty zamówienia, które regulowane były w układzie:</w:t>
      </w:r>
    </w:p>
    <w:p w:rsidR="00734052" w:rsidRPr="00267DE7" w:rsidRDefault="002E39AF" w:rsidP="00267DE7">
      <w:pPr>
        <w:pStyle w:val="Bodytext20"/>
        <w:numPr>
          <w:ilvl w:val="0"/>
          <w:numId w:val="7"/>
        </w:numPr>
        <w:shd w:val="clear" w:color="auto" w:fill="auto"/>
        <w:tabs>
          <w:tab w:val="left" w:pos="548"/>
        </w:tabs>
        <w:spacing w:before="120" w:after="240" w:line="300" w:lineRule="auto"/>
        <w:ind w:left="36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zamówienia o wartości od 1 zł do 3.000zł</w:t>
      </w:r>
    </w:p>
    <w:p w:rsidR="00734052" w:rsidRPr="00267DE7" w:rsidRDefault="002E39AF" w:rsidP="00267DE7">
      <w:pPr>
        <w:pStyle w:val="Bodytext20"/>
        <w:numPr>
          <w:ilvl w:val="0"/>
          <w:numId w:val="7"/>
        </w:numPr>
        <w:shd w:val="clear" w:color="auto" w:fill="auto"/>
        <w:tabs>
          <w:tab w:val="left" w:pos="553"/>
        </w:tabs>
        <w:spacing w:before="120" w:after="240" w:line="300" w:lineRule="auto"/>
        <w:ind w:left="36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zamówienia o wartości od 3.001 zł do 6.000 zł</w:t>
      </w:r>
    </w:p>
    <w:p w:rsidR="00734052" w:rsidRPr="00267DE7" w:rsidRDefault="002E39AF" w:rsidP="00267DE7">
      <w:pPr>
        <w:pStyle w:val="Bodytext20"/>
        <w:numPr>
          <w:ilvl w:val="0"/>
          <w:numId w:val="7"/>
        </w:numPr>
        <w:shd w:val="clear" w:color="auto" w:fill="auto"/>
        <w:tabs>
          <w:tab w:val="left" w:pos="558"/>
        </w:tabs>
        <w:spacing w:before="120" w:after="240" w:line="300" w:lineRule="auto"/>
        <w:ind w:left="36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zamówienia o wartości od 6.001 zł do 30.000 euro.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Wyniki kontroli sposobu przeprowadzania w jednostce postępowań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267DE7">
        <w:rPr>
          <w:rFonts w:asciiTheme="minorHAnsi" w:hAnsiTheme="minorHAnsi" w:cstheme="minorHAnsi"/>
          <w:sz w:val="22"/>
          <w:szCs w:val="22"/>
        </w:rPr>
        <w:t>udzielenia zamówienia do 130.000 zł, wyłączonych ze stosowania przepisów ustawy z dnia 19 września 2019 r. Prawo zamówień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267DE7">
        <w:rPr>
          <w:rFonts w:asciiTheme="minorHAnsi" w:hAnsiTheme="minorHAnsi" w:cstheme="minorHAnsi"/>
          <w:sz w:val="22"/>
          <w:szCs w:val="22"/>
        </w:rPr>
        <w:t xml:space="preserve"> na podstawie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>art.</w:t>
      </w:r>
      <w:r w:rsidRPr="00267DE7">
        <w:rPr>
          <w:rFonts w:asciiTheme="minorHAnsi" w:hAnsiTheme="minorHAnsi" w:cstheme="minorHAnsi"/>
          <w:sz w:val="22"/>
          <w:szCs w:val="22"/>
        </w:rPr>
        <w:t>2 ust. 2 - z zachowaniem zasad jawności i transparentności postępowań, uczciwej konkurencji oraz równego traktowania wykonawców przy wydatkowaniu środków publicznych - pozwala na pozytywną ocenę w tym przedmiocie, z zastrzeżeniami wynikającymi ze stwierdzonych nieprawidłowości i uchybień, jak poniżej:</w:t>
      </w:r>
    </w:p>
    <w:p w:rsidR="00734052" w:rsidRPr="00267DE7" w:rsidRDefault="002E39AF" w:rsidP="00267DE7">
      <w:pPr>
        <w:pStyle w:val="Bodytext20"/>
        <w:numPr>
          <w:ilvl w:val="0"/>
          <w:numId w:val="8"/>
        </w:numPr>
        <w:shd w:val="clear" w:color="auto" w:fill="auto"/>
        <w:tabs>
          <w:tab w:val="left" w:pos="289"/>
        </w:tabs>
        <w:spacing w:before="120" w:after="240" w:line="300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 przypadku 85% postępowań (17 z 20) nie wskazano sposobu i daty ustalenia wartości szacunkowej zamówienia. Taka praktyka uniemożliwiała dokonanie oceny prawidłowości szacowania wartości zamówienia oraz nie pozwalała stwierdzić czy szacowania zostały przeprowadzone z należytą starannością. Należy wskazać, że celem właściwego szacowania wartości zamówienia, jest określenie jak najbardziej aktualnej wartości zadania, w celu wydatkowania środków publicznych w sposób celowy i oszczędny, stosownie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267DE7">
        <w:rPr>
          <w:rFonts w:asciiTheme="minorHAnsi" w:hAnsiTheme="minorHAnsi" w:cstheme="minorHAnsi"/>
          <w:sz w:val="22"/>
          <w:szCs w:val="22"/>
        </w:rPr>
        <w:t>44 Ustawy o finansach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267DE7">
        <w:rPr>
          <w:rFonts w:asciiTheme="minorHAnsi" w:hAnsiTheme="minorHAnsi" w:cstheme="minorHAnsi"/>
          <w:sz w:val="22"/>
          <w:szCs w:val="22"/>
        </w:rPr>
        <w:t>. Zasady szacowania wartości zamówień z należytą starannością określone są w dziale I, rozdziale 5 ustawy z dnia 11 września 2019 r. - Prawo zamówień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267DE7">
        <w:rPr>
          <w:rFonts w:asciiTheme="minorHAnsi" w:hAnsiTheme="minorHAnsi" w:cstheme="minorHAnsi"/>
          <w:sz w:val="22"/>
          <w:szCs w:val="22"/>
        </w:rPr>
        <w:t xml:space="preserve"> oraz wewnętrznych uregulowaniach (§2 Regulaminu udzielania zamówień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267DE7">
        <w:rPr>
          <w:rFonts w:asciiTheme="minorHAnsi" w:hAnsiTheme="minorHAnsi" w:cstheme="minorHAnsi"/>
          <w:sz w:val="22"/>
          <w:szCs w:val="22"/>
        </w:rPr>
        <w:t xml:space="preserve">), w celu zachowania zasady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 xml:space="preserve">przejrzystości (wyrażonej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16 pkt 2 nowej ustawy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.). Należy wskazać również, że zamieszczenie informacji o wartości szacunkowej zamówienia jest niezbędne do zastosowania właściwego kryterium wg kwoty zamówienia, stosownie do obowiązującej procedury wewnętrznej.</w:t>
      </w:r>
    </w:p>
    <w:p w:rsidR="00734052" w:rsidRPr="00267DE7" w:rsidRDefault="002E39AF" w:rsidP="00267DE7">
      <w:pPr>
        <w:pStyle w:val="Bodytext20"/>
        <w:numPr>
          <w:ilvl w:val="0"/>
          <w:numId w:val="8"/>
        </w:numPr>
        <w:shd w:val="clear" w:color="auto" w:fill="auto"/>
        <w:tabs>
          <w:tab w:val="left" w:pos="294"/>
        </w:tabs>
        <w:spacing w:before="120" w:after="240" w:line="300" w:lineRule="auto"/>
        <w:ind w:left="380" w:hanging="38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Stosownie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</w:t>
      </w:r>
      <w:r w:rsidRPr="00267DE7">
        <w:rPr>
          <w:rFonts w:asciiTheme="minorHAnsi" w:hAnsiTheme="minorHAnsi" w:cstheme="minorHAnsi"/>
          <w:sz w:val="22"/>
          <w:szCs w:val="22"/>
        </w:rPr>
        <w:t>§2 Regulaminu udzielania zamówień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267DE7">
        <w:rPr>
          <w:rFonts w:asciiTheme="minorHAnsi" w:hAnsiTheme="minorHAnsi" w:cstheme="minorHAnsi"/>
          <w:sz w:val="22"/>
          <w:szCs w:val="22"/>
        </w:rPr>
        <w:t>, procedurę udzielania zamówień wszczyna złożenie pisemnego wniosku przez komórkę wnioskującą o przeprowadzenie postępowania.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left="3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 przypadku 8 z 14 postępowań, w których wymagane było złożenie wniosku, nie został on złożony.</w:t>
      </w:r>
    </w:p>
    <w:p w:rsidR="00734052" w:rsidRPr="00267DE7" w:rsidRDefault="002E39AF" w:rsidP="00267DE7">
      <w:pPr>
        <w:pStyle w:val="Bodytext20"/>
        <w:numPr>
          <w:ilvl w:val="0"/>
          <w:numId w:val="8"/>
        </w:numPr>
        <w:shd w:val="clear" w:color="auto" w:fill="auto"/>
        <w:tabs>
          <w:tab w:val="left" w:pos="294"/>
        </w:tabs>
        <w:spacing w:before="120" w:after="240" w:line="300" w:lineRule="auto"/>
        <w:ind w:left="380" w:hanging="38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Analiza postępowań objętych próbą wykazała, że w 10 przypadkach zostały zawarte pisemne umowy. Tylko 30% (3 z 10) z powyższych umów zawierały informację o dokonaniu wstępnej kontroli w trybie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54 ust 1 pkt 3 z dnia 27.08.2009 r. o finansach publicznych i potwierdzenia zabezpieczenia środków finansowych na realizację zamówienia. Główny Księgowy obowiązany jest do dokonywania kontroli wstępnej w sposób zgodny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54 ust. 3 ustawy o finansach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267DE7">
        <w:rPr>
          <w:rFonts w:asciiTheme="minorHAnsi" w:hAnsiTheme="minorHAnsi" w:cstheme="minorHAnsi"/>
          <w:sz w:val="22"/>
          <w:szCs w:val="22"/>
        </w:rPr>
        <w:t>i udokumentowania tej czynności.</w:t>
      </w:r>
    </w:p>
    <w:p w:rsidR="00734052" w:rsidRPr="00267DE7" w:rsidRDefault="002E39AF" w:rsidP="00267DE7">
      <w:pPr>
        <w:pStyle w:val="Bodytext20"/>
        <w:numPr>
          <w:ilvl w:val="0"/>
          <w:numId w:val="8"/>
        </w:numPr>
        <w:shd w:val="clear" w:color="auto" w:fill="auto"/>
        <w:tabs>
          <w:tab w:val="left" w:pos="298"/>
        </w:tabs>
        <w:spacing w:before="120" w:after="240" w:line="300" w:lineRule="auto"/>
        <w:ind w:left="380" w:hanging="38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 30% wszystkich objętych próbą postępowań (6 z 20 postępowań), zastosowano procedurę odstąpienia od stosowania Regulaminu udzielania zamówień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267DE7">
        <w:rPr>
          <w:rFonts w:asciiTheme="minorHAnsi" w:hAnsiTheme="minorHAnsi" w:cstheme="minorHAnsi"/>
          <w:sz w:val="22"/>
          <w:szCs w:val="22"/>
        </w:rPr>
        <w:t xml:space="preserve">, stosownie do §7 niniejszego Regulaminu, co budzi obawy o brak stosowania zasady jawności postępowań i równego traktowania wykonawców. Pomijanie procedury udzielania zamówień zgodnie z obowiązującym Regulaminem, wskazuje na brak zapewnienia uczciwej konkurencji i brak transparentności postępowań, co narusza zasadę gospodarowania środkami publicznymi określoną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33 i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34 ustawy o finansach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267DE7">
        <w:rPr>
          <w:rFonts w:asciiTheme="minorHAnsi" w:hAnsiTheme="minorHAnsi" w:cstheme="minorHAnsi"/>
          <w:sz w:val="22"/>
          <w:szCs w:val="22"/>
        </w:rPr>
        <w:t xml:space="preserve">. Należy pamiętać, że jeśli wartość zamówienia jest niższa niż 130.000 zł, to zamawiający nie stosuje wprost przepisów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, jednak musi pamiętać o zasadach obowiązujących w zamówieniach, takich jak zagwarantowanie wykonawcom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>niedyskryminacyjnego dostępu do zamówień publicznych, ograniczenie ryzyka nieefektywnego wydatkowania środków publicznych oraz zapewnienie przejrzystości postępowania i wyboru wykonawcy.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Sprawozdanie o udzielonych zamówieniach za rok 2021 zostało sporządzone i terminowo przekazane do Prezesa Urzędu Zamówień Publicznych, stosownie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267DE7">
        <w:rPr>
          <w:rFonts w:asciiTheme="minorHAnsi" w:hAnsiTheme="minorHAnsi" w:cstheme="minorHAnsi"/>
          <w:sz w:val="22"/>
          <w:szCs w:val="22"/>
        </w:rPr>
        <w:t>82 ustawy z dnia 11.09.2019 r. Prawo zamówień publicznych. Zgodnie ze sprawozdaniem o udzielonych zamówieniach, udzielono zamówień wyłączonych z procedur określonych przepisami ustawy z uwagi na wartość zamówienia - zamówień klasycznych, których wartość jest mniejsza niż 130.000 złotych, na łączną kwotę 1.996.990,67 zł. Sprawozdawczość z udzielonych zamówień podprogowych jest źródłem wiarygodnej informacji na temat skali zaciągniętych zobowiązań oraz monitorowania sposobu dokonywania wydatków publicznych. Ważną rolę w rzetelnym sporządzaniu corocznego sprawozdania, spełnia należyta staranność przy prowadzeniu ewidencji udzielonych zamówień, co umożliwi prowadzenie efektywnego ich monitoringu.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W zakresie kontroli prowadzenia spraw kadrowych w Ośrodku Kultury Ochoty, kontrolą objęto prowadzenie akt osobowych i ewidencję czasu pracy, sporządzanie i wydawanie świadectw pracy.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Do pracowników instytucji kultury stosuje się przepisy Kodeksu pracy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267DE7">
        <w:rPr>
          <w:rFonts w:asciiTheme="minorHAnsi" w:hAnsiTheme="minorHAnsi" w:cstheme="minorHAnsi"/>
          <w:sz w:val="22"/>
          <w:szCs w:val="22"/>
        </w:rPr>
        <w:t xml:space="preserve">, z zastrzeżeniem przepisów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26b-26e ustawy o organizowaniu i prowadzeniu działalności kulturalnej.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Organizację i porządek w procesie pracy oraz związane z tym prawa i obowiązki pracodawcy i pracowników ustala regulamin pracy, który w Ośrodku został wprowadzony Zarządzeniem nr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1/01/2009 </w:t>
      </w:r>
      <w:r w:rsidRPr="00267DE7">
        <w:rPr>
          <w:rFonts w:asciiTheme="minorHAnsi" w:hAnsiTheme="minorHAnsi" w:cstheme="minorHAnsi"/>
          <w:sz w:val="22"/>
          <w:szCs w:val="22"/>
        </w:rPr>
        <w:t xml:space="preserve">p.o. Dyrektora Ośrodka Kultury Ochoty pani Bożeny Majewskiej z dnia 08.01.2009 r. w sprawie tekstu zakładowego Regulaminu Pracy Ośrodka Kultury Ochoty, zgodnie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104 § 1 i 104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267DE7">
        <w:rPr>
          <w:rFonts w:asciiTheme="minorHAnsi" w:hAnsiTheme="minorHAnsi" w:cstheme="minorHAnsi"/>
          <w:sz w:val="22"/>
          <w:szCs w:val="22"/>
        </w:rPr>
        <w:t xml:space="preserve"> § 1 Kodeksu Pracy. Warunki wynagradzania za pracę i przyznawanie innych świadczeń związanych z pracą, ustala Regulamin wynagradzania, stosownie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267DE7">
        <w:rPr>
          <w:rFonts w:asciiTheme="minorHAnsi" w:hAnsiTheme="minorHAnsi" w:cstheme="minorHAnsi"/>
          <w:sz w:val="22"/>
          <w:szCs w:val="22"/>
        </w:rPr>
        <w:t>77 Kodeksu Pracy i Rozporządzenia Ministra Kultury i Dziedzictwa Narodowego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267DE7">
        <w:rPr>
          <w:rFonts w:asciiTheme="minorHAnsi" w:hAnsiTheme="minorHAnsi" w:cstheme="minorHAnsi"/>
          <w:sz w:val="22"/>
          <w:szCs w:val="22"/>
        </w:rPr>
        <w:t>. W okresie objętym kontrolą obowiązywał Regulamin wynagradzania podpisany przez Dyrektora panią Bożenę Majewską (obowiązujący od dnia 01.01.2013 r.).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 2021 r. w Ośrodku Kultury Ochoty zatrudniono 4 nowych pracowników, w tym funkcję Dyrektora objęła Pani Alicja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Brudło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, natomiast rozwiązano umowę o pracę z 3 pracownikami Ośrodka. W ramach kontroli zbadano przestrzeganie przepisów o rozwiązywaniu umów o pracę oraz wystawiania świadectw pracy.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Zgodnie z §2 Rozporządzenia w sprawie dokumentacji pracowniczej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267DE7">
        <w:rPr>
          <w:rFonts w:asciiTheme="minorHAnsi" w:hAnsiTheme="minorHAnsi" w:cstheme="minorHAnsi"/>
          <w:sz w:val="22"/>
          <w:szCs w:val="22"/>
        </w:rPr>
        <w:t xml:space="preserve">, Pracodawca prowadzi oddzielne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 xml:space="preserve">dla każdego pracownika akta osobowe. Dla każdego pracownika założono odrębną teczkę akt osobowych. Dokumenty znajdujące się w skontrolowanych aktach osobowych podzielone były na trzy części, poszczególnym częściom nadano symbole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„А" „В" </w:t>
      </w:r>
      <w:r w:rsidRPr="00267DE7">
        <w:rPr>
          <w:rFonts w:asciiTheme="minorHAnsi" w:hAnsiTheme="minorHAnsi" w:cstheme="minorHAnsi"/>
          <w:sz w:val="22"/>
          <w:szCs w:val="22"/>
        </w:rPr>
        <w:t xml:space="preserve">„C" i „D". Część </w:t>
      </w:r>
      <w:r w:rsidRPr="00267DE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„А", „В" </w:t>
      </w:r>
      <w:r w:rsidRPr="00267DE7">
        <w:rPr>
          <w:rFonts w:asciiTheme="minorHAnsi" w:hAnsiTheme="minorHAnsi" w:cstheme="minorHAnsi"/>
          <w:sz w:val="22"/>
          <w:szCs w:val="22"/>
        </w:rPr>
        <w:t xml:space="preserve">„C" i „D" zawierają wykaz znajdujących się w nich dokumentów. Dokumenty znajdujące się w poszczególnych częściach akt osobowych ułożone były w porządku chronologicznym oraz ponumerowane. W części „A” znajdują się dokumenty zgromadzone w związku z ubieganiem się o zatrudnienie (kwestionariusze osobowe, potwierdzenia uzyskanego wykształcenia, dorobku zawodowego, CV, podania). W części „B" znajdują się dokumenty dotyczące nawiązania stosunku pracy oraz przebiegu zatrudnienia pracownika (umowa o pracę, zakresy obowiązków, czas pracy, informacje o zmianie angażu, informacje o warunkach zatrudnienia -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29 § 3 </w:t>
      </w:r>
      <w:r w:rsidRPr="00267DE7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KP, </w:t>
      </w:r>
      <w:r w:rsidRPr="00267DE7">
        <w:rPr>
          <w:rFonts w:asciiTheme="minorHAnsi" w:hAnsiTheme="minorHAnsi" w:cstheme="minorHAnsi"/>
          <w:sz w:val="22"/>
          <w:szCs w:val="22"/>
        </w:rPr>
        <w:t>oświadczenia pracowników,, dokumenty związane z podnoszeniem przez pracownika kwalifikacji zawodowych, orzeczenia lekarskie, zaświadczenia o ukończeniu okresowego szkolenia BHP i p.poż, zaświadczenia dotyczące ukończenia szkoleń lub kursów). Cześć „C" obejmuje dokumenty związane z ustaniem stosunku pracy.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Na podstawie wybranych losowo akt osobowych 3 pracowników Ośrodka Kultury Ochoty, sprawdzono prawidłowość prowadzenia akt osobowych i przechowywania dokumentów (zaświadczeń) wymaganych przepisami prawa. Nie stwierdzono nieprawidłowości w prowadzeniu akt osobowych pracowników, akta były uporządkowane, ponumerowane, zawierały wykaz dokumentów zamieszczonych w aktach, były kompletne (zawierały ważne zaświadczenia o przeszkoleniu okresowym w zakresie bezpieczeństwa i higieny pracy, zakresy obowiązków pracowników, upoważnienia do przetwarzania danych osobowych w Ośrodku, aktualne zaświadczenia lekarskie o dopuszczeniu do pracy na stanowisku zajmowanym przez sprawdzanego pracownika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267DE7">
        <w:rPr>
          <w:rFonts w:asciiTheme="minorHAnsi" w:hAnsiTheme="minorHAnsi" w:cstheme="minorHAnsi"/>
          <w:sz w:val="22"/>
          <w:szCs w:val="22"/>
        </w:rPr>
        <w:t>, wymagane przepisami prawa oświadczenia). Prawidłowo prowadzono była ewidencja czasu pracy.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Kontrolą objęto także akta osobowe 2 pracowników którzy zakończyli stosunek pracy z Ośrodkiem, w celu sprawdzenia prawidłowości wystawiania świadectw pracy, w związku z ważną zmianą wprowadzoną ustawa z dnia 10.01.2018 r. o zmianie niektórych ustaw w związku ze skróceniem okresu przechowywania akt pracowniczych oraz ich elektronizacją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267DE7">
        <w:rPr>
          <w:rFonts w:asciiTheme="minorHAnsi" w:hAnsiTheme="minorHAnsi" w:cstheme="minorHAnsi"/>
          <w:sz w:val="22"/>
          <w:szCs w:val="22"/>
        </w:rPr>
        <w:t xml:space="preserve">. Ustawa wprowadza zmianę okresu przechowywania dokumentacji pracowniczej z obowiązujących do tej pory 50 lat na 10 lat. Automatycznie dotyczy to wszystkich osób, które były zatrudnione po 31.12.2018 r., a w przypadku Ośrodka Kultury Ochoty dotyczyło to jednego pracownika (zatrudniono 11.10.2021 r. i rozwiązano umowę o pracę w dniu 10.01.2022 r.). Zmiany które wprowadza ww. ustawa w Kodeksie pracy, wprowadziły także nowy obowiązek spoczywający na pracodawcy. Zgodnie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94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267DE7">
        <w:rPr>
          <w:rFonts w:asciiTheme="minorHAnsi" w:hAnsiTheme="minorHAnsi" w:cstheme="minorHAnsi"/>
          <w:sz w:val="22"/>
          <w:szCs w:val="22"/>
        </w:rPr>
        <w:t xml:space="preserve">. W przypadku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>rozwiązania lub wygaśnięcia stosunku pracy pracodawca wraz ze świadectwem pracy wydaje pracownikowi w postaci papierowej lub elektronicznej informację o:</w:t>
      </w:r>
    </w:p>
    <w:p w:rsidR="00734052" w:rsidRPr="00267DE7" w:rsidRDefault="002E39AF" w:rsidP="00267DE7">
      <w:pPr>
        <w:pStyle w:val="Bodytext20"/>
        <w:numPr>
          <w:ilvl w:val="0"/>
          <w:numId w:val="9"/>
        </w:numPr>
        <w:shd w:val="clear" w:color="auto" w:fill="auto"/>
        <w:tabs>
          <w:tab w:val="left" w:pos="294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okresie przechowywania dokumentacji pracowniczej, o którym mowa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94 pkt 9b lub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>art. 94</w:t>
      </w:r>
      <w:r w:rsidRPr="00267DE7">
        <w:rPr>
          <w:rFonts w:asciiTheme="minorHAnsi" w:hAnsiTheme="minorHAnsi" w:cstheme="minorHAnsi"/>
          <w:sz w:val="22"/>
          <w:szCs w:val="22"/>
          <w:vertAlign w:val="superscript"/>
          <w:lang w:val="en-US" w:eastAsia="en-US" w:bidi="en-US"/>
        </w:rPr>
        <w:t>s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267DE7">
        <w:rPr>
          <w:rFonts w:asciiTheme="minorHAnsi" w:hAnsiTheme="minorHAnsi" w:cstheme="minorHAnsi"/>
          <w:sz w:val="22"/>
          <w:szCs w:val="22"/>
        </w:rPr>
        <w:t xml:space="preserve">§ </w:t>
      </w:r>
      <w:r w:rsidRPr="00267DE7">
        <w:rPr>
          <w:rStyle w:val="Bodytext29pt"/>
          <w:rFonts w:asciiTheme="minorHAnsi" w:hAnsiTheme="minorHAnsi" w:cstheme="minorHAnsi"/>
          <w:sz w:val="22"/>
          <w:szCs w:val="22"/>
        </w:rPr>
        <w:t>2</w:t>
      </w:r>
      <w:r w:rsidRPr="00267DE7">
        <w:rPr>
          <w:rStyle w:val="Bodytext2115pt"/>
          <w:rFonts w:asciiTheme="minorHAnsi" w:hAnsiTheme="minorHAnsi" w:cstheme="minorHAnsi"/>
          <w:sz w:val="22"/>
          <w:szCs w:val="22"/>
        </w:rPr>
        <w:t>;</w:t>
      </w:r>
    </w:p>
    <w:p w:rsidR="00734052" w:rsidRPr="00267DE7" w:rsidRDefault="002E39AF" w:rsidP="00267DE7">
      <w:pPr>
        <w:pStyle w:val="Bodytext20"/>
        <w:numPr>
          <w:ilvl w:val="0"/>
          <w:numId w:val="9"/>
        </w:numPr>
        <w:shd w:val="clear" w:color="auto" w:fill="auto"/>
        <w:tabs>
          <w:tab w:val="left" w:pos="289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możliwości odbioru przez pracownika dokumentacji pracowniczej do końca miesiąca kalendarzowego następującego po upływie okresu przechowywania dokumentacji pracowniczej, o którym mowa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>art.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94 pkt 9b lub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94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t>5</w:t>
      </w:r>
      <w:r w:rsidRPr="00267DE7">
        <w:rPr>
          <w:rFonts w:asciiTheme="minorHAnsi" w:hAnsiTheme="minorHAnsi" w:cstheme="minorHAnsi"/>
          <w:sz w:val="22"/>
          <w:szCs w:val="22"/>
        </w:rPr>
        <w:t xml:space="preserve"> § 2;</w:t>
      </w:r>
    </w:p>
    <w:p w:rsidR="00734052" w:rsidRPr="00267DE7" w:rsidRDefault="002E39AF" w:rsidP="00267DE7">
      <w:pPr>
        <w:pStyle w:val="Bodytext20"/>
        <w:numPr>
          <w:ilvl w:val="0"/>
          <w:numId w:val="9"/>
        </w:numPr>
        <w:shd w:val="clear" w:color="auto" w:fill="auto"/>
        <w:tabs>
          <w:tab w:val="left" w:pos="289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zniszczeniu dokumentacji pracowniczej w przypadku jej nieodebrania.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W aktach osobowych pracownika z którym rozwiązano umowę o prace w dniu 10.01.2022r., brak było informacji o której mowa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94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267DE7">
        <w:rPr>
          <w:rFonts w:asciiTheme="minorHAnsi" w:hAnsiTheme="minorHAnsi" w:cstheme="minorHAnsi"/>
          <w:sz w:val="22"/>
          <w:szCs w:val="22"/>
        </w:rPr>
        <w:t xml:space="preserve"> Ustawy z dnia 26.06.1974 r. Kodeks pracy. Dyrektor Ośrodka wyjaśniła, cyt.; „Brak informacji o okresie przechowywania akt osobowych jest niedopatrzeniem i zostanie skorygowany (...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jwyżej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wymienione informacje prześlemy drogą pocztową".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Dyrektorem Ośrodka Kultury Ochoty w okresie objętym kontrolą były kolejno Pani Bożena Majewska (pełniła funkcję w okresie do 31.03.2021 r.) a następnie Pani Alicja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Brudło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 (pełni funkcję od 01.07.2021 r.).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Funkcję Głównego Księgowego Ośrodka Kultury Ochoty pełni Pani Bożenna Pokropek zatrudniona od dnia 13.07.2009 r.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Przedstawiając powyższe ustalenia i oceny zalecam;</w:t>
      </w:r>
    </w:p>
    <w:p w:rsidR="00734052" w:rsidRPr="00267DE7" w:rsidRDefault="002E39AF" w:rsidP="00267DE7">
      <w:pPr>
        <w:pStyle w:val="Bodytext20"/>
        <w:numPr>
          <w:ilvl w:val="0"/>
          <w:numId w:val="10"/>
        </w:numPr>
        <w:shd w:val="clear" w:color="auto" w:fill="auto"/>
        <w:tabs>
          <w:tab w:val="left" w:pos="346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Dokonywanie wynajmu pomieszczeń w Ośrodku Kultury Ochoty zgodnie z wewnętrzną procedurą obowiązującą w przedmiotowym zakresie po jej stosownej aktualizacji uwzględniającej obecną organizację Ośrodka Kultury Ochoty.</w:t>
      </w:r>
    </w:p>
    <w:p w:rsidR="00734052" w:rsidRPr="00267DE7" w:rsidRDefault="002E39AF" w:rsidP="00267DE7">
      <w:pPr>
        <w:pStyle w:val="Bodytext20"/>
        <w:numPr>
          <w:ilvl w:val="0"/>
          <w:numId w:val="10"/>
        </w:numPr>
        <w:shd w:val="clear" w:color="auto" w:fill="auto"/>
        <w:tabs>
          <w:tab w:val="left" w:pos="346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Kontrasygnowanie przez Głównego księgowego umów zawieranych przez Ośrodek Kultury Ochoty, w celu potwierdzenia dokonania kontroli wstępnej operacji gospodarczych i finansowych, w sposób zgodny z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54 ust. 3 ustawy o finansach publicznych, oraz rzetelne i pełne dokumentowanie operacji finansowych w sposób zgodny ze standardami kontroli zarządczej.</w:t>
      </w:r>
    </w:p>
    <w:p w:rsidR="00734052" w:rsidRPr="00267DE7" w:rsidRDefault="002E39AF" w:rsidP="00267DE7">
      <w:pPr>
        <w:pStyle w:val="Bodytext20"/>
        <w:numPr>
          <w:ilvl w:val="0"/>
          <w:numId w:val="10"/>
        </w:numPr>
        <w:shd w:val="clear" w:color="auto" w:fill="auto"/>
        <w:tabs>
          <w:tab w:val="left" w:pos="346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Staranne dokumentowanie czynności związanych z przygotowywaniem i przeprowadzaniem postępowań o udzielenie zamówień, w tym w szczególności szacowanie wartości zamówień z należytą starannością z zachowaniem zasad określonych w dziale I, rozdziale 5 ustawy z dnia 11 września 2019 r. - Prawo zamówień publicznych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267DE7">
        <w:rPr>
          <w:rFonts w:asciiTheme="minorHAnsi" w:hAnsiTheme="minorHAnsi" w:cstheme="minorHAnsi"/>
          <w:sz w:val="22"/>
          <w:szCs w:val="22"/>
        </w:rPr>
        <w:t xml:space="preserve"> oraz wewnętrznych uregulowaniach, w celu </w:t>
      </w:r>
      <w:r w:rsidRPr="00267DE7">
        <w:rPr>
          <w:rFonts w:asciiTheme="minorHAnsi" w:hAnsiTheme="minorHAnsi" w:cstheme="minorHAnsi"/>
          <w:sz w:val="22"/>
          <w:szCs w:val="22"/>
        </w:rPr>
        <w:lastRenderedPageBreak/>
        <w:t xml:space="preserve">zachowania zasady przejrzystości (wyrażonej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16 pkt 2 nowej ustawy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 xml:space="preserve">.) oraz zasady pisemności (wyrażonej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 xml:space="preserve">20 ust. 1 nowej ustawy </w:t>
      </w:r>
      <w:proofErr w:type="spellStart"/>
      <w:r w:rsidRPr="00267DE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DE7">
        <w:rPr>
          <w:rFonts w:asciiTheme="minorHAnsi" w:hAnsiTheme="minorHAnsi" w:cstheme="minorHAnsi"/>
          <w:sz w:val="22"/>
          <w:szCs w:val="22"/>
        </w:rPr>
        <w:t>.).</w:t>
      </w:r>
    </w:p>
    <w:p w:rsidR="00734052" w:rsidRPr="00267DE7" w:rsidRDefault="002E39AF" w:rsidP="00267DE7">
      <w:pPr>
        <w:pStyle w:val="Bodytext20"/>
        <w:numPr>
          <w:ilvl w:val="0"/>
          <w:numId w:val="10"/>
        </w:numPr>
        <w:shd w:val="clear" w:color="auto" w:fill="auto"/>
        <w:tabs>
          <w:tab w:val="left" w:pos="346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Przestrzeganie wewnętrznych procedur udzielania zamówień publicznych do 130.000 zł, w celu zapewnienia skutecznej kontroli zarządczej, zgodnie ze standardem nrC.10. kontroli zarządczej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267DE7">
        <w:rPr>
          <w:rFonts w:asciiTheme="minorHAnsi" w:hAnsiTheme="minorHAnsi" w:cstheme="minorHAnsi"/>
          <w:sz w:val="22"/>
          <w:szCs w:val="22"/>
        </w:rPr>
        <w:t>.</w:t>
      </w:r>
    </w:p>
    <w:p w:rsidR="00734052" w:rsidRPr="00267DE7" w:rsidRDefault="002E39AF" w:rsidP="00267DE7">
      <w:pPr>
        <w:pStyle w:val="Bodytext20"/>
        <w:numPr>
          <w:ilvl w:val="0"/>
          <w:numId w:val="10"/>
        </w:numPr>
        <w:shd w:val="clear" w:color="auto" w:fill="auto"/>
        <w:tabs>
          <w:tab w:val="left" w:pos="346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Zapewnienie przestrzegania zasady konkurencyjności i transparentności przy udzielaniu zamówień do kwoty 130.000 zł.</w:t>
      </w:r>
    </w:p>
    <w:p w:rsidR="00734052" w:rsidRPr="00267DE7" w:rsidRDefault="002E39AF" w:rsidP="00267DE7">
      <w:pPr>
        <w:pStyle w:val="Bodytext20"/>
        <w:numPr>
          <w:ilvl w:val="0"/>
          <w:numId w:val="10"/>
        </w:numPr>
        <w:shd w:val="clear" w:color="auto" w:fill="auto"/>
        <w:tabs>
          <w:tab w:val="left" w:pos="346"/>
        </w:tabs>
        <w:spacing w:before="120" w:after="240" w:line="300" w:lineRule="auto"/>
        <w:ind w:left="403" w:hanging="403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 xml:space="preserve">Sporządzanie i zamieszczanie w aktach osobowych informacji, o której mowa w </w:t>
      </w:r>
      <w:r w:rsidRPr="00267DE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267DE7">
        <w:rPr>
          <w:rFonts w:asciiTheme="minorHAnsi" w:hAnsiTheme="minorHAnsi" w:cstheme="minorHAnsi"/>
          <w:sz w:val="22"/>
          <w:szCs w:val="22"/>
        </w:rPr>
        <w:t>94</w:t>
      </w:r>
      <w:r w:rsidRPr="00267DE7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267DE7">
        <w:rPr>
          <w:rFonts w:asciiTheme="minorHAnsi" w:hAnsiTheme="minorHAnsi" w:cstheme="minorHAnsi"/>
          <w:sz w:val="22"/>
          <w:szCs w:val="22"/>
        </w:rPr>
        <w:t xml:space="preserve"> Ustawy z dnia 26.06.1974 r. Kodeks pracy.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left="160" w:right="3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left="160" w:right="5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Na podstawie § 41 ust. 1 Zarządzenia zobowiązuję Panią do przekazania kopii ww. informacji Pani Dorocie Stegienka Burmistrzowi Dzielnicy Ochoty m.st Warszawy.</w:t>
      </w:r>
    </w:p>
    <w:p w:rsidR="000B3176" w:rsidRPr="000B3176" w:rsidRDefault="000B3176" w:rsidP="000B3176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0B3176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left="16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734052" w:rsidRPr="00267DE7" w:rsidRDefault="002E39AF" w:rsidP="00267DE7">
      <w:pPr>
        <w:pStyle w:val="Bodytext20"/>
        <w:shd w:val="clear" w:color="auto" w:fill="auto"/>
        <w:spacing w:before="120" w:after="240" w:line="300" w:lineRule="auto"/>
        <w:ind w:left="4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67DE7">
        <w:rPr>
          <w:rFonts w:asciiTheme="minorHAnsi" w:hAnsiTheme="minorHAnsi" w:cstheme="minorHAnsi"/>
          <w:sz w:val="22"/>
          <w:szCs w:val="22"/>
        </w:rPr>
        <w:t>1. Pani Dorota Stegienka - Burmistrz Dzielnicy Ochota m.st. Warszawy.</w:t>
      </w:r>
    </w:p>
    <w:sectPr w:rsidR="00734052" w:rsidRPr="00267DE7" w:rsidSect="00041B47">
      <w:footerReference w:type="default" r:id="rId7"/>
      <w:headerReference w:type="first" r:id="rId8"/>
      <w:footerReference w:type="first" r:id="rId9"/>
      <w:pgSz w:w="11900" w:h="16840"/>
      <w:pgMar w:top="1596" w:right="1216" w:bottom="1804" w:left="144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2C" w:rsidRDefault="00D0732C">
      <w:r>
        <w:separator/>
      </w:r>
    </w:p>
  </w:endnote>
  <w:endnote w:type="continuationSeparator" w:id="0">
    <w:p w:rsidR="00D0732C" w:rsidRDefault="00D0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877690"/>
      <w:docPartObj>
        <w:docPartGallery w:val="Page Numbers (Bottom of Page)"/>
        <w:docPartUnique/>
      </w:docPartObj>
    </w:sdtPr>
    <w:sdtEndPr/>
    <w:sdtContent>
      <w:p w:rsidR="000B3176" w:rsidRDefault="000B3176">
        <w:pPr>
          <w:pStyle w:val="Stopka"/>
          <w:jc w:val="right"/>
        </w:pPr>
        <w:r w:rsidRPr="000B317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B317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B317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F1DBC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0B317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0B3176" w:rsidRDefault="000B3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29688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041B47" w:rsidRPr="00041B47" w:rsidRDefault="00041B4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041B4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41B4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41B4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F1DBC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041B4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041B47" w:rsidRDefault="00041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2C" w:rsidRDefault="00D0732C">
      <w:r>
        <w:separator/>
      </w:r>
    </w:p>
  </w:footnote>
  <w:footnote w:type="continuationSeparator" w:id="0">
    <w:p w:rsidR="00D0732C" w:rsidRDefault="00D0732C">
      <w:r>
        <w:continuationSeparator/>
      </w:r>
    </w:p>
  </w:footnote>
  <w:footnote w:id="1">
    <w:p w:rsidR="00734052" w:rsidRPr="00E740CC" w:rsidRDefault="002E39AF" w:rsidP="003F1DBC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E740CC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E740CC">
        <w:rPr>
          <w:rFonts w:asciiTheme="minorHAnsi" w:hAnsiTheme="minorHAnsi" w:cstheme="minorHAnsi"/>
          <w:sz w:val="22"/>
          <w:szCs w:val="22"/>
        </w:rPr>
        <w:t>W sprawie zmiany statutu Ośrodka Kultury Ochoty</w:t>
      </w:r>
    </w:p>
  </w:footnote>
  <w:footnote w:id="2">
    <w:p w:rsidR="00734052" w:rsidRPr="00E740CC" w:rsidRDefault="002E39AF" w:rsidP="003F1DB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E740CC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E740CC">
        <w:rPr>
          <w:rFonts w:asciiTheme="minorHAnsi" w:hAnsiTheme="minorHAnsi" w:cstheme="minorHAnsi"/>
          <w:sz w:val="22"/>
          <w:szCs w:val="22"/>
        </w:rPr>
        <w:tab/>
        <w:t>W 2020 r. Ośrodek otrzymał dotację podmiotową w wysokości 5.213.613,00 zł.</w:t>
      </w:r>
    </w:p>
  </w:footnote>
  <w:footnote w:id="3">
    <w:p w:rsidR="00734052" w:rsidRPr="00E740CC" w:rsidRDefault="002E39AF" w:rsidP="003F1DBC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E740CC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E740CC">
        <w:rPr>
          <w:rFonts w:asciiTheme="minorHAnsi" w:hAnsiTheme="minorHAnsi" w:cstheme="minorHAnsi"/>
          <w:sz w:val="22"/>
          <w:szCs w:val="22"/>
        </w:rPr>
        <w:tab/>
        <w:t xml:space="preserve">Dz.U. z 2021 r. poz. 217 </w:t>
      </w:r>
      <w:proofErr w:type="spellStart"/>
      <w:r w:rsidRPr="00E740C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E740CC">
        <w:rPr>
          <w:rFonts w:asciiTheme="minorHAnsi" w:hAnsiTheme="minorHAnsi" w:cstheme="minorHAnsi"/>
          <w:sz w:val="22"/>
          <w:szCs w:val="22"/>
        </w:rPr>
        <w:t>.</w:t>
      </w:r>
    </w:p>
  </w:footnote>
  <w:footnote w:id="4">
    <w:p w:rsidR="00734052" w:rsidRPr="00CD7545" w:rsidRDefault="002E39AF" w:rsidP="003F1DBC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Dz. U. z 2019 r. poz. 869 j.t. ze zm.</w:t>
      </w:r>
    </w:p>
  </w:footnote>
  <w:footnote w:id="5">
    <w:p w:rsidR="00734052" w:rsidRPr="00CD7545" w:rsidRDefault="002E39AF" w:rsidP="003F1DB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right="8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Wprowadzony Zarządzeniem nr </w:t>
      </w:r>
      <w:r w:rsidRPr="00CD754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01/01/2012 </w:t>
      </w:r>
      <w:r w:rsidRPr="00CD7545">
        <w:rPr>
          <w:rFonts w:asciiTheme="minorHAnsi" w:hAnsiTheme="minorHAnsi" w:cstheme="minorHAnsi"/>
          <w:sz w:val="22"/>
          <w:szCs w:val="22"/>
        </w:rPr>
        <w:t>z dnia 16.01.2012 r. przez poprzedniego Dyrektora Ośrodka Panią Bożenę Majewską</w:t>
      </w:r>
    </w:p>
  </w:footnote>
  <w:footnote w:id="6">
    <w:p w:rsidR="00734052" w:rsidRPr="00CD7545" w:rsidRDefault="002E39AF" w:rsidP="003F1DBC">
      <w:pPr>
        <w:pStyle w:val="Footnote10"/>
        <w:shd w:val="clear" w:color="auto" w:fill="auto"/>
        <w:tabs>
          <w:tab w:val="left" w:pos="13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Pełniąca obowiązki Dyrektora do 31.03.2021 r.</w:t>
      </w:r>
    </w:p>
  </w:footnote>
  <w:footnote w:id="7">
    <w:p w:rsidR="00734052" w:rsidRPr="00CD7545" w:rsidRDefault="002E39AF" w:rsidP="003F1DB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Komunikat nr 23 Ministra Finansów z dnia 16.12.2009 r</w:t>
      </w:r>
    </w:p>
  </w:footnote>
  <w:footnote w:id="8">
    <w:p w:rsidR="00734052" w:rsidRPr="00CD7545" w:rsidRDefault="002E39AF" w:rsidP="003F1DBC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t>s</w:t>
      </w:r>
      <w:r w:rsidRPr="00CD7545">
        <w:rPr>
          <w:rFonts w:asciiTheme="minorHAnsi" w:hAnsiTheme="minorHAnsi" w:cstheme="minorHAnsi"/>
          <w:sz w:val="22"/>
          <w:szCs w:val="22"/>
        </w:rPr>
        <w:t xml:space="preserve">Dz.U. </w:t>
      </w:r>
      <w:r w:rsidRPr="00CD7545">
        <w:rPr>
          <w:rStyle w:val="Footnote185ptSmallCaps"/>
          <w:rFonts w:asciiTheme="minorHAnsi" w:hAnsiTheme="minorHAnsi" w:cstheme="minorHAnsi"/>
          <w:sz w:val="22"/>
          <w:szCs w:val="22"/>
        </w:rPr>
        <w:t xml:space="preserve">z </w:t>
      </w:r>
      <w:r w:rsidRPr="00CD7545">
        <w:rPr>
          <w:rFonts w:asciiTheme="minorHAnsi" w:hAnsiTheme="minorHAnsi" w:cstheme="minorHAnsi"/>
          <w:sz w:val="22"/>
          <w:szCs w:val="22"/>
        </w:rPr>
        <w:t xml:space="preserve">2019r., poz. 2019 ze zm.; dalej: nowa ustawa </w:t>
      </w:r>
      <w:proofErr w:type="spellStart"/>
      <w:r w:rsidRPr="00CD7545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</w:footnote>
  <w:footnote w:id="9">
    <w:p w:rsidR="00734052" w:rsidRPr="00CD7545" w:rsidRDefault="002E39AF" w:rsidP="003F1DB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Z dnia 27.08.2009 r. (Dz.U.2021.305 ze zm.)</w:t>
      </w:r>
    </w:p>
  </w:footnote>
  <w:footnote w:id="10">
    <w:p w:rsidR="00734052" w:rsidRPr="00CD7545" w:rsidRDefault="002E39AF" w:rsidP="003F1DBC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Dz.U. z 2019r., poz. 2019 ze zm.; dalej: nowa ustawa </w:t>
      </w:r>
      <w:proofErr w:type="spellStart"/>
      <w:r w:rsidRPr="00CD754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D7545">
        <w:rPr>
          <w:rFonts w:asciiTheme="minorHAnsi" w:hAnsiTheme="minorHAnsi" w:cstheme="minorHAnsi"/>
          <w:sz w:val="22"/>
          <w:szCs w:val="22"/>
        </w:rPr>
        <w:t>.</w:t>
      </w:r>
    </w:p>
  </w:footnote>
  <w:footnote w:id="11">
    <w:p w:rsidR="00734052" w:rsidRPr="00CD7545" w:rsidRDefault="002E39AF" w:rsidP="003F1DB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CD754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02/12/2020 </w:t>
      </w:r>
      <w:r w:rsidRPr="00CD7545">
        <w:rPr>
          <w:rFonts w:asciiTheme="minorHAnsi" w:hAnsiTheme="minorHAnsi" w:cstheme="minorHAnsi"/>
          <w:sz w:val="22"/>
          <w:szCs w:val="22"/>
        </w:rPr>
        <w:t>Dyrektora Ośrodka Kultury Ochoty Pani Bożeny Majewskiej z dnia</w:t>
      </w:r>
    </w:p>
    <w:p w:rsidR="00734052" w:rsidRPr="00CD7545" w:rsidRDefault="002E39AF" w:rsidP="003F1DBC">
      <w:pPr>
        <w:pStyle w:val="Footnote10"/>
        <w:numPr>
          <w:ilvl w:val="0"/>
          <w:numId w:val="1"/>
        </w:numPr>
        <w:shd w:val="clear" w:color="auto" w:fill="auto"/>
        <w:tabs>
          <w:tab w:val="left" w:pos="182"/>
          <w:tab w:val="left" w:pos="1027"/>
        </w:tabs>
        <w:spacing w:before="120" w:after="240" w:line="300" w:lineRule="auto"/>
        <w:ind w:right="7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</w:rPr>
        <w:t xml:space="preserve">r. w sprawie wprowadzenia Regulaminu udzielania zamówień publicznych o wartości nieprzekraczającej kwoty wskazanej w </w:t>
      </w:r>
      <w:r w:rsidRPr="00CD754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D7545">
        <w:rPr>
          <w:rFonts w:asciiTheme="minorHAnsi" w:hAnsiTheme="minorHAnsi" w:cstheme="minorHAnsi"/>
          <w:sz w:val="22"/>
          <w:szCs w:val="22"/>
        </w:rPr>
        <w:t>4 pkt 8 ustawy Prawo zamówień publicznych</w:t>
      </w:r>
    </w:p>
  </w:footnote>
  <w:footnote w:id="12">
    <w:p w:rsidR="00734052" w:rsidRPr="00CD7545" w:rsidRDefault="002E39AF" w:rsidP="003F1DB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CD754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02/12/2020 </w:t>
      </w:r>
      <w:r w:rsidRPr="00CD7545">
        <w:rPr>
          <w:rFonts w:asciiTheme="minorHAnsi" w:hAnsiTheme="minorHAnsi" w:cstheme="minorHAnsi"/>
          <w:sz w:val="22"/>
          <w:szCs w:val="22"/>
        </w:rPr>
        <w:t>Dyrektora Ośrodka Kultury Ochoty Pani Bożeny Majewskiej z dnia</w:t>
      </w:r>
    </w:p>
    <w:p w:rsidR="00734052" w:rsidRPr="00CD7545" w:rsidRDefault="002E39AF" w:rsidP="003F1DBC">
      <w:pPr>
        <w:pStyle w:val="Footnote10"/>
        <w:numPr>
          <w:ilvl w:val="0"/>
          <w:numId w:val="2"/>
        </w:numPr>
        <w:shd w:val="clear" w:color="auto" w:fill="auto"/>
        <w:tabs>
          <w:tab w:val="left" w:pos="178"/>
          <w:tab w:val="left" w:pos="1018"/>
        </w:tabs>
        <w:spacing w:before="120" w:after="240" w:line="300" w:lineRule="auto"/>
        <w:ind w:right="7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</w:rPr>
        <w:t xml:space="preserve">r. w sprawie wprowadzenia Regulaminu udzielania zamówień publicznych o wartości nieprzekraczającej kwoty wskazanej w </w:t>
      </w:r>
      <w:r w:rsidRPr="00CD754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D7545">
        <w:rPr>
          <w:rFonts w:asciiTheme="minorHAnsi" w:hAnsiTheme="minorHAnsi" w:cstheme="minorHAnsi"/>
          <w:sz w:val="22"/>
          <w:szCs w:val="22"/>
        </w:rPr>
        <w:t>4 pkt 8 ustawy Prawo zamówień publicznych</w:t>
      </w:r>
    </w:p>
  </w:footnote>
  <w:footnote w:id="13">
    <w:p w:rsidR="00734052" w:rsidRPr="00CD7545" w:rsidRDefault="002E39AF" w:rsidP="003F1DBC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531D3F">
        <w:rPr>
          <w:rFonts w:asciiTheme="minorHAnsi" w:hAnsiTheme="minorHAnsi" w:cstheme="minorHAnsi"/>
          <w:sz w:val="22"/>
          <w:szCs w:val="22"/>
        </w:rPr>
        <w:t xml:space="preserve"> </w:t>
      </w:r>
      <w:r w:rsidRPr="00CD754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D7545">
        <w:rPr>
          <w:rFonts w:asciiTheme="minorHAnsi" w:hAnsiTheme="minorHAnsi" w:cstheme="minorHAnsi"/>
          <w:sz w:val="22"/>
          <w:szCs w:val="22"/>
        </w:rPr>
        <w:t>54 ust 1 pkt 3 ustawy o finansach publicznych, który stanowi, iż do zadań Głównego Księgowego jednostki sektora finansów publicznych należy dokonywanie wstępnej kontroli zgodności operacji gospodarczych i finansowych z planem finansowym oraz badanie kompletności i rzetelności dokumentów dotyczących operacji gospodarczych i finansowych.</w:t>
      </w:r>
    </w:p>
  </w:footnote>
  <w:footnote w:id="14">
    <w:p w:rsidR="00734052" w:rsidRPr="00CD7545" w:rsidRDefault="002E39AF" w:rsidP="003F1DB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CD754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02/12/2020 </w:t>
      </w:r>
      <w:r w:rsidRPr="00CD7545">
        <w:rPr>
          <w:rFonts w:asciiTheme="minorHAnsi" w:hAnsiTheme="minorHAnsi" w:cstheme="minorHAnsi"/>
          <w:sz w:val="22"/>
          <w:szCs w:val="22"/>
        </w:rPr>
        <w:t>Dyrektora Ośrodka Kultury Ochoty Pani Bożeny Majewskiej z dnia</w:t>
      </w:r>
    </w:p>
    <w:p w:rsidR="00734052" w:rsidRPr="00CD7545" w:rsidRDefault="002E39AF" w:rsidP="003F1DBC">
      <w:pPr>
        <w:pStyle w:val="Footnote10"/>
        <w:numPr>
          <w:ilvl w:val="0"/>
          <w:numId w:val="3"/>
        </w:numPr>
        <w:shd w:val="clear" w:color="auto" w:fill="auto"/>
        <w:tabs>
          <w:tab w:val="left" w:pos="178"/>
          <w:tab w:val="left" w:pos="1018"/>
        </w:tabs>
        <w:spacing w:before="120" w:after="240" w:line="300" w:lineRule="auto"/>
        <w:ind w:right="7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</w:rPr>
        <w:t xml:space="preserve">r. w sprawie wprowadzenia Regulaminu udzielania zamówień publicznych o wartości nieprzekraczającej kwoty wskazanej w </w:t>
      </w:r>
      <w:r w:rsidRPr="00CD754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D7545">
        <w:rPr>
          <w:rFonts w:asciiTheme="minorHAnsi" w:hAnsiTheme="minorHAnsi" w:cstheme="minorHAnsi"/>
          <w:sz w:val="22"/>
          <w:szCs w:val="22"/>
        </w:rPr>
        <w:t>4 pkt 8 ustawy Prawo zamówień publicznych</w:t>
      </w:r>
    </w:p>
  </w:footnote>
  <w:footnote w:id="15">
    <w:p w:rsidR="00734052" w:rsidRPr="00CD7545" w:rsidRDefault="002E39AF" w:rsidP="003F1DBC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Dz. U. z 2020 r., poz. 1175</w:t>
      </w:r>
    </w:p>
  </w:footnote>
  <w:footnote w:id="16">
    <w:p w:rsidR="00734052" w:rsidRPr="00CD7545" w:rsidRDefault="002E39AF" w:rsidP="003F1DB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Dz. U. z 2020 r., poz. 1320 j.t. ze zm.</w:t>
      </w:r>
    </w:p>
  </w:footnote>
  <w:footnote w:id="17">
    <w:p w:rsidR="00734052" w:rsidRPr="00CD7545" w:rsidRDefault="002E39AF" w:rsidP="003F1DBC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>)22.10.2015 r. w sprawie wynagradzania pracowników instytucji kultury (Dz.U. 2015 poz. 1798</w:t>
      </w:r>
    </w:p>
  </w:footnote>
  <w:footnote w:id="18">
    <w:p w:rsidR="00734052" w:rsidRPr="00CD7545" w:rsidRDefault="002E39AF" w:rsidP="003F1DBC">
      <w:pPr>
        <w:pStyle w:val="Footnote10"/>
        <w:shd w:val="clear" w:color="auto" w:fill="auto"/>
        <w:spacing w:before="120" w:after="240" w:line="300" w:lineRule="auto"/>
        <w:ind w:right="112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 xml:space="preserve"> Rozporządzenie ministra rodziny, Pracy i polityki społecznej z dnia 10.12.2018 r. w sprawie dokumentacji pracowniczej (Dz.U.2018.2369)</w:t>
      </w:r>
    </w:p>
  </w:footnote>
  <w:footnote w:id="19">
    <w:p w:rsidR="00734052" w:rsidRPr="00CD7545" w:rsidRDefault="002E39AF" w:rsidP="003F1DB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W czasie epidemii Covid-19 możliwość przedłużenia ważności orzeczeń lekarskich wydanych w ramach wstępnych, okresowych i kontrolnych badań lekarskich, zgodnie z Ustawa z dnia 02.03.2020 r., o szczególnych rozwiązaniach związanych z zapobieganiem, przeciwdziałaniem i zwalczaniem </w:t>
      </w:r>
      <w:r w:rsidRPr="00CD754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CIVID-19, </w:t>
      </w:r>
      <w:r w:rsidRPr="00CD7545">
        <w:rPr>
          <w:rFonts w:asciiTheme="minorHAnsi" w:hAnsiTheme="minorHAnsi" w:cstheme="minorHAnsi"/>
          <w:sz w:val="22"/>
          <w:szCs w:val="22"/>
        </w:rPr>
        <w:t>innych chorób zakaźnych oraz wywołanych nimi sytuacji kryzysowych (Dz.U. 2021r., poz. 2095).</w:t>
      </w:r>
    </w:p>
  </w:footnote>
  <w:footnote w:id="20">
    <w:p w:rsidR="00734052" w:rsidRPr="00CD7545" w:rsidRDefault="002E39AF" w:rsidP="003F1DBC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Dz. U. 2018, poz. 357.</w:t>
      </w:r>
    </w:p>
  </w:footnote>
  <w:footnote w:id="21">
    <w:p w:rsidR="00734052" w:rsidRPr="00CD7545" w:rsidRDefault="002E39AF" w:rsidP="003F1DBC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 xml:space="preserve">Dz.U. z 2019r., poz. 2019 ze zm.; dalej: nowa ustawa </w:t>
      </w:r>
      <w:proofErr w:type="spellStart"/>
      <w:r w:rsidRPr="00CD754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D7545">
        <w:rPr>
          <w:rFonts w:asciiTheme="minorHAnsi" w:hAnsiTheme="minorHAnsi" w:cstheme="minorHAnsi"/>
          <w:sz w:val="22"/>
          <w:szCs w:val="22"/>
        </w:rPr>
        <w:t>.</w:t>
      </w:r>
    </w:p>
  </w:footnote>
  <w:footnote w:id="22">
    <w:p w:rsidR="00734052" w:rsidRPr="00CD7545" w:rsidRDefault="002E39AF" w:rsidP="003F1DBC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CD7545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D7545">
        <w:rPr>
          <w:rFonts w:asciiTheme="minorHAnsi" w:hAnsiTheme="minorHAnsi" w:cstheme="minorHAnsi"/>
          <w:sz w:val="22"/>
          <w:szCs w:val="22"/>
        </w:rPr>
        <w:tab/>
        <w:t>Komunikat nr 23 Ministra Finansów z dnia 16.12.2009 r. w sprawie standardów kontroli zarządczej dla sektora finansów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D6" w:rsidRPr="00F519D6" w:rsidRDefault="00267DE7" w:rsidP="00F519D6">
    <w:pPr>
      <w:pStyle w:val="Nagwek"/>
    </w:pPr>
    <w:r>
      <w:rPr>
        <w:noProof/>
        <w:lang w:bidi="ar-SA"/>
      </w:rPr>
      <w:drawing>
        <wp:inline distT="0" distB="0" distL="0" distR="0" wp14:anchorId="69EC0243" wp14:editId="1E1FA97F">
          <wp:extent cx="5734050" cy="1077031"/>
          <wp:effectExtent l="0" t="0" r="0" b="8890"/>
          <wp:docPr id="6" name="Obraz 6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4050" cy="107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BA6"/>
    <w:multiLevelType w:val="multilevel"/>
    <w:tmpl w:val="357668E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D4C43"/>
    <w:multiLevelType w:val="multilevel"/>
    <w:tmpl w:val="FA729C8C"/>
    <w:lvl w:ilvl="0">
      <w:start w:val="2020"/>
      <w:numFmt w:val="decimal"/>
      <w:lvlText w:val="31.1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356B3"/>
    <w:multiLevelType w:val="multilevel"/>
    <w:tmpl w:val="BC626C36"/>
    <w:lvl w:ilvl="0">
      <w:start w:val="2020"/>
      <w:numFmt w:val="decimal"/>
      <w:lvlText w:val="31.1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AD1875"/>
    <w:multiLevelType w:val="multilevel"/>
    <w:tmpl w:val="EC70209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851A1E"/>
    <w:multiLevelType w:val="multilevel"/>
    <w:tmpl w:val="3760EB6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07714C"/>
    <w:multiLevelType w:val="multilevel"/>
    <w:tmpl w:val="82DCA136"/>
    <w:lvl w:ilvl="0">
      <w:start w:val="2020"/>
      <w:numFmt w:val="decimal"/>
      <w:lvlText w:val="31.1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696CFD"/>
    <w:multiLevelType w:val="multilevel"/>
    <w:tmpl w:val="E36C562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D118C4"/>
    <w:multiLevelType w:val="multilevel"/>
    <w:tmpl w:val="7FE036B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730D41"/>
    <w:multiLevelType w:val="multilevel"/>
    <w:tmpl w:val="54EEBD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9B439A2"/>
    <w:multiLevelType w:val="multilevel"/>
    <w:tmpl w:val="6B8EC5C4"/>
    <w:lvl w:ilvl="0">
      <w:start w:val="2020"/>
      <w:numFmt w:val="decimal"/>
      <w:lvlText w:val="31.1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52"/>
    <w:rsid w:val="00015956"/>
    <w:rsid w:val="00041B47"/>
    <w:rsid w:val="000B3176"/>
    <w:rsid w:val="00103515"/>
    <w:rsid w:val="00246C9A"/>
    <w:rsid w:val="00267DE7"/>
    <w:rsid w:val="002E39AF"/>
    <w:rsid w:val="003F1DBC"/>
    <w:rsid w:val="00531D3F"/>
    <w:rsid w:val="00734052"/>
    <w:rsid w:val="00CD7545"/>
    <w:rsid w:val="00D0732C"/>
    <w:rsid w:val="00D37FBF"/>
    <w:rsid w:val="00E740CC"/>
    <w:rsid w:val="00F519D6"/>
    <w:rsid w:val="00FC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F8326A-D7AD-4200-8E34-5F57C0B0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6C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ootnote185ptSmallCaps">
    <w:name w:val="Footnote|1 + 8.5 pt;Small Caps"/>
    <w:basedOn w:val="Footnote1"/>
    <w:semiHidden/>
    <w:unhideWhenUsed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b/>
      <w:bCs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9pt">
    <w:name w:val="Body text|2 + 9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115pt">
    <w:name w:val="Body text|2 + 11.5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12" w:lineRule="exact"/>
      <w:ind w:hanging="160"/>
    </w:pPr>
    <w:rPr>
      <w:rFonts w:ascii="Arial" w:eastAsia="Arial" w:hAnsi="Arial" w:cs="Arial"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83" w:lineRule="exact"/>
    </w:pPr>
    <w:rPr>
      <w:rFonts w:ascii="Arial" w:eastAsia="Arial" w:hAnsi="Arial" w:cs="Arial"/>
      <w:b/>
      <w:bCs/>
      <w:w w:val="75"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0" w:lineRule="exact"/>
    </w:pPr>
    <w:rPr>
      <w:b/>
      <w:bCs/>
      <w:sz w:val="19"/>
      <w:szCs w:val="19"/>
      <w:lang w:val="ru-RU" w:eastAsia="ru-RU" w:bidi="ru-RU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240" w:line="202" w:lineRule="exact"/>
    </w:pPr>
    <w:rPr>
      <w:rFonts w:ascii="Arial" w:eastAsia="Arial" w:hAnsi="Arial" w:cs="Arial"/>
      <w:sz w:val="13"/>
      <w:szCs w:val="13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40" w:after="360" w:line="212" w:lineRule="exact"/>
      <w:ind w:hanging="40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26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nhideWhenUsed/>
    <w:rsid w:val="00F51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19D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519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9D6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246C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3319</Words>
  <Characters>19917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00206BFA04F1230418213500</vt:lpstr>
    </vt:vector>
  </TitlesOfParts>
  <Company>UMSTW</Company>
  <LinksUpToDate>false</LinksUpToDate>
  <CharactersWithSpaces>23190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8</cp:revision>
  <dcterms:created xsi:type="dcterms:W3CDTF">2023-04-20T09:14:00Z</dcterms:created>
  <dcterms:modified xsi:type="dcterms:W3CDTF">2024-04-30T10:48:00Z</dcterms:modified>
</cp:coreProperties>
</file>