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5B0" w:rsidRPr="005A6CE8" w:rsidRDefault="008117BE" w:rsidP="005A6CE8">
      <w:pPr>
        <w:pStyle w:val="Bodytext20"/>
        <w:shd w:val="clear" w:color="auto" w:fill="auto"/>
        <w:spacing w:before="120" w:after="240" w:line="300" w:lineRule="auto"/>
        <w:ind w:left="5664" w:firstLine="0"/>
        <w:rPr>
          <w:rFonts w:asciiTheme="minorHAnsi" w:hAnsiTheme="minorHAnsi" w:cstheme="minorHAnsi"/>
          <w:sz w:val="22"/>
          <w:szCs w:val="22"/>
        </w:rPr>
      </w:pPr>
      <w:r w:rsidRPr="005A6CE8">
        <w:rPr>
          <w:rFonts w:asciiTheme="minorHAnsi" w:hAnsiTheme="minorHAnsi" w:cstheme="minorHAnsi"/>
          <w:sz w:val="22"/>
          <w:szCs w:val="22"/>
        </w:rPr>
        <w:t>Warszawa, 14 czerwca 2022 r.</w:t>
      </w:r>
    </w:p>
    <w:p w:rsidR="004575B0" w:rsidRPr="005A6CE8" w:rsidRDefault="00753634" w:rsidP="005A6CE8">
      <w:pPr>
        <w:pStyle w:val="Bodytext20"/>
        <w:shd w:val="clear" w:color="auto" w:fill="auto"/>
        <w:spacing w:before="120" w:after="240" w:line="300" w:lineRule="auto"/>
        <w:ind w:left="200" w:firstLine="0"/>
        <w:rPr>
          <w:rFonts w:asciiTheme="minorHAnsi" w:hAnsiTheme="minorHAnsi" w:cstheme="minorHAnsi"/>
          <w:sz w:val="22"/>
          <w:szCs w:val="22"/>
        </w:rPr>
      </w:pPr>
      <w:r w:rsidRPr="005A6CE8">
        <w:rPr>
          <w:rStyle w:val="Bodytext2Bold"/>
          <w:rFonts w:asciiTheme="minorHAnsi" w:hAnsiTheme="minorHAnsi" w:cstheme="minorHAnsi"/>
          <w:sz w:val="22"/>
          <w:szCs w:val="22"/>
        </w:rPr>
        <w:t xml:space="preserve">Znak sprawy: </w:t>
      </w:r>
      <w:r w:rsidRPr="005A6CE8">
        <w:rPr>
          <w:rFonts w:asciiTheme="minorHAnsi" w:hAnsiTheme="minorHAnsi" w:cstheme="minorHAnsi"/>
          <w:sz w:val="22"/>
          <w:szCs w:val="22"/>
        </w:rPr>
        <w:t>KW-WI.1712.6.2022.DSO</w:t>
      </w:r>
    </w:p>
    <w:p w:rsidR="004575B0" w:rsidRPr="005A6CE8" w:rsidRDefault="00753634" w:rsidP="005A6CE8">
      <w:pPr>
        <w:pStyle w:val="Bodytext50"/>
        <w:shd w:val="clear" w:color="auto" w:fill="auto"/>
        <w:spacing w:before="240" w:after="680" w:line="300" w:lineRule="auto"/>
        <w:ind w:left="4253"/>
        <w:contextualSpacing/>
        <w:rPr>
          <w:rFonts w:asciiTheme="minorHAnsi" w:hAnsiTheme="minorHAnsi" w:cstheme="minorHAnsi"/>
          <w:sz w:val="22"/>
          <w:szCs w:val="22"/>
        </w:rPr>
      </w:pPr>
      <w:r w:rsidRPr="005A6CE8">
        <w:rPr>
          <w:rFonts w:asciiTheme="minorHAnsi" w:hAnsiTheme="minorHAnsi" w:cstheme="minorHAnsi"/>
          <w:sz w:val="22"/>
          <w:szCs w:val="22"/>
          <w:lang w:val="en-US" w:eastAsia="en-US" w:bidi="en-US"/>
        </w:rPr>
        <w:t>Pan</w:t>
      </w:r>
    </w:p>
    <w:p w:rsidR="004575B0" w:rsidRPr="005A6CE8" w:rsidRDefault="00753634" w:rsidP="005A6CE8">
      <w:pPr>
        <w:pStyle w:val="Bodytext50"/>
        <w:shd w:val="clear" w:color="auto" w:fill="auto"/>
        <w:spacing w:before="240" w:after="680" w:line="300" w:lineRule="auto"/>
        <w:ind w:left="4253" w:right="2820"/>
        <w:contextualSpacing/>
        <w:rPr>
          <w:rFonts w:asciiTheme="minorHAnsi" w:hAnsiTheme="minorHAnsi" w:cstheme="minorHAnsi"/>
          <w:sz w:val="22"/>
          <w:szCs w:val="22"/>
        </w:rPr>
      </w:pPr>
      <w:r w:rsidRPr="005A6CE8">
        <w:rPr>
          <w:rFonts w:asciiTheme="minorHAnsi" w:hAnsiTheme="minorHAnsi" w:cstheme="minorHAnsi"/>
          <w:sz w:val="22"/>
          <w:szCs w:val="22"/>
        </w:rPr>
        <w:t>Ludwik Rakowski Burmistrz Dzielnicy</w:t>
      </w:r>
      <w:r w:rsidR="008117BE" w:rsidRPr="005A6CE8">
        <w:rPr>
          <w:rFonts w:asciiTheme="minorHAnsi" w:hAnsiTheme="minorHAnsi" w:cstheme="minorHAnsi"/>
          <w:sz w:val="22"/>
          <w:szCs w:val="22"/>
        </w:rPr>
        <w:t xml:space="preserve"> </w:t>
      </w:r>
      <w:r w:rsidRPr="005A6CE8">
        <w:rPr>
          <w:rFonts w:asciiTheme="minorHAnsi" w:hAnsiTheme="minorHAnsi" w:cstheme="minorHAnsi"/>
          <w:sz w:val="22"/>
          <w:szCs w:val="22"/>
        </w:rPr>
        <w:t>Wilanów m.st. Warszawy</w:t>
      </w:r>
    </w:p>
    <w:p w:rsidR="004575B0" w:rsidRPr="005A6CE8" w:rsidRDefault="00753634" w:rsidP="005A6CE8">
      <w:pPr>
        <w:pStyle w:val="Nagwek1"/>
        <w:ind w:left="2832"/>
        <w:rPr>
          <w:rFonts w:asciiTheme="minorHAnsi" w:hAnsiTheme="minorHAnsi" w:cstheme="minorHAnsi"/>
          <w:b/>
          <w:color w:val="auto"/>
          <w:sz w:val="22"/>
          <w:szCs w:val="22"/>
        </w:rPr>
      </w:pPr>
      <w:r w:rsidRPr="005A6CE8">
        <w:rPr>
          <w:rFonts w:asciiTheme="minorHAnsi" w:hAnsiTheme="minorHAnsi" w:cstheme="minorHAnsi"/>
          <w:b/>
          <w:color w:val="auto"/>
          <w:sz w:val="22"/>
          <w:szCs w:val="22"/>
        </w:rPr>
        <w:t>Wystąpienie pokontrolne</w:t>
      </w:r>
    </w:p>
    <w:p w:rsidR="005A6CE8" w:rsidRPr="005A6CE8" w:rsidRDefault="005A6CE8" w:rsidP="005A6CE8"/>
    <w:p w:rsidR="004575B0" w:rsidRPr="005A6CE8" w:rsidRDefault="00753634" w:rsidP="005A6CE8">
      <w:pPr>
        <w:pStyle w:val="Bodytext20"/>
        <w:shd w:val="clear" w:color="auto" w:fill="auto"/>
        <w:spacing w:before="120" w:after="240" w:line="300" w:lineRule="auto"/>
        <w:ind w:right="1503" w:firstLine="0"/>
        <w:contextualSpacing/>
        <w:rPr>
          <w:rFonts w:asciiTheme="minorHAnsi" w:hAnsiTheme="minorHAnsi" w:cstheme="minorHAnsi"/>
          <w:sz w:val="22"/>
          <w:szCs w:val="22"/>
        </w:rPr>
      </w:pPr>
      <w:r w:rsidRPr="005A6CE8">
        <w:rPr>
          <w:rFonts w:asciiTheme="minorHAnsi" w:hAnsiTheme="minorHAnsi" w:cstheme="minorHAnsi"/>
          <w:sz w:val="22"/>
          <w:szCs w:val="22"/>
        </w:rPr>
        <w:t>Na podstawie § 22 ust. 10 Regulamin</w:t>
      </w:r>
      <w:r w:rsidR="005A6CE8">
        <w:rPr>
          <w:rFonts w:asciiTheme="minorHAnsi" w:hAnsiTheme="minorHAnsi" w:cstheme="minorHAnsi"/>
          <w:sz w:val="22"/>
          <w:szCs w:val="22"/>
        </w:rPr>
        <w:t xml:space="preserve">u organizacyjnego Urzędu miasta </w:t>
      </w:r>
      <w:r w:rsidRPr="005A6CE8">
        <w:rPr>
          <w:rFonts w:asciiTheme="minorHAnsi" w:hAnsiTheme="minorHAnsi" w:cstheme="minorHAnsi"/>
          <w:sz w:val="22"/>
          <w:szCs w:val="22"/>
        </w:rPr>
        <w:t xml:space="preserve">stołecznego Warszawy, stanowiącego załącznik do zarządzenia Nr </w:t>
      </w:r>
      <w:r w:rsidRPr="005A6CE8">
        <w:rPr>
          <w:rFonts w:asciiTheme="minorHAnsi" w:hAnsiTheme="minorHAnsi" w:cstheme="minorHAnsi"/>
          <w:sz w:val="22"/>
          <w:szCs w:val="22"/>
          <w:lang w:val="ru-RU" w:eastAsia="ru-RU" w:bidi="ru-RU"/>
        </w:rPr>
        <w:t xml:space="preserve">312/2007 </w:t>
      </w:r>
      <w:r w:rsidRPr="005A6CE8">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 Urzędzie Dzielnicy Wilanów m.st. Warszawy (zwanym dalej również UD Wilanów), w okresie od 08 do 23 lutego 2022 r., w zakresie „Rozwoju i utrzymania siłowni i placów zabaw" w latach: 2019 - 2021, której wyniki zostały przedstawione w protokole kontroli podpisanym w dniu 7 marca 2022 r., stosownie do § 39 ust. 1 i 2 Zarządzenia nr </w:t>
      </w:r>
      <w:r w:rsidRPr="005A6CE8">
        <w:rPr>
          <w:rFonts w:asciiTheme="minorHAnsi" w:hAnsiTheme="minorHAnsi" w:cstheme="minorHAnsi"/>
          <w:sz w:val="22"/>
          <w:szCs w:val="22"/>
          <w:lang w:val="ru-RU" w:eastAsia="ru-RU" w:bidi="ru-RU"/>
        </w:rPr>
        <w:t xml:space="preserve">1837/2019 </w:t>
      </w:r>
      <w:r w:rsidRPr="005A6CE8">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4575B0" w:rsidRPr="005A6CE8" w:rsidRDefault="00753634" w:rsidP="005A6CE8">
      <w:pPr>
        <w:pStyle w:val="Bodytext20"/>
        <w:shd w:val="clear" w:color="auto" w:fill="auto"/>
        <w:spacing w:before="120" w:after="240" w:line="300" w:lineRule="auto"/>
        <w:ind w:right="1500" w:firstLine="0"/>
        <w:contextualSpacing/>
        <w:rPr>
          <w:rFonts w:asciiTheme="minorHAnsi" w:hAnsiTheme="minorHAnsi" w:cstheme="minorHAnsi"/>
          <w:sz w:val="22"/>
          <w:szCs w:val="22"/>
        </w:rPr>
      </w:pPr>
      <w:r w:rsidRPr="005A6CE8">
        <w:rPr>
          <w:rFonts w:asciiTheme="minorHAnsi" w:hAnsiTheme="minorHAnsi" w:cstheme="minorHAnsi"/>
          <w:sz w:val="22"/>
          <w:szCs w:val="22"/>
        </w:rPr>
        <w:t>W toku kontroli zbadano działania UD Wilanów w zakresie rozwoju i utrzymania siłowni i placów zabaw" w latach: 2019 - 2021. Biuro Kontroli ocenia pozytywnie działania Urzędu Dzielnicy Wilanów w kontrolowanym zakresie z uwagami dotyczącymi uchybień formalnych w dokumentacji z realizacji umów na utrzymanie i konserwację ww. obiektów. Ustalono, iż:</w:t>
      </w:r>
    </w:p>
    <w:p w:rsidR="004575B0" w:rsidRPr="005A6CE8" w:rsidRDefault="00753634" w:rsidP="005A6CE8">
      <w:pPr>
        <w:pStyle w:val="Bodytext20"/>
        <w:numPr>
          <w:ilvl w:val="0"/>
          <w:numId w:val="7"/>
        </w:numPr>
        <w:shd w:val="clear" w:color="auto" w:fill="auto"/>
        <w:tabs>
          <w:tab w:val="left" w:pos="341"/>
        </w:tabs>
        <w:spacing w:before="120" w:after="240" w:line="300" w:lineRule="auto"/>
        <w:ind w:left="567" w:right="2220" w:hanging="141"/>
        <w:contextualSpacing/>
        <w:rPr>
          <w:rFonts w:asciiTheme="minorHAnsi" w:hAnsiTheme="minorHAnsi" w:cstheme="minorHAnsi"/>
          <w:sz w:val="22"/>
          <w:szCs w:val="22"/>
        </w:rPr>
      </w:pPr>
      <w:r w:rsidRPr="005A6CE8">
        <w:rPr>
          <w:rFonts w:asciiTheme="minorHAnsi" w:hAnsiTheme="minorHAnsi" w:cstheme="minorHAnsi"/>
          <w:sz w:val="22"/>
          <w:szCs w:val="22"/>
        </w:rPr>
        <w:t xml:space="preserve">Na terenie Dzielnicy Wilanów według stanu na 31.12.2021 r. funkcjonowały 22 obiekty rekreacyjne, w tym: 11 placów zabaw, 9 siłowni plenerowych, 1 teren z urządzeniami do </w:t>
      </w:r>
      <w:proofErr w:type="spellStart"/>
      <w:r w:rsidRPr="005A6CE8">
        <w:rPr>
          <w:rFonts w:asciiTheme="minorHAnsi" w:hAnsiTheme="minorHAnsi" w:cstheme="minorHAnsi"/>
          <w:sz w:val="22"/>
          <w:szCs w:val="22"/>
        </w:rPr>
        <w:t>kalisteniki</w:t>
      </w:r>
      <w:proofErr w:type="spellEnd"/>
      <w:r w:rsidRPr="005A6CE8">
        <w:rPr>
          <w:rFonts w:asciiTheme="minorHAnsi" w:hAnsiTheme="minorHAnsi" w:cstheme="minorHAnsi"/>
          <w:sz w:val="22"/>
          <w:szCs w:val="22"/>
        </w:rPr>
        <w:t>, 1 obiekt łączony, na którym zlokalizowane są 2 urządzenia siłowni plenerowej oraz 1 urządzenie zabawowe.</w:t>
      </w:r>
    </w:p>
    <w:p w:rsidR="004575B0" w:rsidRPr="005A6CE8" w:rsidRDefault="006C449F" w:rsidP="005A6CE8">
      <w:pPr>
        <w:pStyle w:val="Bodytext20"/>
        <w:shd w:val="clear" w:color="auto" w:fill="auto"/>
        <w:spacing w:before="120" w:after="240" w:line="300" w:lineRule="auto"/>
        <w:ind w:left="34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W 2021 r na utrzymanie siłowni plenerowych i placów zabaw na terenie dzielnicy wydatkowano</w:t>
      </w:r>
    </w:p>
    <w:p w:rsidR="004575B0" w:rsidRPr="005A6CE8" w:rsidRDefault="00753634" w:rsidP="005A6CE8">
      <w:pPr>
        <w:pStyle w:val="Bodytext20"/>
        <w:shd w:val="clear" w:color="auto" w:fill="auto"/>
        <w:spacing w:before="120" w:after="240" w:line="300" w:lineRule="auto"/>
        <w:ind w:left="640" w:right="1160" w:firstLine="0"/>
        <w:contextualSpacing/>
        <w:rPr>
          <w:rFonts w:asciiTheme="minorHAnsi" w:hAnsiTheme="minorHAnsi" w:cstheme="minorHAnsi"/>
          <w:sz w:val="22"/>
          <w:szCs w:val="22"/>
        </w:rPr>
      </w:pPr>
      <w:r w:rsidRPr="005A6CE8">
        <w:rPr>
          <w:rFonts w:asciiTheme="minorHAnsi" w:hAnsiTheme="minorHAnsi" w:cstheme="minorHAnsi"/>
          <w:sz w:val="22"/>
          <w:szCs w:val="22"/>
        </w:rPr>
        <w:lastRenderedPageBreak/>
        <w:t>355 298,56 zł, a w latach 2019 i 2020 odpowiednio: 254 485,98 zł i 294 435,72 zł. Na prace remontowe ww. obiektów w 2019 r. wydatkowano kwotę 183 762,00 zł (remont powierzchni poliuretanowej na placu zabaw przy ul. Gronowej w Warszawie).</w:t>
      </w:r>
    </w:p>
    <w:p w:rsidR="004575B0" w:rsidRPr="005A6CE8" w:rsidRDefault="00753634" w:rsidP="005A6CE8">
      <w:pPr>
        <w:pStyle w:val="Bodytext20"/>
        <w:numPr>
          <w:ilvl w:val="0"/>
          <w:numId w:val="2"/>
        </w:numPr>
        <w:shd w:val="clear" w:color="auto" w:fill="auto"/>
        <w:tabs>
          <w:tab w:val="left" w:pos="713"/>
        </w:tabs>
        <w:spacing w:before="120" w:after="240" w:line="300" w:lineRule="auto"/>
        <w:ind w:left="640" w:right="1160" w:hanging="320"/>
        <w:contextualSpacing/>
        <w:rPr>
          <w:rFonts w:asciiTheme="minorHAnsi" w:hAnsiTheme="minorHAnsi" w:cstheme="minorHAnsi"/>
          <w:sz w:val="22"/>
          <w:szCs w:val="22"/>
        </w:rPr>
      </w:pPr>
      <w:r w:rsidRPr="005A6CE8">
        <w:rPr>
          <w:rFonts w:asciiTheme="minorHAnsi" w:hAnsiTheme="minorHAnsi" w:cstheme="minorHAnsi"/>
          <w:sz w:val="22"/>
          <w:szCs w:val="22"/>
        </w:rPr>
        <w:t>W okresie kontrolowanym powstał nowy plac zabaw przy ul. Hlonda w Warszawie, który zgodnie z wyjaśnieniami Pani Joanny Strzeleckiej - Naczelnik WOŚ, został wybudowany na mocy porozumienia przez podmiot zewnętrzny i Dzielnica nie poniosła kosztów związanych z jego budową.</w:t>
      </w:r>
    </w:p>
    <w:p w:rsidR="004575B0" w:rsidRPr="005A6CE8" w:rsidRDefault="00753634" w:rsidP="005A6CE8">
      <w:pPr>
        <w:pStyle w:val="Bodytext20"/>
        <w:shd w:val="clear" w:color="auto" w:fill="auto"/>
        <w:spacing w:before="120" w:after="240" w:line="300" w:lineRule="auto"/>
        <w:ind w:left="640" w:right="1160" w:firstLine="0"/>
        <w:contextualSpacing/>
        <w:rPr>
          <w:rFonts w:asciiTheme="minorHAnsi" w:hAnsiTheme="minorHAnsi" w:cstheme="minorHAnsi"/>
          <w:sz w:val="22"/>
          <w:szCs w:val="22"/>
        </w:rPr>
      </w:pPr>
      <w:r w:rsidRPr="005A6CE8">
        <w:rPr>
          <w:rFonts w:asciiTheme="minorHAnsi" w:hAnsiTheme="minorHAnsi" w:cstheme="minorHAnsi"/>
          <w:sz w:val="22"/>
          <w:szCs w:val="22"/>
        </w:rPr>
        <w:t>Ponadto w grudniu 2021 r. zakończono realizację dwóch projektów z Budżetu Obywatelskiego na lata 2020-2021 pn. „Miejsce Przyjazne Mieszkańcom Wilanowa" - Zielony plac zabaw i miejsce spotkań mieszkańców na planie „Klucza Dóbr Wilanowskich". Zagospodarowany teren tylko w części stanowić będzie plac zabaw. Ze względu na konieczność wykonania prac agrotechnicznych na urządzonym terenie oraz planowaną w roku bieżącym realizację III etapu prac w ramach B02022, polegającą na doposażeniu zagospodarowanego terenu, cały obiekt nie został jeszcze dopuszczony do użytkowania. Jego oddanie planowane jest w roku 2022.</w:t>
      </w:r>
    </w:p>
    <w:p w:rsidR="004575B0" w:rsidRPr="005A6CE8" w:rsidRDefault="00753634" w:rsidP="005A6CE8">
      <w:pPr>
        <w:pStyle w:val="Bodytext20"/>
        <w:shd w:val="clear" w:color="auto" w:fill="auto"/>
        <w:spacing w:before="120" w:after="240" w:line="300" w:lineRule="auto"/>
        <w:ind w:left="640" w:right="1160" w:firstLine="0"/>
        <w:contextualSpacing/>
        <w:rPr>
          <w:rFonts w:asciiTheme="minorHAnsi" w:hAnsiTheme="minorHAnsi" w:cstheme="minorHAnsi"/>
          <w:sz w:val="22"/>
          <w:szCs w:val="22"/>
        </w:rPr>
      </w:pPr>
      <w:r w:rsidRPr="005A6CE8">
        <w:rPr>
          <w:rFonts w:asciiTheme="minorHAnsi" w:hAnsiTheme="minorHAnsi" w:cstheme="minorHAnsi"/>
          <w:sz w:val="22"/>
          <w:szCs w:val="22"/>
        </w:rPr>
        <w:t>W ramach zaplanowanych prac teren zagospodarowany w roku 2021 zostanie doposażony m.in. o konstrukcje zabawowe dla dzieci...".</w:t>
      </w:r>
    </w:p>
    <w:p w:rsidR="004575B0" w:rsidRPr="005A6CE8" w:rsidRDefault="00753634" w:rsidP="005A6CE8">
      <w:pPr>
        <w:pStyle w:val="Bodytext20"/>
        <w:numPr>
          <w:ilvl w:val="0"/>
          <w:numId w:val="2"/>
        </w:numPr>
        <w:shd w:val="clear" w:color="auto" w:fill="auto"/>
        <w:tabs>
          <w:tab w:val="left" w:pos="713"/>
        </w:tabs>
        <w:spacing w:before="120" w:after="240" w:line="300" w:lineRule="auto"/>
        <w:ind w:left="640" w:right="1160" w:hanging="320"/>
        <w:contextualSpacing/>
        <w:rPr>
          <w:rFonts w:asciiTheme="minorHAnsi" w:hAnsiTheme="minorHAnsi" w:cstheme="minorHAnsi"/>
          <w:sz w:val="22"/>
          <w:szCs w:val="22"/>
        </w:rPr>
      </w:pPr>
      <w:r w:rsidRPr="005A6CE8">
        <w:rPr>
          <w:rFonts w:asciiTheme="minorHAnsi" w:hAnsiTheme="minorHAnsi" w:cstheme="minorHAnsi"/>
          <w:sz w:val="22"/>
          <w:szCs w:val="22"/>
        </w:rPr>
        <w:t xml:space="preserve">W okresie objętym kontrolą realizowane były 2 umowy zawarte na lata 2019-20 i 2021-22, dotyczące utrzymania i konserwacji urządzeń zabawowych, sprawnościowych oraz drobnych form architektury na placach zabaw, siłowniach plenerowych i terenie z urządzeniami do </w:t>
      </w:r>
      <w:proofErr w:type="spellStart"/>
      <w:r w:rsidRPr="005A6CE8">
        <w:rPr>
          <w:rFonts w:asciiTheme="minorHAnsi" w:hAnsiTheme="minorHAnsi" w:cstheme="minorHAnsi"/>
          <w:sz w:val="22"/>
          <w:szCs w:val="22"/>
        </w:rPr>
        <w:t>kalisteniki</w:t>
      </w:r>
      <w:proofErr w:type="spellEnd"/>
      <w:r w:rsidRPr="005A6CE8">
        <w:rPr>
          <w:rFonts w:asciiTheme="minorHAnsi" w:hAnsiTheme="minorHAnsi" w:cstheme="minorHAnsi"/>
          <w:sz w:val="22"/>
          <w:szCs w:val="22"/>
        </w:rPr>
        <w:t>, będących we władaniu Dzielnicy Wilanów m.st. Warszawy. W roku 2019 zawarto 1 umowę na modernizację placu zabaw. W odniesieniu do budowy - zawarto 4 umowy</w:t>
      </w:r>
    </w:p>
    <w:p w:rsidR="004575B0" w:rsidRPr="005A6CE8" w:rsidRDefault="00753634" w:rsidP="005A6CE8">
      <w:pPr>
        <w:pStyle w:val="Bodytext20"/>
        <w:shd w:val="clear" w:color="auto" w:fill="auto"/>
        <w:spacing w:before="120" w:after="240" w:line="300" w:lineRule="auto"/>
        <w:ind w:left="640" w:right="1160" w:firstLine="0"/>
        <w:contextualSpacing/>
        <w:rPr>
          <w:rFonts w:asciiTheme="minorHAnsi" w:hAnsiTheme="minorHAnsi" w:cstheme="minorHAnsi"/>
          <w:sz w:val="22"/>
          <w:szCs w:val="22"/>
        </w:rPr>
      </w:pPr>
      <w:r w:rsidRPr="005A6CE8">
        <w:rPr>
          <w:rFonts w:asciiTheme="minorHAnsi" w:hAnsiTheme="minorHAnsi" w:cstheme="minorHAnsi"/>
          <w:sz w:val="22"/>
          <w:szCs w:val="22"/>
        </w:rPr>
        <w:t>(2 dotyczące wykonania dokumentacji projektowych i 2 dotyczące realizacji prac budowlano- montażowych), na podstawie których zrealizowano dwa ww. projekty z Budżetu Obywatelskiego na lata 2020-2021.</w:t>
      </w:r>
    </w:p>
    <w:p w:rsidR="004575B0" w:rsidRPr="005A6CE8" w:rsidRDefault="00753634" w:rsidP="005A6CE8">
      <w:pPr>
        <w:pStyle w:val="Bodytext20"/>
        <w:shd w:val="clear" w:color="auto" w:fill="auto"/>
        <w:spacing w:before="120" w:after="240" w:line="300" w:lineRule="auto"/>
        <w:ind w:left="640" w:firstLine="0"/>
        <w:contextualSpacing/>
        <w:rPr>
          <w:rFonts w:asciiTheme="minorHAnsi" w:hAnsiTheme="minorHAnsi" w:cstheme="minorHAnsi"/>
          <w:sz w:val="22"/>
          <w:szCs w:val="22"/>
        </w:rPr>
      </w:pPr>
      <w:r w:rsidRPr="005A6CE8">
        <w:rPr>
          <w:rFonts w:asciiTheme="minorHAnsi" w:hAnsiTheme="minorHAnsi" w:cstheme="minorHAnsi"/>
          <w:sz w:val="22"/>
          <w:szCs w:val="22"/>
        </w:rPr>
        <w:t>Szczegółową kontrolą objęto:</w:t>
      </w:r>
    </w:p>
    <w:p w:rsidR="004575B0" w:rsidRPr="005A6CE8" w:rsidRDefault="00753634" w:rsidP="005A6CE8">
      <w:pPr>
        <w:pStyle w:val="Bodytext20"/>
        <w:numPr>
          <w:ilvl w:val="0"/>
          <w:numId w:val="3"/>
        </w:numPr>
        <w:shd w:val="clear" w:color="auto" w:fill="auto"/>
        <w:tabs>
          <w:tab w:val="left" w:pos="842"/>
        </w:tabs>
        <w:spacing w:before="120" w:after="240" w:line="300" w:lineRule="auto"/>
        <w:ind w:left="640" w:right="11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2 umowy na utrzymanie i konserwację urządzeń zabawowych, sprawnościowych oraz drobnych form architektury na placach zabaw, siłowniach plenerowych i terenie z urządzeniami do </w:t>
      </w:r>
      <w:proofErr w:type="spellStart"/>
      <w:r w:rsidRPr="005A6CE8">
        <w:rPr>
          <w:rFonts w:asciiTheme="minorHAnsi" w:hAnsiTheme="minorHAnsi" w:cstheme="minorHAnsi"/>
          <w:sz w:val="22"/>
          <w:szCs w:val="22"/>
        </w:rPr>
        <w:t>kalisteniki</w:t>
      </w:r>
      <w:proofErr w:type="spellEnd"/>
      <w:r w:rsidRPr="005A6CE8">
        <w:rPr>
          <w:rFonts w:asciiTheme="minorHAnsi" w:hAnsiTheme="minorHAnsi" w:cstheme="minorHAnsi"/>
          <w:sz w:val="22"/>
          <w:szCs w:val="22"/>
        </w:rPr>
        <w:t>: z dnia 19.04.2019 r. i z dnia 04.12.2020 r.,</w:t>
      </w:r>
    </w:p>
    <w:p w:rsidR="004575B0" w:rsidRPr="005A6CE8" w:rsidRDefault="00753634" w:rsidP="005A6CE8">
      <w:pPr>
        <w:pStyle w:val="Bodytext20"/>
        <w:numPr>
          <w:ilvl w:val="0"/>
          <w:numId w:val="3"/>
        </w:numPr>
        <w:shd w:val="clear" w:color="auto" w:fill="auto"/>
        <w:tabs>
          <w:tab w:val="left" w:pos="838"/>
        </w:tabs>
        <w:spacing w:before="120" w:after="240" w:line="300" w:lineRule="auto"/>
        <w:ind w:left="640" w:right="11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3 postępowania w sprawie udzielenia zamówienia publicznego dotyczące placów zabaw i siłowni: nr4/WOŚ/2019, nr 35/WOŚ/2020 i nr </w:t>
      </w:r>
      <w:r w:rsidRPr="005A6CE8">
        <w:rPr>
          <w:rFonts w:asciiTheme="minorHAnsi" w:hAnsiTheme="minorHAnsi" w:cstheme="minorHAnsi"/>
          <w:sz w:val="22"/>
          <w:szCs w:val="22"/>
          <w:lang w:val="ru-RU" w:eastAsia="ru-RU" w:bidi="ru-RU"/>
        </w:rPr>
        <w:t xml:space="preserve">33/ </w:t>
      </w:r>
      <w:r w:rsidRPr="005A6CE8">
        <w:rPr>
          <w:rFonts w:asciiTheme="minorHAnsi" w:hAnsiTheme="minorHAnsi" w:cstheme="minorHAnsi"/>
          <w:sz w:val="22"/>
          <w:szCs w:val="22"/>
        </w:rPr>
        <w:t>WOŚ/2019.</w:t>
      </w:r>
    </w:p>
    <w:p w:rsidR="004575B0" w:rsidRPr="005A6CE8" w:rsidRDefault="00753634" w:rsidP="005A6CE8">
      <w:pPr>
        <w:pStyle w:val="Bodytext20"/>
        <w:shd w:val="clear" w:color="auto" w:fill="auto"/>
        <w:spacing w:before="120" w:after="240" w:line="300" w:lineRule="auto"/>
        <w:ind w:left="640" w:right="11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W celu ustalenia w jakim stanie technicznym znajdują się place zabaw i siłownie plenerowe przeprowadzono oględziny trzech wybranych obiektów: </w:t>
      </w:r>
      <w:r w:rsidRPr="005A6CE8">
        <w:rPr>
          <w:rFonts w:asciiTheme="minorHAnsi" w:hAnsiTheme="minorHAnsi" w:cstheme="minorHAnsi"/>
          <w:sz w:val="22"/>
          <w:szCs w:val="22"/>
        </w:rPr>
        <w:lastRenderedPageBreak/>
        <w:t xml:space="preserve">placu zabaw i siłowni plenerowej przy ul. </w:t>
      </w:r>
      <w:proofErr w:type="spellStart"/>
      <w:r w:rsidRPr="005A6CE8">
        <w:rPr>
          <w:rFonts w:asciiTheme="minorHAnsi" w:hAnsiTheme="minorHAnsi" w:cstheme="minorHAnsi"/>
          <w:sz w:val="22"/>
          <w:szCs w:val="22"/>
        </w:rPr>
        <w:t>Worobczuka</w:t>
      </w:r>
      <w:proofErr w:type="spellEnd"/>
      <w:r w:rsidRPr="005A6CE8">
        <w:rPr>
          <w:rFonts w:asciiTheme="minorHAnsi" w:hAnsiTheme="minorHAnsi" w:cstheme="minorHAnsi"/>
          <w:sz w:val="22"/>
          <w:szCs w:val="22"/>
        </w:rPr>
        <w:t xml:space="preserve"> oraz placów zabaw zlokalizowanych przy ul. </w:t>
      </w:r>
      <w:proofErr w:type="spellStart"/>
      <w:r w:rsidRPr="005A6CE8">
        <w:rPr>
          <w:rFonts w:asciiTheme="minorHAnsi" w:hAnsiTheme="minorHAnsi" w:cstheme="minorHAnsi"/>
          <w:sz w:val="22"/>
          <w:szCs w:val="22"/>
        </w:rPr>
        <w:t>Gubinowskiej</w:t>
      </w:r>
      <w:proofErr w:type="spellEnd"/>
      <w:r w:rsidRPr="005A6CE8">
        <w:rPr>
          <w:rFonts w:asciiTheme="minorHAnsi" w:hAnsiTheme="minorHAnsi" w:cstheme="minorHAnsi"/>
          <w:sz w:val="22"/>
          <w:szCs w:val="22"/>
        </w:rPr>
        <w:t xml:space="preserve"> i przy ul. Gronowej, a także przeanalizowano dokumentację z okresowej kontroli podstawowej wyposażenia obiektu, wykonanej w 2021 r. dla ww. obiektów przez firmę CENTRUM KONTROLI PLACÓW ZABAW Sp. z o.o.</w:t>
      </w:r>
    </w:p>
    <w:p w:rsidR="004575B0" w:rsidRPr="005A6CE8" w:rsidRDefault="00753634" w:rsidP="005A6CE8">
      <w:pPr>
        <w:pStyle w:val="Bodytext20"/>
        <w:numPr>
          <w:ilvl w:val="0"/>
          <w:numId w:val="2"/>
        </w:numPr>
        <w:shd w:val="clear" w:color="auto" w:fill="auto"/>
        <w:tabs>
          <w:tab w:val="left" w:pos="895"/>
        </w:tabs>
        <w:spacing w:before="120" w:after="240" w:line="300" w:lineRule="auto"/>
        <w:ind w:left="880" w:right="900" w:hanging="340"/>
        <w:contextualSpacing/>
        <w:rPr>
          <w:rFonts w:asciiTheme="minorHAnsi" w:hAnsiTheme="minorHAnsi" w:cstheme="minorHAnsi"/>
          <w:sz w:val="22"/>
          <w:szCs w:val="22"/>
        </w:rPr>
      </w:pPr>
      <w:r w:rsidRPr="005A6CE8">
        <w:rPr>
          <w:rFonts w:asciiTheme="minorHAnsi" w:hAnsiTheme="minorHAnsi" w:cstheme="minorHAnsi"/>
          <w:sz w:val="22"/>
          <w:szCs w:val="22"/>
        </w:rPr>
        <w:t>W zakresie oceny prawidłowości przeprowadzonych postępowań w sprawie udzielenia zamówień publicznych, na podstawie trzech postępowań przyjętych do próby kontrolnej można stwierdzić, że:</w:t>
      </w:r>
    </w:p>
    <w:p w:rsidR="004575B0" w:rsidRPr="005A6CE8" w:rsidRDefault="006C449F" w:rsidP="005A6CE8">
      <w:pPr>
        <w:pStyle w:val="Bodytext20"/>
        <w:shd w:val="clear" w:color="auto" w:fill="auto"/>
        <w:spacing w:before="120" w:after="240" w:line="300" w:lineRule="auto"/>
        <w:ind w:right="9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Jednostka merytoryczna /wydział/ dokonuje szczegółowego opisu zamówienia, dokładnie określa </w:t>
      </w: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kryteria techniczne dopuszczenia oferty i szczegółowo opisuje sposób jej oceny.</w:t>
      </w:r>
    </w:p>
    <w:p w:rsidR="004575B0" w:rsidRPr="005A6CE8" w:rsidRDefault="00753634" w:rsidP="005A6CE8">
      <w:pPr>
        <w:pStyle w:val="Bodytext20"/>
        <w:shd w:val="clear" w:color="auto" w:fill="auto"/>
        <w:spacing w:before="120" w:after="240" w:line="300" w:lineRule="auto"/>
        <w:ind w:left="1160" w:right="900" w:firstLine="0"/>
        <w:contextualSpacing/>
        <w:rPr>
          <w:rFonts w:asciiTheme="minorHAnsi" w:hAnsiTheme="minorHAnsi" w:cstheme="minorHAnsi"/>
          <w:sz w:val="22"/>
          <w:szCs w:val="22"/>
        </w:rPr>
      </w:pPr>
      <w:r w:rsidRPr="005A6CE8">
        <w:rPr>
          <w:rFonts w:asciiTheme="minorHAnsi" w:hAnsiTheme="minorHAnsi" w:cstheme="minorHAnsi"/>
          <w:sz w:val="22"/>
          <w:szCs w:val="22"/>
        </w:rPr>
        <w:t>SIWZ dokładnie określa procedurę postępowania, konieczne dokumenty, sposoby komunikacji, prawa i obowiązki oferenta i zamawiającego. Analiza skontrolowanych postępowań pozwala na stwierdzenie, że opisane zasady są realizowane.</w:t>
      </w:r>
    </w:p>
    <w:p w:rsidR="004575B0" w:rsidRPr="005A6CE8" w:rsidRDefault="006C449F" w:rsidP="005A6CE8">
      <w:pPr>
        <w:pStyle w:val="Bodytext20"/>
        <w:shd w:val="clear" w:color="auto" w:fill="auto"/>
        <w:spacing w:before="120" w:after="240" w:line="300" w:lineRule="auto"/>
        <w:ind w:left="1160" w:right="9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Kontrolowany zawierał umowy z wykonawcami zgodnie z warunkami SIWZ. Załącznikami do SIWZ były projekty umów. Umowy zabezpieczane były środkami pieniężnymi w wysokości 5% lub 10% oferowanej kwoty brutto. Zabezpieczenie wykonawca musiał wpłacić przed podpisaniem umowy. Zabezpieczenie miało służyć pokrywaniu ewentualnych roszczeń z tytułu niewłaściwego wykonania umowy i rękojmi,</w:t>
      </w:r>
    </w:p>
    <w:p w:rsidR="006C449F" w:rsidRPr="005A6CE8" w:rsidRDefault="006C449F" w:rsidP="005A6CE8">
      <w:pPr>
        <w:pStyle w:val="Bodytext20"/>
        <w:shd w:val="clear" w:color="auto" w:fill="auto"/>
        <w:spacing w:before="120" w:after="240" w:line="300" w:lineRule="auto"/>
        <w:ind w:left="1160" w:right="9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nie stwierdzono przypadków nieprawidłowości w stosowaniu wadium. W dwóch z trzech postępowań stosowano wadium. W jednym przypadku wadium zostało zatrzymane, ponieważ oferent złożył nieprawdziwe dane w ofercie. Potwierdził to w oświadczeniu, które złożył po otrzymaniu wezwania do uzupełnienia dokumentó</w:t>
      </w:r>
      <w:r w:rsidRPr="005A6CE8">
        <w:rPr>
          <w:rFonts w:asciiTheme="minorHAnsi" w:hAnsiTheme="minorHAnsi" w:cstheme="minorHAnsi"/>
          <w:sz w:val="22"/>
          <w:szCs w:val="22"/>
        </w:rPr>
        <w:t>w,</w:t>
      </w:r>
    </w:p>
    <w:p w:rsidR="004575B0" w:rsidRPr="005A6CE8" w:rsidRDefault="006C449F" w:rsidP="005A6CE8">
      <w:pPr>
        <w:pStyle w:val="Bodytext20"/>
        <w:shd w:val="clear" w:color="auto" w:fill="auto"/>
        <w:spacing w:before="120" w:after="240" w:line="300" w:lineRule="auto"/>
        <w:ind w:left="1160" w:right="9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w kontrolowanych postępowaniach nie stwierdzono zaniżania wartości ani dzielenia na części. Postępowania prowadzone były w trybie przetargu nieograniczonego z zachowaniem procedur </w:t>
      </w:r>
      <w:proofErr w:type="spellStart"/>
      <w:r w:rsidR="00753634" w:rsidRPr="005A6CE8">
        <w:rPr>
          <w:rFonts w:asciiTheme="minorHAnsi" w:hAnsiTheme="minorHAnsi" w:cstheme="minorHAnsi"/>
          <w:sz w:val="22"/>
          <w:szCs w:val="22"/>
        </w:rPr>
        <w:t>Pzp</w:t>
      </w:r>
      <w:proofErr w:type="spellEnd"/>
      <w:r w:rsidR="00753634" w:rsidRPr="005A6CE8">
        <w:rPr>
          <w:rFonts w:asciiTheme="minorHAnsi" w:hAnsiTheme="minorHAnsi" w:cstheme="minorHAnsi"/>
          <w:sz w:val="22"/>
          <w:szCs w:val="22"/>
          <w:vertAlign w:val="superscript"/>
        </w:rPr>
        <w:footnoteReference w:id="1"/>
      </w:r>
      <w:r w:rsidR="00753634" w:rsidRPr="005A6CE8">
        <w:rPr>
          <w:rFonts w:asciiTheme="minorHAnsi" w:hAnsiTheme="minorHAnsi" w:cstheme="minorHAnsi"/>
          <w:sz w:val="22"/>
          <w:szCs w:val="22"/>
          <w:vertAlign w:val="superscript"/>
        </w:rPr>
        <w:t xml:space="preserve"> </w:t>
      </w:r>
      <w:r w:rsidR="00753634" w:rsidRPr="005A6CE8">
        <w:rPr>
          <w:rFonts w:asciiTheme="minorHAnsi" w:hAnsiTheme="minorHAnsi" w:cstheme="minorHAnsi"/>
          <w:sz w:val="22"/>
          <w:szCs w:val="22"/>
          <w:vertAlign w:val="superscript"/>
        </w:rPr>
        <w:footnoteReference w:id="2"/>
      </w:r>
      <w:r w:rsidR="00753634" w:rsidRPr="005A6CE8">
        <w:rPr>
          <w:rFonts w:asciiTheme="minorHAnsi" w:hAnsiTheme="minorHAnsi" w:cstheme="minorHAnsi"/>
          <w:sz w:val="22"/>
          <w:szCs w:val="22"/>
        </w:rPr>
        <w:t xml:space="preserve">. Umowy zawierane były z wykonawcami wyłonionymi w trakcie postępowania prowadzonego w sposób transparentny i bez naruszania zasad uczciwej konkurencji. Umowy </w:t>
      </w:r>
      <w:r w:rsidR="00753634" w:rsidRPr="005A6CE8">
        <w:rPr>
          <w:rFonts w:asciiTheme="minorHAnsi" w:hAnsiTheme="minorHAnsi" w:cstheme="minorHAnsi"/>
          <w:sz w:val="22"/>
          <w:szCs w:val="22"/>
        </w:rPr>
        <w:lastRenderedPageBreak/>
        <w:t>nie były aneksowane,</w:t>
      </w:r>
    </w:p>
    <w:p w:rsidR="004575B0" w:rsidRPr="005A6CE8" w:rsidRDefault="006C449F" w:rsidP="005A6CE8">
      <w:pPr>
        <w:pStyle w:val="Bodytext20"/>
        <w:shd w:val="clear" w:color="auto" w:fill="auto"/>
        <w:spacing w:before="120" w:after="240" w:line="300" w:lineRule="auto"/>
        <w:ind w:left="1160" w:right="9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w toku postępowania członkowie Komisji Przetargowej, jak i osoby z Zarządu Dzielnicy, składali oświadczenia zgodnie z </w:t>
      </w:r>
      <w:r w:rsidR="00753634" w:rsidRPr="005A6CE8">
        <w:rPr>
          <w:rFonts w:asciiTheme="minorHAnsi" w:hAnsiTheme="minorHAnsi" w:cstheme="minorHAnsi"/>
          <w:sz w:val="22"/>
          <w:szCs w:val="22"/>
          <w:lang w:val="en-US" w:eastAsia="en-US" w:bidi="en-US"/>
        </w:rPr>
        <w:t xml:space="preserve">art. </w:t>
      </w:r>
      <w:r w:rsidR="00753634" w:rsidRPr="005A6CE8">
        <w:rPr>
          <w:rFonts w:asciiTheme="minorHAnsi" w:hAnsiTheme="minorHAnsi" w:cstheme="minorHAnsi"/>
          <w:sz w:val="22"/>
          <w:szCs w:val="22"/>
        </w:rPr>
        <w:t xml:space="preserve">17 ust. 2 ówcześnie obowiązującego </w:t>
      </w:r>
      <w:proofErr w:type="spellStart"/>
      <w:r w:rsidR="00753634" w:rsidRPr="005A6CE8">
        <w:rPr>
          <w:rFonts w:asciiTheme="minorHAnsi" w:hAnsiTheme="minorHAnsi" w:cstheme="minorHAnsi"/>
          <w:sz w:val="22"/>
          <w:szCs w:val="22"/>
        </w:rPr>
        <w:t>Pzp</w:t>
      </w:r>
      <w:proofErr w:type="spellEnd"/>
      <w:r w:rsidR="00753634" w:rsidRPr="005A6CE8">
        <w:rPr>
          <w:rFonts w:asciiTheme="minorHAnsi" w:hAnsiTheme="minorHAnsi" w:cstheme="minorHAnsi"/>
          <w:sz w:val="22"/>
          <w:szCs w:val="22"/>
        </w:rPr>
        <w:t>. Prowadzenie i rozstrzygane postępowań o zamówienia publiczne oraz podpisywanie umów realizowane było w ramach aktualnych upoważnień.</w:t>
      </w:r>
    </w:p>
    <w:p w:rsidR="004575B0" w:rsidRPr="005A6CE8" w:rsidRDefault="00753634" w:rsidP="005A6CE8">
      <w:pPr>
        <w:pStyle w:val="Bodytext20"/>
        <w:numPr>
          <w:ilvl w:val="0"/>
          <w:numId w:val="2"/>
        </w:numPr>
        <w:shd w:val="clear" w:color="auto" w:fill="auto"/>
        <w:tabs>
          <w:tab w:val="left" w:pos="746"/>
        </w:tabs>
        <w:spacing w:before="120" w:after="240" w:line="300" w:lineRule="auto"/>
        <w:ind w:left="400" w:firstLine="0"/>
        <w:contextualSpacing/>
        <w:rPr>
          <w:rFonts w:asciiTheme="minorHAnsi" w:hAnsiTheme="minorHAnsi" w:cstheme="minorHAnsi"/>
          <w:sz w:val="22"/>
          <w:szCs w:val="22"/>
        </w:rPr>
      </w:pPr>
      <w:r w:rsidRPr="005A6CE8">
        <w:rPr>
          <w:rFonts w:asciiTheme="minorHAnsi" w:hAnsiTheme="minorHAnsi" w:cstheme="minorHAnsi"/>
          <w:sz w:val="22"/>
          <w:szCs w:val="22"/>
        </w:rPr>
        <w:t>W zakresie realizacji umów na utrzymanie i konserwację urządzeń zabawowych,</w:t>
      </w:r>
    </w:p>
    <w:p w:rsidR="004575B0" w:rsidRPr="005A6CE8" w:rsidRDefault="00753634" w:rsidP="005A6CE8">
      <w:pPr>
        <w:pStyle w:val="Bodytext20"/>
        <w:shd w:val="clear" w:color="auto" w:fill="auto"/>
        <w:spacing w:before="120" w:after="240" w:line="300" w:lineRule="auto"/>
        <w:ind w:left="720" w:right="12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sprawnościowych oraz drobnych form architektury na placach zabaw, siłowniach plenerowych i terenie z urządzeniami do </w:t>
      </w:r>
      <w:proofErr w:type="spellStart"/>
      <w:r w:rsidRPr="005A6CE8">
        <w:rPr>
          <w:rFonts w:asciiTheme="minorHAnsi" w:hAnsiTheme="minorHAnsi" w:cstheme="minorHAnsi"/>
          <w:sz w:val="22"/>
          <w:szCs w:val="22"/>
        </w:rPr>
        <w:t>kalisteniki</w:t>
      </w:r>
      <w:proofErr w:type="spellEnd"/>
      <w:r w:rsidRPr="005A6CE8">
        <w:rPr>
          <w:rFonts w:asciiTheme="minorHAnsi" w:hAnsiTheme="minorHAnsi" w:cstheme="minorHAnsi"/>
          <w:sz w:val="22"/>
          <w:szCs w:val="22"/>
        </w:rPr>
        <w:t xml:space="preserve"> stwierdzono, że:</w:t>
      </w:r>
    </w:p>
    <w:p w:rsidR="006C449F" w:rsidRPr="005A6CE8" w:rsidRDefault="006C449F" w:rsidP="005A6CE8">
      <w:pPr>
        <w:pStyle w:val="Bodytext20"/>
        <w:shd w:val="clear" w:color="auto" w:fill="auto"/>
        <w:spacing w:before="120" w:after="240" w:line="300" w:lineRule="auto"/>
        <w:ind w:left="1040" w:right="12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terminy rozpoczęcia i zakończenia prac określane były w protokołach wprowadzenia i odbioru oraz potwierdzane podpisami Zamawiającego i Wykonawcy, </w:t>
      </w:r>
    </w:p>
    <w:p w:rsidR="004575B0" w:rsidRPr="005A6CE8" w:rsidRDefault="006C449F" w:rsidP="005A6CE8">
      <w:pPr>
        <w:pStyle w:val="Bodytext20"/>
        <w:shd w:val="clear" w:color="auto" w:fill="auto"/>
        <w:spacing w:before="120" w:after="240" w:line="300" w:lineRule="auto"/>
        <w:ind w:left="1040" w:right="12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rozliczenia z Wykonawcami dokonane zostały na podstawie faktur wystawionych za okresy miesięczne, na podstawie protokołów odbioru częściowego robót wykonanych w danym miesiącu rozliczeniowym, w oparciu o kosztorysy powykonawcze, które stanowiły podstawę do rozliczeń z Wykonawcami,</w:t>
      </w:r>
    </w:p>
    <w:p w:rsidR="006C449F" w:rsidRPr="005A6CE8" w:rsidRDefault="006C449F" w:rsidP="005A6CE8">
      <w:pPr>
        <w:pStyle w:val="Bodytext20"/>
        <w:shd w:val="clear" w:color="auto" w:fill="auto"/>
        <w:spacing w:before="120" w:after="240" w:line="300" w:lineRule="auto"/>
        <w:ind w:left="1040" w:right="12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umowy dotyczące utrzymania i konserwacji placów zabaw i siłowni plenerowych nie były aneksowane i nie występowały w tym zakresie dodatkowe płatności, </w:t>
      </w:r>
    </w:p>
    <w:p w:rsidR="006C449F" w:rsidRPr="005A6CE8" w:rsidRDefault="006C449F" w:rsidP="005A6CE8">
      <w:pPr>
        <w:pStyle w:val="Bodytext20"/>
        <w:shd w:val="clear" w:color="auto" w:fill="auto"/>
        <w:spacing w:before="120" w:after="240" w:line="300" w:lineRule="auto"/>
        <w:ind w:left="1040" w:right="12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w trakcie realizacji umów objętych kontrolą WOŚ dokonywał kontroli wykonywanych prac - jak wyjaśniła Pani Joanna Strzelecka - Naczelnik WOŚ: „...Kontrola wykonania zlecanych prac prowadzona jest na bieżąco (...) w zależności od rodzaju zlecanych prac, kontrola odbywa się</w:t>
      </w: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tuż po ich zakończeniu lub na koniec miesiąca. Realizacja prac, których wykonanie można w łatwej formie udokumentować za pośrednictwem np. zdjęcia, a nie wymaga fizycznego odbioru w terenie, zgłaszana jest przez Wykonawcę elektronicznie - mailem lub MMS...", </w:t>
      </w:r>
    </w:p>
    <w:p w:rsidR="004575B0" w:rsidRPr="005A6CE8" w:rsidRDefault="006C449F" w:rsidP="005A6CE8">
      <w:pPr>
        <w:pStyle w:val="Bodytext20"/>
        <w:shd w:val="clear" w:color="auto" w:fill="auto"/>
        <w:spacing w:before="120" w:after="240" w:line="300" w:lineRule="auto"/>
        <w:ind w:left="1040" w:right="126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ponadto Pani Joanna Strzelecka - Naczelnik WOŚ wyjaśniła, że: „...specyfika utrzymania takich obiektów jak siłownie plenerowe oraz w szczególności place zabaw powoduje, że wymagają one prowadzenia bieżącej kontroli stanu ich wyposażenia. W trakcie obligatoryjnych kontroli regularnych i funkcjonalnych prowadzonych przez Wykonawcę podczas trwania umowy, stwierdzane są wady i usterki powstałe na skutek bieżącego korzystania z przedmiotowych obiektów przez ich użytkowników. O powyższym, Wykonawca informuje Zamawiającego </w:t>
      </w:r>
      <w:r w:rsidR="00753634" w:rsidRPr="005A6CE8">
        <w:rPr>
          <w:rFonts w:asciiTheme="minorHAnsi" w:hAnsiTheme="minorHAnsi" w:cstheme="minorHAnsi"/>
          <w:sz w:val="22"/>
          <w:szCs w:val="22"/>
        </w:rPr>
        <w:lastRenderedPageBreak/>
        <w:t>telefonicznie, mailowo, SMS lub MMS. Przykładowe zgłoszenia to: połamane deski w ławkach lub poszczególnych elementach urządzeń, urwane liny lub łączenia (szekle) w huśtawkach czy też akty wandalizmu...".</w:t>
      </w:r>
    </w:p>
    <w:p w:rsidR="004575B0" w:rsidRPr="005A6CE8" w:rsidRDefault="00753634" w:rsidP="005A6CE8">
      <w:pPr>
        <w:pStyle w:val="Bodytext20"/>
        <w:numPr>
          <w:ilvl w:val="0"/>
          <w:numId w:val="2"/>
        </w:numPr>
        <w:shd w:val="clear" w:color="auto" w:fill="auto"/>
        <w:tabs>
          <w:tab w:val="left" w:pos="907"/>
        </w:tabs>
        <w:spacing w:before="120" w:after="240" w:line="300" w:lineRule="auto"/>
        <w:ind w:left="860" w:hanging="280"/>
        <w:contextualSpacing/>
        <w:rPr>
          <w:rFonts w:asciiTheme="minorHAnsi" w:hAnsiTheme="minorHAnsi" w:cstheme="minorHAnsi"/>
          <w:sz w:val="22"/>
          <w:szCs w:val="22"/>
        </w:rPr>
      </w:pPr>
      <w:r w:rsidRPr="005A6CE8">
        <w:rPr>
          <w:rFonts w:asciiTheme="minorHAnsi" w:hAnsiTheme="minorHAnsi" w:cstheme="minorHAnsi"/>
          <w:sz w:val="22"/>
          <w:szCs w:val="22"/>
        </w:rPr>
        <w:t>W dokumentacji dotyczącej realizacji umów stwierdzono następujące uchybienia formalne:</w:t>
      </w:r>
    </w:p>
    <w:p w:rsidR="004575B0" w:rsidRPr="005A6CE8" w:rsidRDefault="006C449F" w:rsidP="005A6CE8">
      <w:pPr>
        <w:pStyle w:val="Bodytext20"/>
        <w:shd w:val="clear" w:color="auto" w:fill="auto"/>
        <w:spacing w:before="120" w:after="240" w:line="300" w:lineRule="auto"/>
        <w:ind w:left="1320" w:right="9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na kosztorysie powykonawczym, stanowiącym załącznik do protokołu odbioru częściowego nr 13 robót wykonanych w kwietniu 2020 r. z dnia 30.04.2020 r. (umowa nr WIL/WOŚ/B/III/4/1/10/LU/2019 z dnia 19 kwietnia 2019 r.) brakuje podpisu Wykonawcy i pracownika WOŚ nadzorującego realizację umowy, dotyczącego sprawdzenia pod względem merytorycznym i rachunkowym,</w:t>
      </w:r>
    </w:p>
    <w:p w:rsidR="004575B0" w:rsidRPr="005A6CE8" w:rsidRDefault="006C449F" w:rsidP="005A6CE8">
      <w:pPr>
        <w:pStyle w:val="Bodytext20"/>
        <w:shd w:val="clear" w:color="auto" w:fill="auto"/>
        <w:spacing w:before="120" w:after="240" w:line="300" w:lineRule="auto"/>
        <w:ind w:left="1320" w:right="9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w protokole wprowadzenia i przekazania terenu z dnia 1 kwietnia 2021 r. (umowa nr WIL/WOŚ/B/III/4/1/107/LU/2020-2022 z dn. 04.12.2020 r.) błędnie wpisano datę termin rozpoczęcia robót tj. 01.04.2020 r. a powinno być 01.04.2021 r.</w:t>
      </w:r>
    </w:p>
    <w:p w:rsidR="004575B0" w:rsidRPr="005A6CE8" w:rsidRDefault="00753634" w:rsidP="005A6CE8">
      <w:pPr>
        <w:pStyle w:val="Bodytext20"/>
        <w:numPr>
          <w:ilvl w:val="0"/>
          <w:numId w:val="2"/>
        </w:numPr>
        <w:shd w:val="clear" w:color="auto" w:fill="auto"/>
        <w:tabs>
          <w:tab w:val="left" w:pos="907"/>
        </w:tabs>
        <w:spacing w:before="120" w:after="240" w:line="300" w:lineRule="auto"/>
        <w:ind w:left="860" w:right="900" w:hanging="280"/>
        <w:contextualSpacing/>
        <w:rPr>
          <w:rFonts w:asciiTheme="minorHAnsi" w:hAnsiTheme="minorHAnsi" w:cstheme="minorHAnsi"/>
          <w:sz w:val="22"/>
          <w:szCs w:val="22"/>
        </w:rPr>
      </w:pPr>
      <w:r w:rsidRPr="005A6CE8">
        <w:rPr>
          <w:rFonts w:asciiTheme="minorHAnsi" w:hAnsiTheme="minorHAnsi" w:cstheme="minorHAnsi"/>
          <w:sz w:val="22"/>
          <w:szCs w:val="22"/>
        </w:rPr>
        <w:t>W okresie kontrolowanym wykonane zostały także kontrole tzw. „podstawowe" wyposażenia placów zabaw i siłowni plenerowych przez podmioty zewnętrzne (na podstawie odrębnych umów), do realizacji których administrator jest zobowiązany w odstępach czasu nie przekraczających 12 miesięcy, zakończone wydaniem orzeczeń technicznych lub świadectw inspekcji lub wydaniem raportów oceniających ogólny poziom bezpieczeństwa wyposażenia, stanu fundamentów, nawierzchni itp., ze wskazaniem zaleceń na każdym kontrolowanym obiekcie rekreacyjnym - na podstawie aktualnych norm PN-EN-1176, PN-EN-1177 i PN-EN 16630, z wykorzystaniem i wprowadzeniem danych do aplikacji Elektroniczna Książka Placu Zabaw.</w:t>
      </w:r>
    </w:p>
    <w:p w:rsidR="004575B0" w:rsidRPr="005A6CE8" w:rsidRDefault="00753634" w:rsidP="005A6CE8">
      <w:pPr>
        <w:pStyle w:val="Bodytext20"/>
        <w:numPr>
          <w:ilvl w:val="0"/>
          <w:numId w:val="2"/>
        </w:numPr>
        <w:shd w:val="clear" w:color="auto" w:fill="auto"/>
        <w:tabs>
          <w:tab w:val="left" w:pos="907"/>
        </w:tabs>
        <w:spacing w:before="120" w:after="240" w:line="300" w:lineRule="auto"/>
        <w:ind w:left="860" w:right="1740"/>
        <w:contextualSpacing/>
        <w:rPr>
          <w:rFonts w:asciiTheme="minorHAnsi" w:hAnsiTheme="minorHAnsi" w:cstheme="minorHAnsi"/>
          <w:sz w:val="22"/>
          <w:szCs w:val="22"/>
        </w:rPr>
      </w:pPr>
      <w:r w:rsidRPr="005A6CE8">
        <w:rPr>
          <w:rFonts w:asciiTheme="minorHAnsi" w:hAnsiTheme="minorHAnsi" w:cstheme="minorHAnsi"/>
          <w:sz w:val="22"/>
          <w:szCs w:val="22"/>
        </w:rPr>
        <w:t xml:space="preserve">Na przykładzie 3 obiektów wybranych do przeprowadzenia oględzin, tj. placów zabaw zlokalizowanych: przy ul. </w:t>
      </w:r>
      <w:proofErr w:type="spellStart"/>
      <w:r w:rsidRPr="005A6CE8">
        <w:rPr>
          <w:rFonts w:asciiTheme="minorHAnsi" w:hAnsiTheme="minorHAnsi" w:cstheme="minorHAnsi"/>
          <w:sz w:val="22"/>
          <w:szCs w:val="22"/>
        </w:rPr>
        <w:t>Worobczuka</w:t>
      </w:r>
      <w:proofErr w:type="spellEnd"/>
      <w:r w:rsidRPr="005A6CE8">
        <w:rPr>
          <w:rFonts w:asciiTheme="minorHAnsi" w:hAnsiTheme="minorHAnsi" w:cstheme="minorHAnsi"/>
          <w:sz w:val="22"/>
          <w:szCs w:val="22"/>
        </w:rPr>
        <w:t xml:space="preserve">, przy ul. </w:t>
      </w:r>
      <w:proofErr w:type="spellStart"/>
      <w:r w:rsidRPr="005A6CE8">
        <w:rPr>
          <w:rFonts w:asciiTheme="minorHAnsi" w:hAnsiTheme="minorHAnsi" w:cstheme="minorHAnsi"/>
          <w:sz w:val="22"/>
          <w:szCs w:val="22"/>
        </w:rPr>
        <w:t>Gubinowskiej</w:t>
      </w:r>
      <w:proofErr w:type="spellEnd"/>
      <w:r w:rsidRPr="005A6CE8">
        <w:rPr>
          <w:rFonts w:asciiTheme="minorHAnsi" w:hAnsiTheme="minorHAnsi" w:cstheme="minorHAnsi"/>
          <w:sz w:val="22"/>
          <w:szCs w:val="22"/>
        </w:rPr>
        <w:t xml:space="preserve"> i przy ul. Gronowej, przeanalizowano dokumentację z okresowej kontroli podstawowej wyposażenia obiektu, wykonanej w lipcu 2021 r. przez firmę CENTRUM KONTROLI PLACÓW ZABAW Sp. z o.o.</w:t>
      </w:r>
      <w:r w:rsidR="006C449F" w:rsidRPr="005A6CE8">
        <w:rPr>
          <w:rFonts w:asciiTheme="minorHAnsi" w:hAnsiTheme="minorHAnsi" w:cstheme="minorHAnsi"/>
          <w:sz w:val="22"/>
          <w:szCs w:val="22"/>
        </w:rPr>
        <w:t xml:space="preserve"> </w:t>
      </w:r>
      <w:r w:rsidRPr="005A6CE8">
        <w:rPr>
          <w:rFonts w:asciiTheme="minorHAnsi" w:hAnsiTheme="minorHAnsi" w:cstheme="minorHAnsi"/>
          <w:sz w:val="22"/>
          <w:szCs w:val="22"/>
        </w:rPr>
        <w:t xml:space="preserve">i stwierdzono, że w sprawozdaniach z inspekcji NR MSO/7066/2021 ww. obiektów w ocenie szczegółowej zamieszczono opis wad dla poszczególnych elementów wyposażenia obiektu, przy zastosowaniu 5-cio stopniowej skali ryzyka odnoszącego się do poziomu bezpieczeństwa kontrolowanego elementu wyposażenia obiektu - od „0" (bardzo niski poziom ryzyka) do „4" (bardzo wysoki </w:t>
      </w:r>
      <w:r w:rsidRPr="005A6CE8">
        <w:rPr>
          <w:rFonts w:asciiTheme="minorHAnsi" w:hAnsiTheme="minorHAnsi" w:cstheme="minorHAnsi"/>
          <w:sz w:val="22"/>
          <w:szCs w:val="22"/>
        </w:rPr>
        <w:lastRenderedPageBreak/>
        <w:t>poziom ryzyka), ze wskazaniem zaleceń:</w:t>
      </w:r>
    </w:p>
    <w:p w:rsidR="004575B0" w:rsidRPr="005A6CE8" w:rsidRDefault="00901B8B" w:rsidP="005A6CE8">
      <w:pPr>
        <w:pStyle w:val="Bodytext20"/>
        <w:shd w:val="clear" w:color="auto" w:fill="auto"/>
        <w:spacing w:before="120" w:after="240" w:line="300" w:lineRule="auto"/>
        <w:ind w:left="1180" w:right="88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plac zabaw przy ul. </w:t>
      </w:r>
      <w:proofErr w:type="spellStart"/>
      <w:r w:rsidR="00753634" w:rsidRPr="005A6CE8">
        <w:rPr>
          <w:rFonts w:asciiTheme="minorHAnsi" w:hAnsiTheme="minorHAnsi" w:cstheme="minorHAnsi"/>
          <w:sz w:val="22"/>
          <w:szCs w:val="22"/>
        </w:rPr>
        <w:t>Worobczuka</w:t>
      </w:r>
      <w:proofErr w:type="spellEnd"/>
      <w:r w:rsidR="00753634" w:rsidRPr="005A6CE8">
        <w:rPr>
          <w:rFonts w:asciiTheme="minorHAnsi" w:hAnsiTheme="minorHAnsi" w:cstheme="minorHAnsi"/>
          <w:sz w:val="22"/>
          <w:szCs w:val="22"/>
        </w:rPr>
        <w:t xml:space="preserve"> - w ocenie ogólnego poziomu bezpieczeństwa placu zabaw, ustalanej na najwyższym poziomie ryzyka występującym w ocenie poszczególnych elementów, poziom bezpieczeństwa został określony jako "wysoki" (przy poziomie ryzyka „1" czyli niskim) - w opisie wad w 3 punktach wykazu poziom ryzyka określono jako „1" - niski, na przykład: wystające gwinty śrub mocujących deski ławek (zalecane obcięcie i wygładzenie krawędzi), mocno obluzowany niski drążek do przewrotów w zestawie sprawnościowym (zalecane dokręcenie w celu trwałego unieruchomienia),</w:t>
      </w:r>
    </w:p>
    <w:p w:rsidR="004575B0" w:rsidRPr="005A6CE8" w:rsidRDefault="00901B8B" w:rsidP="005A6CE8">
      <w:pPr>
        <w:pStyle w:val="Bodytext20"/>
        <w:shd w:val="clear" w:color="auto" w:fill="auto"/>
        <w:spacing w:before="120" w:after="240" w:line="300" w:lineRule="auto"/>
        <w:ind w:left="1180" w:right="88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 xml:space="preserve">plac zabaw przy ul. </w:t>
      </w:r>
      <w:proofErr w:type="spellStart"/>
      <w:r w:rsidR="00753634" w:rsidRPr="005A6CE8">
        <w:rPr>
          <w:rFonts w:asciiTheme="minorHAnsi" w:hAnsiTheme="minorHAnsi" w:cstheme="minorHAnsi"/>
          <w:sz w:val="22"/>
          <w:szCs w:val="22"/>
        </w:rPr>
        <w:t>Gubinowskiej</w:t>
      </w:r>
      <w:proofErr w:type="spellEnd"/>
      <w:r w:rsidR="00753634" w:rsidRPr="005A6CE8">
        <w:rPr>
          <w:rFonts w:asciiTheme="minorHAnsi" w:hAnsiTheme="minorHAnsi" w:cstheme="minorHAnsi"/>
          <w:sz w:val="22"/>
          <w:szCs w:val="22"/>
        </w:rPr>
        <w:t xml:space="preserve"> - w ocenie ogólnego poziomu bezpieczeństwa placu zabaw, ustalanej na najwyższym poziomie ryzyka występującym w ocenie poszczególnych elementów, poziom bezpieczeństwa został określony jako "wysoki" (przy poziomie ryzyka „1" czyli niskim) - w opisie wad w 9 punktach wykazu poziom ryzyka określono jako „1" - niski, na przykład: przy próbie funkcjonalnej zauważono, że uszkodzone jest mocowanie huśtawki wagowej na sprężynach „Koniki", prawdopodobnie śruby kotwiące luźno chodzą w posadce. Mocowanie unosi powierzchnię syntetyczną, co może ją uszkadzać (zaleca się trwałe przytwierdzenie konstrukcji),</w:t>
      </w:r>
    </w:p>
    <w:p w:rsidR="004575B0" w:rsidRPr="005A6CE8" w:rsidRDefault="00901B8B" w:rsidP="005A6CE8">
      <w:pPr>
        <w:pStyle w:val="Bodytext20"/>
        <w:shd w:val="clear" w:color="auto" w:fill="auto"/>
        <w:spacing w:before="120" w:after="240" w:line="300" w:lineRule="auto"/>
        <w:ind w:left="1060" w:right="1100" w:firstLine="120"/>
        <w:contextualSpacing/>
        <w:rPr>
          <w:rFonts w:asciiTheme="minorHAnsi" w:hAnsiTheme="minorHAnsi" w:cstheme="minorHAnsi"/>
          <w:sz w:val="22"/>
          <w:szCs w:val="22"/>
        </w:rPr>
      </w:pPr>
      <w:r w:rsidRPr="005A6CE8">
        <w:rPr>
          <w:rFonts w:asciiTheme="minorHAnsi" w:hAnsiTheme="minorHAnsi" w:cstheme="minorHAnsi"/>
          <w:sz w:val="22"/>
          <w:szCs w:val="22"/>
        </w:rPr>
        <w:t xml:space="preserve">- </w:t>
      </w:r>
      <w:r w:rsidR="00753634" w:rsidRPr="005A6CE8">
        <w:rPr>
          <w:rFonts w:asciiTheme="minorHAnsi" w:hAnsiTheme="minorHAnsi" w:cstheme="minorHAnsi"/>
          <w:sz w:val="22"/>
          <w:szCs w:val="22"/>
        </w:rPr>
        <w:t>plac zabaw przy ul. Gronowej - w ocenie ogólnego poziomu bezpieczeństwa placu zabaw, ustalanej na najwyższym poziomie ryzyka występującym w ocenie poszczególnych elementów, poziom bezpieczeństwa został określony jako " niski" (przy poziomie ryzyka „3" czyli wysokim) - w opisie wad w 1 punkcie wykazu poziom ryzyka określono jako „3"- wysoki, w 3 punktach wykazu poziom ryzyka określono jako „2" - średni i w 11 punktach wykazu poziom ryzyka określono jako „1" - niski, na przykład w pkt 26 (oznaczonym w części jako poziom ryzyka „3"- wysoki) w dużym zestawie zabawowym ze zjeżdżalniami rurowymi - ślizg posiada pęknięte mocowania kołnierza przy podeście, wypalone otwory oraz 1 z 4 śrub mocujących balustradę do podestu nie ma podkładki, przez co śruba wkręcona jest za głęboko w otwór panelu balustrady (należy wymienić uszkodzony fragment ślizgu).</w:t>
      </w:r>
    </w:p>
    <w:p w:rsidR="004575B0" w:rsidRPr="005A6CE8" w:rsidRDefault="00753634" w:rsidP="005A6CE8">
      <w:pPr>
        <w:pStyle w:val="Bodytext20"/>
        <w:shd w:val="clear" w:color="auto" w:fill="auto"/>
        <w:spacing w:before="120" w:after="240" w:line="300" w:lineRule="auto"/>
        <w:ind w:left="1060" w:right="1100" w:firstLine="0"/>
        <w:contextualSpacing/>
        <w:rPr>
          <w:rFonts w:asciiTheme="minorHAnsi" w:hAnsiTheme="minorHAnsi" w:cstheme="minorHAnsi"/>
          <w:sz w:val="22"/>
          <w:szCs w:val="22"/>
        </w:rPr>
      </w:pPr>
      <w:r w:rsidRPr="005A6CE8">
        <w:rPr>
          <w:rFonts w:asciiTheme="minorHAnsi" w:hAnsiTheme="minorHAnsi" w:cstheme="minorHAnsi"/>
          <w:sz w:val="22"/>
          <w:szCs w:val="22"/>
        </w:rPr>
        <w:t xml:space="preserve">W sprawie terminu usunięcia wad i usterek wykazanych w powyższych sprawozdaniach z kontroli placów zabaw i siłowni plenerowych Pan Piotr Kowalczyk, Główny Specjalista w WOŚ wyjaśnił, że wykazane wady i usterki, które stwarzały bezpośrednie zagrożenie dla użytkowników, tj. </w:t>
      </w:r>
      <w:r w:rsidRPr="005A6CE8">
        <w:rPr>
          <w:rFonts w:asciiTheme="minorHAnsi" w:hAnsiTheme="minorHAnsi" w:cstheme="minorHAnsi"/>
          <w:sz w:val="22"/>
          <w:szCs w:val="22"/>
        </w:rPr>
        <w:lastRenderedPageBreak/>
        <w:t>określone jako zagrożenie średnie, wysokie oraz bardzo wysokie (oznaczone w sprawozdaniu z inspekcji kolorami odpowiednio: pomarańczowym, czerwonym i czarnym) zostały usunięte w okresie 16-20 sierpnia 2021 r. przez wykonawcę realizującego umowę dotyczącą konserwacji i utrzymania wyposażenia ww. obiektów. Nie stwierdzono żadnych nieprawidłowości o bardzo wysokim zagrożeniu - oznaczonych kolorem czarnym. Pozostałe wykazane wady, stwarzające niskie i bardzo niskie zagrożenie przekazane zostały do usunięcia lub obserwacji (zgodnie z zaleceniami z inspekcji) w miesiącach kolejnych.</w:t>
      </w:r>
    </w:p>
    <w:p w:rsidR="004575B0" w:rsidRPr="005A6CE8" w:rsidRDefault="00753634" w:rsidP="005A6CE8">
      <w:pPr>
        <w:pStyle w:val="Bodytext20"/>
        <w:numPr>
          <w:ilvl w:val="0"/>
          <w:numId w:val="2"/>
        </w:numPr>
        <w:shd w:val="clear" w:color="auto" w:fill="auto"/>
        <w:tabs>
          <w:tab w:val="left" w:pos="670"/>
        </w:tabs>
        <w:spacing w:before="120" w:after="240" w:line="300" w:lineRule="auto"/>
        <w:ind w:left="640" w:right="1220" w:hanging="320"/>
        <w:contextualSpacing/>
        <w:rPr>
          <w:rFonts w:asciiTheme="minorHAnsi" w:hAnsiTheme="minorHAnsi" w:cstheme="minorHAnsi"/>
          <w:sz w:val="22"/>
          <w:szCs w:val="22"/>
        </w:rPr>
      </w:pPr>
      <w:r w:rsidRPr="005A6CE8">
        <w:rPr>
          <w:rFonts w:asciiTheme="minorHAnsi" w:hAnsiTheme="minorHAnsi" w:cstheme="minorHAnsi"/>
          <w:sz w:val="22"/>
          <w:szCs w:val="22"/>
        </w:rPr>
        <w:t xml:space="preserve">W wyniku oględzin ww. 3 obiektów stwierdzono, że stan techniczny niektórych elementów wyposażenia kontrolowanych placów zabaw wymaga napraw i prac porządkowych, m.in.: ubytki w nawierzchni syntetycznej tzw. bezpiecznej (przy ul. </w:t>
      </w:r>
      <w:proofErr w:type="spellStart"/>
      <w:r w:rsidRPr="005A6CE8">
        <w:rPr>
          <w:rFonts w:asciiTheme="minorHAnsi" w:hAnsiTheme="minorHAnsi" w:cstheme="minorHAnsi"/>
          <w:sz w:val="22"/>
          <w:szCs w:val="22"/>
        </w:rPr>
        <w:t>Worobczuka</w:t>
      </w:r>
      <w:proofErr w:type="spellEnd"/>
      <w:r w:rsidRPr="005A6CE8">
        <w:rPr>
          <w:rFonts w:asciiTheme="minorHAnsi" w:hAnsiTheme="minorHAnsi" w:cstheme="minorHAnsi"/>
          <w:sz w:val="22"/>
          <w:szCs w:val="22"/>
        </w:rPr>
        <w:t xml:space="preserve">), zniszczona palisada drewniana - ok. 2 m. do odtworzenia (przy ul. </w:t>
      </w:r>
      <w:proofErr w:type="spellStart"/>
      <w:r w:rsidRPr="005A6CE8">
        <w:rPr>
          <w:rFonts w:asciiTheme="minorHAnsi" w:hAnsiTheme="minorHAnsi" w:cstheme="minorHAnsi"/>
          <w:sz w:val="22"/>
          <w:szCs w:val="22"/>
        </w:rPr>
        <w:t>Gubinowskiej</w:t>
      </w:r>
      <w:proofErr w:type="spellEnd"/>
      <w:r w:rsidRPr="005A6CE8">
        <w:rPr>
          <w:rFonts w:asciiTheme="minorHAnsi" w:hAnsiTheme="minorHAnsi" w:cstheme="minorHAnsi"/>
          <w:sz w:val="22"/>
          <w:szCs w:val="22"/>
        </w:rPr>
        <w:t>), ubytki w nawierzchni boiska (przy ul. Gronowej).</w:t>
      </w:r>
      <w:r w:rsidRPr="005A6CE8">
        <w:rPr>
          <w:rFonts w:asciiTheme="minorHAnsi" w:hAnsiTheme="minorHAnsi" w:cstheme="minorHAnsi"/>
          <w:sz w:val="22"/>
          <w:szCs w:val="22"/>
        </w:rPr>
        <w:br w:type="page"/>
      </w:r>
    </w:p>
    <w:p w:rsidR="004575B0" w:rsidRPr="005A6CE8" w:rsidRDefault="00753634" w:rsidP="005A6CE8">
      <w:pPr>
        <w:pStyle w:val="Bodytext50"/>
        <w:shd w:val="clear" w:color="auto" w:fill="auto"/>
        <w:spacing w:before="120" w:after="240" w:line="300" w:lineRule="auto"/>
        <w:ind w:left="620"/>
        <w:contextualSpacing/>
        <w:rPr>
          <w:rFonts w:asciiTheme="minorHAnsi" w:hAnsiTheme="minorHAnsi" w:cstheme="minorHAnsi"/>
          <w:sz w:val="22"/>
          <w:szCs w:val="22"/>
        </w:rPr>
      </w:pPr>
      <w:r w:rsidRPr="005A6CE8">
        <w:rPr>
          <w:rFonts w:asciiTheme="minorHAnsi" w:hAnsiTheme="minorHAnsi" w:cstheme="minorHAnsi"/>
          <w:sz w:val="22"/>
          <w:szCs w:val="22"/>
        </w:rPr>
        <w:lastRenderedPageBreak/>
        <w:t>Przedstawiając powyższe ustalenia i oceny zalecam:</w:t>
      </w:r>
    </w:p>
    <w:p w:rsidR="004575B0" w:rsidRPr="005A6CE8" w:rsidRDefault="00753634" w:rsidP="005A6CE8">
      <w:pPr>
        <w:pStyle w:val="Bodytext20"/>
        <w:numPr>
          <w:ilvl w:val="0"/>
          <w:numId w:val="4"/>
        </w:numPr>
        <w:shd w:val="clear" w:color="auto" w:fill="auto"/>
        <w:tabs>
          <w:tab w:val="left" w:pos="956"/>
        </w:tabs>
        <w:spacing w:before="120" w:after="240" w:line="300" w:lineRule="auto"/>
        <w:ind w:left="980" w:right="1020"/>
        <w:contextualSpacing/>
        <w:rPr>
          <w:rFonts w:asciiTheme="minorHAnsi" w:hAnsiTheme="minorHAnsi" w:cstheme="minorHAnsi"/>
          <w:sz w:val="22"/>
          <w:szCs w:val="22"/>
        </w:rPr>
      </w:pPr>
      <w:r w:rsidRPr="005A6CE8">
        <w:rPr>
          <w:rFonts w:asciiTheme="minorHAnsi" w:hAnsiTheme="minorHAnsi" w:cstheme="minorHAnsi"/>
          <w:sz w:val="22"/>
          <w:szCs w:val="22"/>
        </w:rPr>
        <w:t>Zobowiązanie pracowników WOŚ do sporządzania z należytą starannością protokołów wprowadzenia i przekazania terenu oraz zamieszczania podpisu Wykonawcy i pracownika WOŚ nadzorującego realizację umowy na kosztorysach powykonawczych, stanowiących załączniki do protokołów odbioru częściowego, jako potwierdzenie ich sprawdzenia pod względem merytorycznym i rachunkowym, dotyczących realizacji umów na utrzymanie i konserwację placów zabaw i siłowni plenerowych;</w:t>
      </w:r>
    </w:p>
    <w:p w:rsidR="004575B0" w:rsidRPr="005A6CE8" w:rsidRDefault="00753634" w:rsidP="005A6CE8">
      <w:pPr>
        <w:pStyle w:val="Bodytext20"/>
        <w:numPr>
          <w:ilvl w:val="0"/>
          <w:numId w:val="4"/>
        </w:numPr>
        <w:shd w:val="clear" w:color="auto" w:fill="auto"/>
        <w:tabs>
          <w:tab w:val="left" w:pos="956"/>
        </w:tabs>
        <w:spacing w:before="120" w:after="240" w:line="300" w:lineRule="auto"/>
        <w:ind w:left="980" w:right="920"/>
        <w:contextualSpacing/>
        <w:rPr>
          <w:rFonts w:asciiTheme="minorHAnsi" w:hAnsiTheme="minorHAnsi" w:cstheme="minorHAnsi"/>
          <w:sz w:val="22"/>
          <w:szCs w:val="22"/>
        </w:rPr>
      </w:pPr>
      <w:r w:rsidRPr="005A6CE8">
        <w:rPr>
          <w:rFonts w:asciiTheme="minorHAnsi" w:hAnsiTheme="minorHAnsi" w:cstheme="minorHAnsi"/>
          <w:sz w:val="22"/>
          <w:szCs w:val="22"/>
        </w:rPr>
        <w:t>Wykonanie napraw uszkodzonych elementów placów zabaw opisanych w protokole oględzin, dokonanych w trakcie kontroli.</w:t>
      </w:r>
    </w:p>
    <w:p w:rsidR="004575B0" w:rsidRPr="005A6CE8" w:rsidRDefault="00753634" w:rsidP="005A6CE8">
      <w:pPr>
        <w:pStyle w:val="Bodytext20"/>
        <w:shd w:val="clear" w:color="auto" w:fill="auto"/>
        <w:spacing w:before="120" w:after="240" w:line="300" w:lineRule="auto"/>
        <w:ind w:left="620" w:right="920" w:firstLine="0"/>
        <w:contextualSpacing/>
        <w:rPr>
          <w:rFonts w:asciiTheme="minorHAnsi" w:hAnsiTheme="minorHAnsi" w:cstheme="minorHAnsi"/>
          <w:sz w:val="22"/>
          <w:szCs w:val="22"/>
        </w:rPr>
      </w:pPr>
      <w:r w:rsidRPr="005A6CE8">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 pokontrolnych i wykorzystania uwag zawartych w wystąpieniu pokontrolnym lub przyczynach braku realizacji zaleceń pokontrolnych lub niewykorzystaniu uwag bądź o innym sposobie usunięcia stwierdzonych nieprawidłowości lub uchybień.</w:t>
      </w:r>
    </w:p>
    <w:p w:rsidR="005A6CE8" w:rsidRPr="005A6CE8" w:rsidRDefault="005A6CE8" w:rsidP="005A6CE8">
      <w:pPr>
        <w:tabs>
          <w:tab w:val="left" w:pos="426"/>
        </w:tabs>
        <w:spacing w:before="120" w:after="240" w:line="300" w:lineRule="auto"/>
        <w:ind w:left="4536"/>
        <w:contextualSpacing/>
        <w:rPr>
          <w:rFonts w:asciiTheme="minorHAnsi" w:eastAsia="Arial" w:hAnsiTheme="minorHAnsi" w:cstheme="minorHAnsi"/>
          <w:sz w:val="22"/>
          <w:szCs w:val="22"/>
        </w:rPr>
      </w:pPr>
      <w:r w:rsidRPr="005A6CE8">
        <w:rPr>
          <w:rFonts w:asciiTheme="minorHAnsi" w:eastAsia="Arial" w:hAnsiTheme="minorHAnsi" w:cstheme="minorHAnsi"/>
          <w:sz w:val="22"/>
          <w:szCs w:val="22"/>
        </w:rPr>
        <w:t>PREZYDENT MIASTA STOŁECZNEGO WARSZAWY /-/ Rafał Trzaskowski</w:t>
      </w:r>
    </w:p>
    <w:p w:rsidR="004575B0" w:rsidRPr="005A6CE8" w:rsidRDefault="004575B0" w:rsidP="005A6CE8">
      <w:pPr>
        <w:spacing w:before="120" w:after="240" w:line="300" w:lineRule="auto"/>
        <w:contextualSpacing/>
        <w:rPr>
          <w:rFonts w:asciiTheme="minorHAnsi" w:hAnsiTheme="minorHAnsi" w:cstheme="minorHAnsi"/>
          <w:sz w:val="22"/>
          <w:szCs w:val="22"/>
        </w:rPr>
      </w:pPr>
    </w:p>
    <w:p w:rsidR="004575B0" w:rsidRPr="005A6CE8" w:rsidRDefault="00753634" w:rsidP="005A6CE8">
      <w:pPr>
        <w:pStyle w:val="Bodytext50"/>
        <w:shd w:val="clear" w:color="auto" w:fill="auto"/>
        <w:spacing w:before="120" w:after="240" w:line="300" w:lineRule="auto"/>
        <w:contextualSpacing/>
        <w:rPr>
          <w:rFonts w:asciiTheme="minorHAnsi" w:hAnsiTheme="minorHAnsi" w:cstheme="minorHAnsi"/>
          <w:sz w:val="22"/>
          <w:szCs w:val="22"/>
        </w:rPr>
      </w:pPr>
      <w:r w:rsidRPr="005A6CE8">
        <w:rPr>
          <w:rFonts w:asciiTheme="minorHAnsi" w:hAnsiTheme="minorHAnsi" w:cstheme="minorHAnsi"/>
          <w:sz w:val="22"/>
          <w:szCs w:val="22"/>
        </w:rPr>
        <w:t>Do wiadomości:</w:t>
      </w:r>
    </w:p>
    <w:p w:rsidR="004575B0" w:rsidRPr="005A6CE8" w:rsidRDefault="00753634" w:rsidP="005A6CE8">
      <w:pPr>
        <w:pStyle w:val="Bodytext20"/>
        <w:numPr>
          <w:ilvl w:val="0"/>
          <w:numId w:val="5"/>
        </w:numPr>
        <w:shd w:val="clear" w:color="auto" w:fill="auto"/>
        <w:tabs>
          <w:tab w:val="left" w:pos="761"/>
        </w:tabs>
        <w:spacing w:before="120" w:after="240" w:line="300" w:lineRule="auto"/>
        <w:ind w:left="360" w:firstLine="0"/>
        <w:contextualSpacing/>
        <w:rPr>
          <w:rFonts w:asciiTheme="minorHAnsi" w:hAnsiTheme="minorHAnsi" w:cstheme="minorHAnsi"/>
          <w:sz w:val="22"/>
          <w:szCs w:val="22"/>
        </w:rPr>
      </w:pPr>
      <w:r w:rsidRPr="005A6CE8">
        <w:rPr>
          <w:rFonts w:asciiTheme="minorHAnsi" w:hAnsiTheme="minorHAnsi" w:cstheme="minorHAnsi"/>
          <w:sz w:val="22"/>
          <w:szCs w:val="22"/>
        </w:rPr>
        <w:t>Pani Magdalena Młochowska - Dyrektor Koordynator ds. zielonej Warszawy</w:t>
      </w:r>
    </w:p>
    <w:p w:rsidR="004575B0" w:rsidRPr="005A6CE8" w:rsidRDefault="00753634" w:rsidP="005A6CE8">
      <w:pPr>
        <w:pStyle w:val="Bodytext20"/>
        <w:numPr>
          <w:ilvl w:val="0"/>
          <w:numId w:val="5"/>
        </w:numPr>
        <w:shd w:val="clear" w:color="auto" w:fill="auto"/>
        <w:tabs>
          <w:tab w:val="left" w:pos="761"/>
        </w:tabs>
        <w:spacing w:before="120" w:after="240" w:line="300" w:lineRule="auto"/>
        <w:ind w:left="360" w:firstLine="0"/>
        <w:contextualSpacing/>
        <w:rPr>
          <w:rFonts w:asciiTheme="minorHAnsi" w:hAnsiTheme="minorHAnsi" w:cstheme="minorHAnsi"/>
          <w:sz w:val="22"/>
          <w:szCs w:val="22"/>
        </w:rPr>
      </w:pPr>
      <w:r w:rsidRPr="005A6CE8">
        <w:rPr>
          <w:rFonts w:asciiTheme="minorHAnsi" w:hAnsiTheme="minorHAnsi" w:cstheme="minorHAnsi"/>
          <w:sz w:val="22"/>
          <w:szCs w:val="22"/>
        </w:rPr>
        <w:t>Pani Dorota Jedynak - Dyrektor Biura Ochrony Środowiska</w:t>
      </w:r>
    </w:p>
    <w:sectPr w:rsidR="004575B0" w:rsidRPr="005A6CE8" w:rsidSect="005A6CE8">
      <w:footerReference w:type="default" r:id="rId7"/>
      <w:headerReference w:type="first" r:id="rId8"/>
      <w:footerReference w:type="first" r:id="rId9"/>
      <w:type w:val="continuous"/>
      <w:pgSz w:w="11900" w:h="16840"/>
      <w:pgMar w:top="2083" w:right="1546" w:bottom="2083" w:left="151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4A1" w:rsidRDefault="00A114A1">
      <w:r>
        <w:separator/>
      </w:r>
    </w:p>
  </w:endnote>
  <w:endnote w:type="continuationSeparator" w:id="0">
    <w:p w:rsidR="00A114A1" w:rsidRDefault="00A1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253802"/>
      <w:docPartObj>
        <w:docPartGallery w:val="Page Numbers (Bottom of Page)"/>
        <w:docPartUnique/>
      </w:docPartObj>
    </w:sdtPr>
    <w:sdtEndPr/>
    <w:sdtContent>
      <w:p w:rsidR="005A6CE8" w:rsidRDefault="005A6CE8">
        <w:pPr>
          <w:pStyle w:val="Stopka"/>
          <w:jc w:val="right"/>
        </w:pPr>
        <w:r>
          <w:fldChar w:fldCharType="begin"/>
        </w:r>
        <w:r>
          <w:instrText>PAGE   \* MERGEFORMAT</w:instrText>
        </w:r>
        <w:r>
          <w:fldChar w:fldCharType="separate"/>
        </w:r>
        <w:r w:rsidR="006E1790">
          <w:rPr>
            <w:noProof/>
          </w:rPr>
          <w:t>8</w:t>
        </w:r>
        <w:r>
          <w:fldChar w:fldCharType="end"/>
        </w:r>
      </w:p>
    </w:sdtContent>
  </w:sdt>
  <w:p w:rsidR="004575B0" w:rsidRDefault="004575B0">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957839"/>
      <w:docPartObj>
        <w:docPartGallery w:val="Page Numbers (Bottom of Page)"/>
        <w:docPartUnique/>
      </w:docPartObj>
    </w:sdtPr>
    <w:sdtEndPr/>
    <w:sdtContent>
      <w:p w:rsidR="005A6CE8" w:rsidRDefault="005A6CE8">
        <w:pPr>
          <w:pStyle w:val="Stopka"/>
          <w:jc w:val="right"/>
        </w:pPr>
        <w:r>
          <w:fldChar w:fldCharType="begin"/>
        </w:r>
        <w:r>
          <w:instrText>PAGE   \* MERGEFORMAT</w:instrText>
        </w:r>
        <w:r>
          <w:fldChar w:fldCharType="separate"/>
        </w:r>
        <w:r w:rsidR="006E1790">
          <w:rPr>
            <w:noProof/>
          </w:rPr>
          <w:t>1</w:t>
        </w:r>
        <w:r>
          <w:fldChar w:fldCharType="end"/>
        </w:r>
      </w:p>
    </w:sdtContent>
  </w:sdt>
  <w:p w:rsidR="004575B0" w:rsidRDefault="004575B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4A1" w:rsidRDefault="00A114A1">
      <w:r>
        <w:separator/>
      </w:r>
    </w:p>
  </w:footnote>
  <w:footnote w:type="continuationSeparator" w:id="0">
    <w:p w:rsidR="00A114A1" w:rsidRDefault="00A114A1">
      <w:r>
        <w:continuationSeparator/>
      </w:r>
    </w:p>
  </w:footnote>
  <w:footnote w:id="1">
    <w:p w:rsidR="004575B0" w:rsidRPr="005A6CE8" w:rsidRDefault="00753634" w:rsidP="006E1790">
      <w:pPr>
        <w:pStyle w:val="Footnote10"/>
        <w:shd w:val="clear" w:color="auto" w:fill="auto"/>
        <w:spacing w:before="120" w:after="240" w:line="300" w:lineRule="auto"/>
        <w:ind w:left="300"/>
        <w:contextualSpacing/>
        <w:rPr>
          <w:rFonts w:asciiTheme="minorHAnsi" w:hAnsiTheme="minorHAnsi" w:cstheme="minorHAnsi"/>
          <w:sz w:val="22"/>
          <w:szCs w:val="22"/>
        </w:rPr>
      </w:pPr>
      <w:r w:rsidRPr="005A6CE8">
        <w:rPr>
          <w:rFonts w:asciiTheme="minorHAnsi" w:hAnsiTheme="minorHAnsi" w:cstheme="minorHAnsi"/>
          <w:sz w:val="22"/>
          <w:szCs w:val="22"/>
          <w:vertAlign w:val="superscript"/>
        </w:rPr>
        <w:t>1</w:t>
      </w:r>
      <w:r w:rsidRPr="005A6CE8">
        <w:rPr>
          <w:rFonts w:asciiTheme="minorHAnsi" w:hAnsiTheme="minorHAnsi" w:cstheme="minorHAnsi"/>
          <w:sz w:val="22"/>
          <w:szCs w:val="22"/>
        </w:rPr>
        <w:t xml:space="preserve"> ustawa z dnia 29 stycznia 2004 r. Prawo zamówień publicznych (Dz.U. z 2018 r. poz. 1986 ze zm.)</w:t>
      </w:r>
    </w:p>
  </w:footnote>
  <w:footnote w:id="2">
    <w:p w:rsidR="004575B0" w:rsidRPr="005A6CE8" w:rsidRDefault="00821838" w:rsidP="006E1790">
      <w:pPr>
        <w:pStyle w:val="Footnote10"/>
        <w:shd w:val="clear" w:color="auto" w:fill="auto"/>
        <w:spacing w:before="120" w:after="240" w:line="300" w:lineRule="auto"/>
        <w:ind w:firstLine="300"/>
        <w:contextualSpacing/>
        <w:rPr>
          <w:rFonts w:asciiTheme="minorHAnsi" w:hAnsiTheme="minorHAnsi" w:cstheme="minorHAnsi"/>
          <w:sz w:val="22"/>
          <w:szCs w:val="22"/>
        </w:rPr>
      </w:pPr>
      <w:r w:rsidRPr="005A6CE8">
        <w:rPr>
          <w:rFonts w:asciiTheme="minorHAnsi" w:hAnsiTheme="minorHAnsi" w:cstheme="minorHAnsi"/>
          <w:sz w:val="22"/>
          <w:szCs w:val="22"/>
        </w:rPr>
        <w:t xml:space="preserve">i </w:t>
      </w:r>
      <w:r w:rsidR="00753634" w:rsidRPr="005A6CE8">
        <w:rPr>
          <w:rFonts w:asciiTheme="minorHAnsi" w:hAnsiTheme="minorHAnsi" w:cstheme="minorHAnsi"/>
          <w:sz w:val="22"/>
          <w:szCs w:val="22"/>
        </w:rPr>
        <w:t>ustawa z dnia 11 września 2019 r. Prawo zamówień publicznych (</w:t>
      </w:r>
      <w:proofErr w:type="spellStart"/>
      <w:r w:rsidR="00753634" w:rsidRPr="005A6CE8">
        <w:rPr>
          <w:rFonts w:asciiTheme="minorHAnsi" w:hAnsiTheme="minorHAnsi" w:cstheme="minorHAnsi"/>
          <w:sz w:val="22"/>
          <w:szCs w:val="22"/>
        </w:rPr>
        <w:t>t.j</w:t>
      </w:r>
      <w:proofErr w:type="spellEnd"/>
      <w:r w:rsidR="00753634" w:rsidRPr="005A6CE8">
        <w:rPr>
          <w:rFonts w:asciiTheme="minorHAnsi" w:hAnsiTheme="minorHAnsi" w:cstheme="minorHAnsi"/>
          <w:sz w:val="22"/>
          <w:szCs w:val="22"/>
        </w:rPr>
        <w:t>. Dz.U. z 2021 r. poz. 1129 ze zm.).</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49F" w:rsidRDefault="00FD3BB2">
    <w:pPr>
      <w:pStyle w:val="Nagwek"/>
    </w:pPr>
    <w:r>
      <w:rPr>
        <w:noProof/>
        <w:lang w:bidi="ar-SA"/>
      </w:rPr>
      <w:drawing>
        <wp:inline distT="0" distB="0" distL="0" distR="0" wp14:anchorId="3A813DDB" wp14:editId="0B2EDD05">
          <wp:extent cx="5760813" cy="1082057"/>
          <wp:effectExtent l="0" t="0" r="0" b="3810"/>
          <wp:docPr id="6" name="Obraz 6"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9302C"/>
    <w:multiLevelType w:val="multilevel"/>
    <w:tmpl w:val="80F82452"/>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5E233A"/>
    <w:multiLevelType w:val="multilevel"/>
    <w:tmpl w:val="4D3C90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7AC0B9D"/>
    <w:multiLevelType w:val="hybridMultilevel"/>
    <w:tmpl w:val="8BE08A10"/>
    <w:lvl w:ilvl="0" w:tplc="E5102C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7D0385A"/>
    <w:multiLevelType w:val="hybridMultilevel"/>
    <w:tmpl w:val="2ACA045A"/>
    <w:lvl w:ilvl="0" w:tplc="2E6672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EA66ED2"/>
    <w:multiLevelType w:val="multilevel"/>
    <w:tmpl w:val="645487A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B86932"/>
    <w:multiLevelType w:val="multilevel"/>
    <w:tmpl w:val="C28641A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382CB5"/>
    <w:multiLevelType w:val="multilevel"/>
    <w:tmpl w:val="BE7AF316"/>
    <w:lvl w:ilvl="0">
      <w:start w:val="50"/>
      <w:numFmt w:val="lowerRoman"/>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5"/>
  </w:num>
  <w:num w:numId="4">
    <w:abstractNumId w:val="4"/>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5B0"/>
    <w:rsid w:val="004129F2"/>
    <w:rsid w:val="004575B0"/>
    <w:rsid w:val="005A6CE8"/>
    <w:rsid w:val="006C449F"/>
    <w:rsid w:val="006E1790"/>
    <w:rsid w:val="00753634"/>
    <w:rsid w:val="008117BE"/>
    <w:rsid w:val="00821838"/>
    <w:rsid w:val="00901B8B"/>
    <w:rsid w:val="00A114A1"/>
    <w:rsid w:val="00C90ACC"/>
    <w:rsid w:val="00FD3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7672273-DF68-46BC-93AB-0E8B4C85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5A6CE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4"/>
      <w:szCs w:val="14"/>
      <w:u w:val="none"/>
    </w:rPr>
  </w:style>
  <w:style w:type="character" w:customStyle="1" w:styleId="Bodytext3">
    <w:name w:val="Body text|3_"/>
    <w:basedOn w:val="Domylnaczcionkaakapitu"/>
    <w:link w:val="Bodytext30"/>
    <w:rPr>
      <w:rFonts w:ascii="Arial" w:eastAsia="Arial" w:hAnsi="Arial" w:cs="Arial"/>
      <w:b/>
      <w:bCs/>
      <w:i w:val="0"/>
      <w:iCs w:val="0"/>
      <w:smallCaps w:val="0"/>
      <w:strike w:val="0"/>
      <w:w w:val="70"/>
      <w:sz w:val="22"/>
      <w:szCs w:val="22"/>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TimesNewRoman55pt">
    <w:name w:val="Header or footer|1 + Times New Roman;5.5 pt"/>
    <w:basedOn w:val="Headerorfooter1"/>
    <w:semiHidden/>
    <w:unhideWhenUsed/>
    <w:rPr>
      <w:rFonts w:ascii="Times New Roman" w:eastAsia="Times New Roman" w:hAnsi="Times New Roman" w:cs="Times New Roman"/>
      <w:b w:val="0"/>
      <w:bCs w:val="0"/>
      <w:i w:val="0"/>
      <w:iCs w:val="0"/>
      <w:smallCaps w:val="0"/>
      <w:strike w:val="0"/>
      <w:color w:val="000000"/>
      <w:spacing w:val="0"/>
      <w:w w:val="100"/>
      <w:position w:val="0"/>
      <w:sz w:val="11"/>
      <w:szCs w:val="11"/>
      <w:u w:val="none"/>
      <w:lang w:val="pl-PL" w:eastAsia="pl-PL" w:bidi="pl-PL"/>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4"/>
      <w:szCs w:val="14"/>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11ptItalicSpacing0pt">
    <w:name w:val="Body text|2 + 11 pt;Italic;Spacing 0 pt"/>
    <w:basedOn w:val="Bodytext2"/>
    <w:semiHidden/>
    <w:unhideWhenUsed/>
    <w:rPr>
      <w:rFonts w:ascii="Arial" w:eastAsia="Arial" w:hAnsi="Arial" w:cs="Arial"/>
      <w:b w:val="0"/>
      <w:bCs w:val="0"/>
      <w:i/>
      <w:iCs/>
      <w:smallCaps w:val="0"/>
      <w:strike w:val="0"/>
      <w:color w:val="000000"/>
      <w:spacing w:val="10"/>
      <w:w w:val="100"/>
      <w:position w:val="0"/>
      <w:sz w:val="22"/>
      <w:szCs w:val="22"/>
      <w:u w:val="none"/>
      <w:lang w:val="ru-RU" w:eastAsia="ru-RU" w:bidi="ru-RU"/>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5">
    <w:name w:val="Body text|5_"/>
    <w:basedOn w:val="Domylnaczcionkaakapitu"/>
    <w:link w:val="Bodytext50"/>
    <w:rPr>
      <w:rFonts w:ascii="Arial" w:eastAsia="Arial" w:hAnsi="Arial" w:cs="Arial"/>
      <w:b/>
      <w:bCs/>
      <w:i w:val="0"/>
      <w:iCs w:val="0"/>
      <w:smallCaps w:val="0"/>
      <w:strike w:val="0"/>
      <w:sz w:val="19"/>
      <w:szCs w:val="19"/>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27pt">
    <w:name w:val="Body text|2 + 7 pt"/>
    <w:basedOn w:val="Bodytext2"/>
    <w:semiHidden/>
    <w:unhideWhenUsed/>
    <w:rPr>
      <w:rFonts w:ascii="Arial" w:eastAsia="Arial" w:hAnsi="Arial" w:cs="Arial"/>
      <w:b w:val="0"/>
      <w:bCs w:val="0"/>
      <w:i w:val="0"/>
      <w:iCs w:val="0"/>
      <w:smallCaps w:val="0"/>
      <w:strike w:val="0"/>
      <w:color w:val="000000"/>
      <w:spacing w:val="0"/>
      <w:w w:val="100"/>
      <w:position w:val="0"/>
      <w:sz w:val="14"/>
      <w:szCs w:val="14"/>
      <w:u w:val="none"/>
      <w:lang w:val="pl-PL" w:eastAsia="pl-PL" w:bidi="pl-PL"/>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5"/>
      <w:szCs w:val="15"/>
      <w:u w:val="none"/>
    </w:rPr>
  </w:style>
  <w:style w:type="paragraph" w:customStyle="1" w:styleId="Footnote10">
    <w:name w:val="Footnote|1"/>
    <w:basedOn w:val="Normalny"/>
    <w:link w:val="Footnote1"/>
    <w:qFormat/>
    <w:pPr>
      <w:shd w:val="clear" w:color="auto" w:fill="FFFFFF"/>
      <w:spacing w:line="211" w:lineRule="exact"/>
    </w:pPr>
    <w:rPr>
      <w:rFonts w:ascii="Arial" w:eastAsia="Arial" w:hAnsi="Arial" w:cs="Arial"/>
      <w:sz w:val="14"/>
      <w:szCs w:val="14"/>
    </w:rPr>
  </w:style>
  <w:style w:type="paragraph" w:customStyle="1" w:styleId="Bodytext30">
    <w:name w:val="Body text|3"/>
    <w:basedOn w:val="Normalny"/>
    <w:link w:val="Bodytext3"/>
    <w:pPr>
      <w:shd w:val="clear" w:color="auto" w:fill="FFFFFF"/>
      <w:spacing w:line="1810" w:lineRule="exact"/>
    </w:pPr>
    <w:rPr>
      <w:rFonts w:ascii="Arial" w:eastAsia="Arial" w:hAnsi="Arial" w:cs="Arial"/>
      <w:b/>
      <w:bCs/>
      <w:w w:val="70"/>
      <w:sz w:val="22"/>
      <w:szCs w:val="22"/>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customStyle="1" w:styleId="Bodytext40">
    <w:name w:val="Body text|4"/>
    <w:basedOn w:val="Normalny"/>
    <w:link w:val="Bodytext4"/>
    <w:pPr>
      <w:shd w:val="clear" w:color="auto" w:fill="FFFFFF"/>
      <w:spacing w:after="300" w:line="206" w:lineRule="exact"/>
    </w:pPr>
    <w:rPr>
      <w:rFonts w:ascii="Arial" w:eastAsia="Arial" w:hAnsi="Arial" w:cs="Arial"/>
      <w:sz w:val="14"/>
      <w:szCs w:val="14"/>
    </w:rPr>
  </w:style>
  <w:style w:type="paragraph" w:customStyle="1" w:styleId="Bodytext20">
    <w:name w:val="Body text|2"/>
    <w:basedOn w:val="Normalny"/>
    <w:link w:val="Bodytext2"/>
    <w:qFormat/>
    <w:pPr>
      <w:shd w:val="clear" w:color="auto" w:fill="FFFFFF"/>
      <w:spacing w:before="300" w:line="246" w:lineRule="exact"/>
      <w:ind w:hanging="360"/>
    </w:pPr>
    <w:rPr>
      <w:rFonts w:ascii="Arial" w:eastAsia="Arial" w:hAnsi="Arial" w:cs="Arial"/>
      <w:sz w:val="19"/>
      <w:szCs w:val="19"/>
    </w:rPr>
  </w:style>
  <w:style w:type="paragraph" w:customStyle="1" w:styleId="Bodytext50">
    <w:name w:val="Body text|5"/>
    <w:basedOn w:val="Normalny"/>
    <w:link w:val="Bodytext5"/>
    <w:pPr>
      <w:shd w:val="clear" w:color="auto" w:fill="FFFFFF"/>
      <w:spacing w:before="1660" w:line="254" w:lineRule="exact"/>
    </w:pPr>
    <w:rPr>
      <w:rFonts w:ascii="Arial" w:eastAsia="Arial" w:hAnsi="Arial" w:cs="Arial"/>
      <w:b/>
      <w:bCs/>
      <w:sz w:val="19"/>
      <w:szCs w:val="19"/>
    </w:rPr>
  </w:style>
  <w:style w:type="paragraph" w:customStyle="1" w:styleId="Picturecaption1">
    <w:name w:val="Picture caption|1"/>
    <w:basedOn w:val="Normalny"/>
    <w:link w:val="Picturecaption1Exact"/>
    <w:qFormat/>
    <w:pPr>
      <w:shd w:val="clear" w:color="auto" w:fill="FFFFFF"/>
      <w:spacing w:line="187" w:lineRule="exact"/>
      <w:jc w:val="center"/>
    </w:pPr>
    <w:rPr>
      <w:rFonts w:ascii="Arial" w:eastAsia="Arial" w:hAnsi="Arial" w:cs="Arial"/>
      <w:sz w:val="15"/>
      <w:szCs w:val="15"/>
    </w:rPr>
  </w:style>
  <w:style w:type="paragraph" w:styleId="Nagwek">
    <w:name w:val="header"/>
    <w:basedOn w:val="Normalny"/>
    <w:link w:val="NagwekZnak"/>
    <w:uiPriority w:val="99"/>
    <w:unhideWhenUsed/>
    <w:rsid w:val="006C449F"/>
    <w:pPr>
      <w:tabs>
        <w:tab w:val="center" w:pos="4536"/>
        <w:tab w:val="right" w:pos="9072"/>
      </w:tabs>
    </w:pPr>
  </w:style>
  <w:style w:type="character" w:customStyle="1" w:styleId="NagwekZnak">
    <w:name w:val="Nagłówek Znak"/>
    <w:basedOn w:val="Domylnaczcionkaakapitu"/>
    <w:link w:val="Nagwek"/>
    <w:uiPriority w:val="99"/>
    <w:rsid w:val="006C449F"/>
    <w:rPr>
      <w:color w:val="000000"/>
    </w:rPr>
  </w:style>
  <w:style w:type="paragraph" w:styleId="Stopka">
    <w:name w:val="footer"/>
    <w:basedOn w:val="Normalny"/>
    <w:link w:val="StopkaZnak"/>
    <w:uiPriority w:val="99"/>
    <w:unhideWhenUsed/>
    <w:rsid w:val="006C449F"/>
    <w:pPr>
      <w:tabs>
        <w:tab w:val="center" w:pos="4536"/>
        <w:tab w:val="right" w:pos="9072"/>
      </w:tabs>
    </w:pPr>
  </w:style>
  <w:style w:type="character" w:customStyle="1" w:styleId="StopkaZnak">
    <w:name w:val="Stopka Znak"/>
    <w:basedOn w:val="Domylnaczcionkaakapitu"/>
    <w:link w:val="Stopka"/>
    <w:uiPriority w:val="99"/>
    <w:rsid w:val="006C449F"/>
    <w:rPr>
      <w:color w:val="000000"/>
    </w:rPr>
  </w:style>
  <w:style w:type="character" w:customStyle="1" w:styleId="Nagwek1Znak">
    <w:name w:val="Nagłówek 1 Znak"/>
    <w:basedOn w:val="Domylnaczcionkaakapitu"/>
    <w:link w:val="Nagwek1"/>
    <w:uiPriority w:val="9"/>
    <w:rsid w:val="005A6CE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2173</Words>
  <Characters>13043</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00206BFA04F1220621191555</vt:lpstr>
    </vt:vector>
  </TitlesOfParts>
  <Company>Urzad Miasta</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8</cp:revision>
  <dcterms:created xsi:type="dcterms:W3CDTF">2022-06-21T11:18:00Z</dcterms:created>
  <dcterms:modified xsi:type="dcterms:W3CDTF">2024-04-30T10:33:00Z</dcterms:modified>
</cp:coreProperties>
</file>