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A5" w:rsidRPr="004819FF" w:rsidRDefault="006E337A" w:rsidP="004819FF">
      <w:pPr>
        <w:pStyle w:val="Bodytext20"/>
        <w:shd w:val="clear" w:color="auto" w:fill="auto"/>
        <w:spacing w:before="120" w:after="240" w:line="300" w:lineRule="auto"/>
        <w:ind w:left="5664"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Wa</w:t>
      </w:r>
      <w:r w:rsidR="00995131" w:rsidRPr="004819FF">
        <w:rPr>
          <w:rFonts w:asciiTheme="minorHAnsi" w:hAnsiTheme="minorHAnsi" w:cstheme="minorHAnsi"/>
          <w:b w:val="0"/>
          <w:sz w:val="22"/>
          <w:szCs w:val="22"/>
        </w:rPr>
        <w:t xml:space="preserve">rszawa, </w:t>
      </w:r>
      <w:r w:rsidRPr="004819FF">
        <w:rPr>
          <w:rStyle w:val="Bodytext21"/>
          <w:rFonts w:asciiTheme="minorHAnsi" w:hAnsiTheme="minorHAnsi" w:cstheme="minorHAnsi"/>
          <w:bCs/>
          <w:color w:val="auto"/>
          <w:sz w:val="22"/>
          <w:szCs w:val="22"/>
        </w:rPr>
        <w:t>28 kwietnia</w:t>
      </w:r>
      <w:r w:rsidRPr="004819FF">
        <w:rPr>
          <w:rStyle w:val="Bodytext21"/>
          <w:rFonts w:asciiTheme="minorHAnsi" w:hAnsiTheme="minorHAnsi" w:cstheme="minorHAnsi"/>
          <w:bCs/>
          <w:sz w:val="22"/>
          <w:szCs w:val="22"/>
        </w:rPr>
        <w:t xml:space="preserve"> </w:t>
      </w:r>
      <w:r w:rsidR="00995131" w:rsidRPr="004819FF">
        <w:rPr>
          <w:rFonts w:asciiTheme="minorHAnsi" w:hAnsiTheme="minorHAnsi" w:cstheme="minorHAnsi"/>
          <w:b w:val="0"/>
          <w:sz w:val="22"/>
          <w:szCs w:val="22"/>
        </w:rPr>
        <w:t>2023 r.</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sz w:val="22"/>
          <w:szCs w:val="22"/>
        </w:rPr>
      </w:pPr>
      <w:r w:rsidRPr="004819FF">
        <w:rPr>
          <w:rFonts w:asciiTheme="minorHAnsi" w:hAnsiTheme="minorHAnsi" w:cstheme="minorHAnsi"/>
          <w:sz w:val="22"/>
          <w:szCs w:val="22"/>
        </w:rPr>
        <w:t>Znak sprawy: KW-WGF.1712.28.2022.MJA</w:t>
      </w:r>
    </w:p>
    <w:p w:rsidR="001146A5" w:rsidRPr="004819FF" w:rsidRDefault="00995131" w:rsidP="00846266">
      <w:pPr>
        <w:pStyle w:val="Bodytext20"/>
        <w:shd w:val="clear" w:color="auto" w:fill="auto"/>
        <w:spacing w:before="240" w:after="680" w:line="300" w:lineRule="auto"/>
        <w:ind w:left="4882" w:firstLine="0"/>
        <w:contextualSpacing/>
        <w:jc w:val="left"/>
        <w:rPr>
          <w:rFonts w:asciiTheme="minorHAnsi" w:hAnsiTheme="minorHAnsi" w:cstheme="minorHAnsi"/>
          <w:sz w:val="22"/>
          <w:szCs w:val="22"/>
        </w:rPr>
      </w:pPr>
      <w:r w:rsidRPr="004819FF">
        <w:rPr>
          <w:rFonts w:asciiTheme="minorHAnsi" w:hAnsiTheme="minorHAnsi" w:cstheme="minorHAnsi"/>
          <w:sz w:val="22"/>
          <w:szCs w:val="22"/>
        </w:rPr>
        <w:t>Pani</w:t>
      </w:r>
    </w:p>
    <w:p w:rsidR="001146A5" w:rsidRPr="004819FF" w:rsidRDefault="00995131" w:rsidP="00846266">
      <w:pPr>
        <w:pStyle w:val="Bodytext20"/>
        <w:shd w:val="clear" w:color="auto" w:fill="auto"/>
        <w:spacing w:before="240" w:after="680" w:line="300" w:lineRule="auto"/>
        <w:ind w:left="4882" w:right="2515" w:firstLine="0"/>
        <w:contextualSpacing/>
        <w:jc w:val="left"/>
        <w:rPr>
          <w:rFonts w:asciiTheme="minorHAnsi" w:hAnsiTheme="minorHAnsi" w:cstheme="minorHAnsi"/>
          <w:sz w:val="22"/>
          <w:szCs w:val="22"/>
        </w:rPr>
      </w:pPr>
      <w:r w:rsidRPr="004819FF">
        <w:rPr>
          <w:rFonts w:asciiTheme="minorHAnsi" w:hAnsiTheme="minorHAnsi" w:cstheme="minorHAnsi"/>
          <w:sz w:val="22"/>
          <w:szCs w:val="22"/>
        </w:rPr>
        <w:t>Karolina Ochab Dyrektorka</w:t>
      </w:r>
    </w:p>
    <w:p w:rsidR="001146A5" w:rsidRPr="004819FF" w:rsidRDefault="00995131" w:rsidP="00846266">
      <w:pPr>
        <w:pStyle w:val="Bodytext20"/>
        <w:shd w:val="clear" w:color="auto" w:fill="auto"/>
        <w:spacing w:before="240" w:after="680" w:line="300" w:lineRule="auto"/>
        <w:ind w:left="4882" w:right="530" w:firstLine="0"/>
        <w:contextualSpacing/>
        <w:jc w:val="left"/>
        <w:rPr>
          <w:rFonts w:asciiTheme="minorHAnsi" w:hAnsiTheme="minorHAnsi" w:cstheme="minorHAnsi"/>
          <w:sz w:val="22"/>
          <w:szCs w:val="22"/>
        </w:rPr>
      </w:pPr>
      <w:r w:rsidRPr="004819FF">
        <w:rPr>
          <w:rFonts w:asciiTheme="minorHAnsi" w:hAnsiTheme="minorHAnsi" w:cstheme="minorHAnsi"/>
          <w:sz w:val="22"/>
          <w:szCs w:val="22"/>
        </w:rPr>
        <w:t>Międzynarodowego Centrum Kultury Nowy Teatr w Warszawie</w:t>
      </w:r>
    </w:p>
    <w:p w:rsidR="001146A5" w:rsidRPr="004819FF" w:rsidRDefault="00995131" w:rsidP="004819FF">
      <w:pPr>
        <w:pStyle w:val="Nagwek1"/>
        <w:spacing w:before="120" w:after="240" w:line="300" w:lineRule="auto"/>
        <w:ind w:left="2832"/>
        <w:rPr>
          <w:rFonts w:asciiTheme="minorHAnsi" w:hAnsiTheme="minorHAnsi" w:cstheme="minorHAnsi"/>
          <w:b/>
          <w:color w:val="auto"/>
          <w:sz w:val="22"/>
          <w:szCs w:val="22"/>
        </w:rPr>
      </w:pPr>
      <w:r w:rsidRPr="004819FF">
        <w:rPr>
          <w:rFonts w:asciiTheme="minorHAnsi" w:hAnsiTheme="minorHAnsi" w:cstheme="minorHAnsi"/>
          <w:b/>
          <w:color w:val="auto"/>
          <w:sz w:val="22"/>
          <w:szCs w:val="22"/>
        </w:rPr>
        <w:t>Wystąpienie pokontrolne</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 22 ust. 12 Regulaminu organizacyjnego Urzędu m.st. Warszawy, stanowiącego załącznik do zarządzenia Nr </w:t>
      </w:r>
      <w:r w:rsidRPr="004819FF">
        <w:rPr>
          <w:rFonts w:asciiTheme="minorHAnsi" w:hAnsiTheme="minorHAnsi" w:cstheme="minorHAnsi"/>
          <w:b w:val="0"/>
          <w:sz w:val="22"/>
          <w:szCs w:val="22"/>
          <w:lang w:val="ru-RU" w:eastAsia="ru-RU" w:bidi="ru-RU"/>
        </w:rPr>
        <w:t xml:space="preserve">312/2007 </w:t>
      </w:r>
      <w:r w:rsidRPr="004819FF">
        <w:rPr>
          <w:rFonts w:asciiTheme="minorHAnsi" w:hAnsiTheme="minorHAnsi" w:cstheme="minorHAnsi"/>
          <w:b w:val="0"/>
          <w:sz w:val="22"/>
          <w:szCs w:val="22"/>
        </w:rPr>
        <w:t>Prezydenta m.st. Warszawy z dnia 4 kwietnia 2007 r. w sprawie nadania regulaminu organizacyjnego Urzędu m.st Warszawy (ze zm.), w związku z kontrolą</w:t>
      </w:r>
      <w:r w:rsidRPr="004819FF">
        <w:rPr>
          <w:rFonts w:asciiTheme="minorHAnsi" w:hAnsiTheme="minorHAnsi" w:cstheme="minorHAnsi"/>
          <w:b w:val="0"/>
          <w:sz w:val="22"/>
          <w:szCs w:val="22"/>
          <w:vertAlign w:val="superscript"/>
        </w:rPr>
        <w:footnoteReference w:id="1"/>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rPr>
        <w:t>przeprowadzoną przez Biuro Kontroli Urzędu m.st. Warszawy w Międzynarodowym Centrum Kultury Nowy Teatr w Warszawie (dalej: Teatr), której wyniki przedstawiono w protokole kontroli podpisanym 17 sierpnia 2022 r., stosownie do § 39 ust. 1 i ust. 2 oraz § 38 ust. 3 zarządzenia</w:t>
      </w:r>
      <w:r w:rsidR="006E337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nr </w:t>
      </w:r>
      <w:r w:rsidRPr="004819FF">
        <w:rPr>
          <w:rFonts w:asciiTheme="minorHAnsi" w:hAnsiTheme="minorHAnsi" w:cstheme="minorHAnsi"/>
          <w:b w:val="0"/>
          <w:sz w:val="22"/>
          <w:szCs w:val="22"/>
          <w:lang w:val="ru-RU" w:eastAsia="ru-RU" w:bidi="ru-RU"/>
        </w:rPr>
        <w:t xml:space="preserve">1837/2019 </w:t>
      </w:r>
      <w:r w:rsidRPr="004819FF">
        <w:rPr>
          <w:rFonts w:asciiTheme="minorHAnsi" w:hAnsiTheme="minorHAnsi" w:cstheme="minorHAnsi"/>
          <w:b w:val="0"/>
          <w:sz w:val="22"/>
          <w:szCs w:val="22"/>
        </w:rPr>
        <w:t>Prezydenta m.st. Warszawy z dnia 12 grudnia 2019 r. w sprawie zasad i trybu postępowania kontrolnego (zwanego dalej: Zarządzeniem), przekazuję Pani wystąpienie pokontrolne.</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Jednocześnie informuję, że na podstawie wyników kontroli oraz dokumentacji pokontrolnej </w:t>
      </w:r>
      <w:r w:rsidR="006E337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związanej z przeprowadzoną kontrolą nie znalazłem uzasadnienia do powołania Komisji Uzgodnieniowej, celem rozpatrzenia złożonych przez pana Piotra Gruszczyńskiego</w:t>
      </w:r>
      <w:r w:rsidRPr="004819FF">
        <w:rPr>
          <w:rFonts w:asciiTheme="minorHAnsi" w:hAnsiTheme="minorHAnsi" w:cstheme="minorHAnsi"/>
          <w:b w:val="0"/>
          <w:sz w:val="22"/>
          <w:szCs w:val="22"/>
          <w:vertAlign w:val="superscript"/>
        </w:rPr>
        <w:footnoteReference w:id="2"/>
      </w:r>
      <w:r w:rsidRPr="004819FF">
        <w:rPr>
          <w:rFonts w:asciiTheme="minorHAnsi" w:hAnsiTheme="minorHAnsi" w:cstheme="minorHAnsi"/>
          <w:b w:val="0"/>
          <w:sz w:val="22"/>
          <w:szCs w:val="22"/>
        </w:rPr>
        <w:t xml:space="preserve"> Wicedyrektora ds.</w:t>
      </w:r>
      <w:r w:rsidR="006E337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Programowych Międzynarodowego Centrum Kultury Nowy Teatr w Warszawie zastrzeżeń do </w:t>
      </w:r>
      <w:r w:rsidR="006E337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projektu wystąpienia pokontrolnego, zatem w oparciu o § 38 ust. 2 Zarządzenia odmówiłem powołania Komisji.</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Teatr jest samorządową instytucją artystyczną posiadającą osobowość prawną, wpisaną do rejestru instytucji kultury prowadzonego przez m.st. Warszawa, które jest organizatorem Teatru. Nadzór nad działalnością Teatru wykonywany jest przy pomocy Biura Kultury Urzędu m.st. Warszawy.</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Podstawy organizacji i funkcjonowania Teat</w:t>
      </w:r>
      <w:bookmarkStart w:id="0" w:name="_GoBack"/>
      <w:bookmarkEnd w:id="0"/>
      <w:r w:rsidRPr="004819FF">
        <w:rPr>
          <w:rFonts w:asciiTheme="minorHAnsi" w:hAnsiTheme="minorHAnsi" w:cstheme="minorHAnsi"/>
          <w:b w:val="0"/>
          <w:sz w:val="22"/>
          <w:szCs w:val="22"/>
        </w:rPr>
        <w:t xml:space="preserve">ru określa statut stanowiący załącznik do uchwały Rady </w:t>
      </w:r>
      <w:r w:rsidRPr="004819FF">
        <w:rPr>
          <w:rFonts w:asciiTheme="minorHAnsi" w:hAnsiTheme="minorHAnsi" w:cstheme="minorHAnsi"/>
          <w:b w:val="0"/>
          <w:sz w:val="22"/>
          <w:szCs w:val="22"/>
        </w:rPr>
        <w:lastRenderedPageBreak/>
        <w:t>m.st. Warszawy</w:t>
      </w:r>
      <w:r w:rsidRPr="004819FF">
        <w:rPr>
          <w:rFonts w:asciiTheme="minorHAnsi" w:hAnsiTheme="minorHAnsi" w:cstheme="minorHAnsi"/>
          <w:b w:val="0"/>
          <w:sz w:val="22"/>
          <w:szCs w:val="22"/>
          <w:vertAlign w:val="superscript"/>
        </w:rPr>
        <w:footnoteReference w:id="3"/>
      </w:r>
      <w:r w:rsidRPr="004819FF">
        <w:rPr>
          <w:rFonts w:asciiTheme="minorHAnsi" w:hAnsiTheme="minorHAnsi" w:cstheme="minorHAnsi"/>
          <w:b w:val="0"/>
          <w:sz w:val="22"/>
          <w:szCs w:val="22"/>
        </w:rPr>
        <w:t xml:space="preserve"> oraz Regulaminy organizacyjne wprowadzone zarządzeniem nr </w:t>
      </w:r>
      <w:r w:rsidRPr="004819FF">
        <w:rPr>
          <w:rFonts w:asciiTheme="minorHAnsi" w:hAnsiTheme="minorHAnsi" w:cstheme="minorHAnsi"/>
          <w:b w:val="0"/>
          <w:sz w:val="22"/>
          <w:szCs w:val="22"/>
          <w:lang w:val="ru-RU" w:eastAsia="ru-RU" w:bidi="ru-RU"/>
        </w:rPr>
        <w:t xml:space="preserve">25/2019 </w:t>
      </w:r>
      <w:r w:rsidRPr="004819FF">
        <w:rPr>
          <w:rFonts w:asciiTheme="minorHAnsi" w:hAnsiTheme="minorHAnsi" w:cstheme="minorHAnsi"/>
          <w:b w:val="0"/>
          <w:sz w:val="22"/>
          <w:szCs w:val="22"/>
        </w:rPr>
        <w:t>Dyrektora</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Teatru z dnia 31 grudnia 2019 r.</w:t>
      </w:r>
      <w:r w:rsidRPr="004819FF">
        <w:rPr>
          <w:rFonts w:asciiTheme="minorHAnsi" w:hAnsiTheme="minorHAnsi" w:cstheme="minorHAnsi"/>
          <w:b w:val="0"/>
          <w:sz w:val="22"/>
          <w:szCs w:val="22"/>
          <w:vertAlign w:val="superscript"/>
        </w:rPr>
        <w:footnoteReference w:id="4"/>
      </w:r>
      <w:r w:rsidRPr="004819FF">
        <w:rPr>
          <w:rFonts w:asciiTheme="minorHAnsi" w:hAnsiTheme="minorHAnsi" w:cstheme="minorHAnsi"/>
          <w:b w:val="0"/>
          <w:sz w:val="22"/>
          <w:szCs w:val="22"/>
        </w:rPr>
        <w:t xml:space="preserve"> oraz zarządzeniem nr </w:t>
      </w:r>
      <w:r w:rsidRPr="004819FF">
        <w:rPr>
          <w:rFonts w:asciiTheme="minorHAnsi" w:hAnsiTheme="minorHAnsi" w:cstheme="minorHAnsi"/>
          <w:b w:val="0"/>
          <w:sz w:val="22"/>
          <w:szCs w:val="22"/>
          <w:lang w:val="ru-RU" w:eastAsia="ru-RU" w:bidi="ru-RU"/>
        </w:rPr>
        <w:t xml:space="preserve">33/2021 </w:t>
      </w:r>
      <w:r w:rsidRPr="004819FF">
        <w:rPr>
          <w:rFonts w:asciiTheme="minorHAnsi" w:hAnsiTheme="minorHAnsi" w:cstheme="minorHAnsi"/>
          <w:b w:val="0"/>
          <w:sz w:val="22"/>
          <w:szCs w:val="22"/>
        </w:rPr>
        <w:t xml:space="preserve">Dyrektora Teatru z dnia 23 grudnia 2021 r. (z mocą obowiązywania od 1 stycznia 2022 r.), po zasięgnięciu opinii organizatora, stosownie do wymogów określonych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13 ust. 3 ustawy z dnia 25 października 1991 r. o organizowaniu</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prowadzeniu działalności kulturalnej</w:t>
      </w:r>
      <w:r w:rsidRPr="004819FF">
        <w:rPr>
          <w:rFonts w:asciiTheme="minorHAnsi" w:hAnsiTheme="minorHAnsi" w:cstheme="minorHAnsi"/>
          <w:b w:val="0"/>
          <w:sz w:val="22"/>
          <w:szCs w:val="22"/>
          <w:vertAlign w:val="superscript"/>
        </w:rPr>
        <w:footnoteReference w:id="5"/>
      </w:r>
      <w:r w:rsidRPr="004819FF">
        <w:rPr>
          <w:rFonts w:asciiTheme="minorHAnsi" w:hAnsiTheme="minorHAnsi" w:cstheme="minorHAnsi"/>
          <w:b w:val="0"/>
          <w:sz w:val="22"/>
          <w:szCs w:val="22"/>
        </w:rPr>
        <w:t>.</w:t>
      </w:r>
    </w:p>
    <w:p w:rsidR="009C4180" w:rsidRPr="004819FF" w:rsidRDefault="00995131" w:rsidP="004819FF">
      <w:pPr>
        <w:pStyle w:val="Bodytext20"/>
        <w:shd w:val="clear" w:color="auto" w:fill="auto"/>
        <w:tabs>
          <w:tab w:val="left" w:pos="6437"/>
        </w:tabs>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Wprowadzone zarządzeniem nr </w:t>
      </w:r>
      <w:r w:rsidRPr="004819FF">
        <w:rPr>
          <w:rFonts w:asciiTheme="minorHAnsi" w:hAnsiTheme="minorHAnsi" w:cstheme="minorHAnsi"/>
          <w:b w:val="0"/>
          <w:sz w:val="22"/>
          <w:szCs w:val="22"/>
          <w:lang w:val="ru-RU" w:eastAsia="ru-RU" w:bidi="ru-RU"/>
        </w:rPr>
        <w:t xml:space="preserve">2/2008 </w:t>
      </w:r>
      <w:r w:rsidRPr="004819FF">
        <w:rPr>
          <w:rFonts w:asciiTheme="minorHAnsi" w:hAnsiTheme="minorHAnsi" w:cstheme="minorHAnsi"/>
          <w:b w:val="0"/>
          <w:sz w:val="22"/>
          <w:szCs w:val="22"/>
        </w:rPr>
        <w:t>Dyrektora Teatru z dnia 2 stycznia 2008 r. Zasady</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prowadzenia rachunkowości nie były aktualizowane od dnia ich przyjęcia. Nie określono rodzaju sprawozdań (poza sprawozdaniem finansowym) sporządzanych przez Teatr; brak załączników,</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o których mowa w pkt. 3.4 treści Zasad prowadzenia rachunkowości, tj. „Wykazu zbiorów danych tworzących księgi rachunkowe (...) z określeniem ich struktury, wzajemnych powiązań oraz ich funkcji </w:t>
      </w:r>
    </w:p>
    <w:p w:rsidR="001146A5" w:rsidRPr="004819FF" w:rsidRDefault="00995131" w:rsidP="004819FF">
      <w:pPr>
        <w:pStyle w:val="Bodytext20"/>
        <w:shd w:val="clear" w:color="auto" w:fill="auto"/>
        <w:tabs>
          <w:tab w:val="left" w:pos="6437"/>
        </w:tabs>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organizacji całości ksiąg rachunkowych i w procesach przetwarzania danych", oraz w pkt. 10.2 „Instrukcja inwentaryzacyjna". W pkt 3.5 i 3.6 Zasad prowadzenia rachunkowości określono, że zakładowy plan kont, opracowany w oparciu o publikację</w:t>
      </w:r>
      <w:r w:rsidRPr="004819FF">
        <w:rPr>
          <w:rFonts w:asciiTheme="minorHAnsi" w:hAnsiTheme="minorHAnsi" w:cstheme="minorHAnsi"/>
          <w:b w:val="0"/>
          <w:sz w:val="22"/>
          <w:szCs w:val="22"/>
        </w:rPr>
        <w:tab/>
      </w:r>
      <w:proofErr w:type="spellStart"/>
      <w:r w:rsidRPr="004819FF">
        <w:rPr>
          <w:rFonts w:asciiTheme="minorHAnsi" w:hAnsiTheme="minorHAnsi" w:cstheme="minorHAnsi"/>
          <w:b w:val="0"/>
          <w:sz w:val="22"/>
          <w:szCs w:val="22"/>
        </w:rPr>
        <w:t>inowi</w:t>
      </w:r>
      <w:proofErr w:type="spellEnd"/>
      <w:r w:rsidRPr="004819FF">
        <w:rPr>
          <w:rFonts w:asciiTheme="minorHAnsi" w:hAnsiTheme="minorHAnsi" w:cstheme="minorHAnsi"/>
          <w:b w:val="0"/>
          <w:sz w:val="22"/>
          <w:szCs w:val="22"/>
        </w:rPr>
        <w:t xml:space="preserve"> załącznik do</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zarządzenia. Przedłożony zakładowy plan kont, stanowiący wykaz kont księgowych z opisem ogólnych zasad funkcjonowania kont nie był oznaczony, iż stanowi załącznik do dokumentacji opisującej zasady prowadzenia rachunkowości w Teatrze. Nie był też podpisany (parafowany). W dokumentacji brak opisu systemu informatycznego zawierającego dane określone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10 ust. 1 pkt 3 lit. c) ustawy </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dnia 29 września 1994 r. o rachunkowości</w:t>
      </w:r>
      <w:r w:rsidRPr="004819FF">
        <w:rPr>
          <w:rFonts w:asciiTheme="minorHAnsi" w:hAnsiTheme="minorHAnsi" w:cstheme="minorHAnsi"/>
          <w:b w:val="0"/>
          <w:sz w:val="22"/>
          <w:szCs w:val="22"/>
          <w:vertAlign w:val="superscript"/>
        </w:rPr>
        <w:footnoteReference w:id="6"/>
      </w:r>
      <w:r w:rsidRPr="004819FF">
        <w:rPr>
          <w:rFonts w:asciiTheme="minorHAnsi" w:hAnsiTheme="minorHAnsi" w:cstheme="minorHAnsi"/>
          <w:b w:val="0"/>
          <w:sz w:val="22"/>
          <w:szCs w:val="22"/>
        </w:rPr>
        <w:t xml:space="preserve">; nie wskazano, że Teatr użytkuje program </w:t>
      </w:r>
      <w:proofErr w:type="spellStart"/>
      <w:r w:rsidRPr="004819FF">
        <w:rPr>
          <w:rFonts w:asciiTheme="minorHAnsi" w:hAnsiTheme="minorHAnsi" w:cstheme="minorHAnsi"/>
          <w:b w:val="0"/>
          <w:sz w:val="22"/>
          <w:szCs w:val="22"/>
          <w:lang w:val="en-US" w:eastAsia="en-US" w:bidi="en-US"/>
        </w:rPr>
        <w:t>Comarch</w:t>
      </w:r>
      <w:proofErr w:type="spellEnd"/>
      <w:r w:rsidRPr="004819FF">
        <w:rPr>
          <w:rFonts w:asciiTheme="minorHAnsi" w:hAnsiTheme="minorHAnsi" w:cstheme="minorHAnsi"/>
          <w:b w:val="0"/>
          <w:sz w:val="22"/>
          <w:szCs w:val="22"/>
          <w:lang w:val="en-US" w:eastAsia="en-US" w:bidi="en-US"/>
        </w:rPr>
        <w:t xml:space="preserve"> </w:t>
      </w:r>
      <w:r w:rsidRPr="004819FF">
        <w:rPr>
          <w:rFonts w:asciiTheme="minorHAnsi" w:hAnsiTheme="minorHAnsi" w:cstheme="minorHAnsi"/>
          <w:b w:val="0"/>
          <w:sz w:val="22"/>
          <w:szCs w:val="22"/>
        </w:rPr>
        <w:t>ERP Optima, który jak ustalono, wykorzystany był przy przeprowadzonej w Teatrze inwentaryzacji.</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wyniku kontroli prawidłowości prowadzenia ksiąg rachunkowych ustalono, że w Teatrze dokonywano zapisów na kontach księgowych</w:t>
      </w:r>
      <w:r w:rsidRPr="004819FF">
        <w:rPr>
          <w:rFonts w:asciiTheme="minorHAnsi" w:hAnsiTheme="minorHAnsi" w:cstheme="minorHAnsi"/>
          <w:b w:val="0"/>
          <w:sz w:val="22"/>
          <w:szCs w:val="22"/>
          <w:vertAlign w:val="superscript"/>
        </w:rPr>
        <w:footnoteReference w:id="7"/>
      </w:r>
      <w:r w:rsidRPr="004819FF">
        <w:rPr>
          <w:rFonts w:asciiTheme="minorHAnsi" w:hAnsiTheme="minorHAnsi" w:cstheme="minorHAnsi"/>
          <w:b w:val="0"/>
          <w:sz w:val="22"/>
          <w:szCs w:val="22"/>
        </w:rPr>
        <w:t xml:space="preserve">, które nie zostały uwzględnione w ww. dokumentacji, czym nie dochowano postanowień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 ust. 1,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5 ust. 1 ustawy o rachunkowości.</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sprawie nieaktualizowania dokumentacji opisującej zasady (politykę) rachunkowości, stosownie do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10 ust. 2 ustawy o rachunkowości, Główna księgowa wyjaśniła: „(..) Nowy Teatr aktualizuje „Politykę </w:t>
      </w:r>
      <w:r w:rsidRPr="004819FF">
        <w:rPr>
          <w:rFonts w:asciiTheme="minorHAnsi" w:hAnsiTheme="minorHAnsi" w:cstheme="minorHAnsi"/>
          <w:b w:val="0"/>
          <w:sz w:val="22"/>
          <w:szCs w:val="22"/>
        </w:rPr>
        <w:lastRenderedPageBreak/>
        <w:t xml:space="preserve">rachunkowości" i dołoży wszelkich starań aby były w niej zawarte wszystkie obowiązujące informacje (..)". Wskazać należy, że ww. przepis ustawy o rachunkowości nakłada na kierownika jednostki obowiązek ustalenia w formie pisemnej i aktualizację dokumentacji opisującej zasady (politykę) rachunkowości. Niedokonanie jej aktualizacji wskazuje na niedopełnienie obowiązku określonego w § 8 pkt 6 w zw. z § 5 zarządzenia nr </w:t>
      </w:r>
      <w:r w:rsidRPr="004819FF">
        <w:rPr>
          <w:rFonts w:asciiTheme="minorHAnsi" w:hAnsiTheme="minorHAnsi" w:cstheme="minorHAnsi"/>
          <w:b w:val="0"/>
          <w:sz w:val="22"/>
          <w:szCs w:val="22"/>
          <w:lang w:val="ru-RU" w:eastAsia="ru-RU" w:bidi="ru-RU"/>
        </w:rPr>
        <w:t xml:space="preserve">1613/2011 </w:t>
      </w:r>
      <w:r w:rsidRPr="004819FF">
        <w:rPr>
          <w:rFonts w:asciiTheme="minorHAnsi" w:hAnsiTheme="minorHAnsi" w:cstheme="minorHAnsi"/>
          <w:b w:val="0"/>
          <w:sz w:val="22"/>
          <w:szCs w:val="22"/>
        </w:rPr>
        <w:t xml:space="preserve">Prezydenta m.st. Warszawy z dnia </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11 października 2011 r.</w:t>
      </w:r>
      <w:r w:rsidRPr="004819FF">
        <w:rPr>
          <w:rFonts w:asciiTheme="minorHAnsi" w:hAnsiTheme="minorHAnsi" w:cstheme="minorHAnsi"/>
          <w:b w:val="0"/>
          <w:sz w:val="22"/>
          <w:szCs w:val="22"/>
          <w:vertAlign w:val="superscript"/>
        </w:rPr>
        <w:footnoteReference w:id="8"/>
      </w:r>
      <w:r w:rsidRPr="004819FF">
        <w:rPr>
          <w:rFonts w:asciiTheme="minorHAnsi" w:hAnsiTheme="minorHAnsi" w:cstheme="minorHAnsi"/>
          <w:b w:val="0"/>
          <w:sz w:val="22"/>
          <w:szCs w:val="22"/>
        </w:rPr>
        <w:t xml:space="preserve"> Ponadto wskazać należy, że postanowienia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68 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69 ust. 1 pkt 3 </w:t>
      </w:r>
      <w:r w:rsidR="009C41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ustawy z dnia 27 sierpnia 2009 r. o finansach publicznych</w:t>
      </w:r>
      <w:r w:rsidRPr="004819FF">
        <w:rPr>
          <w:rFonts w:asciiTheme="minorHAnsi" w:hAnsiTheme="minorHAnsi" w:cstheme="minorHAnsi"/>
          <w:b w:val="0"/>
          <w:sz w:val="22"/>
          <w:szCs w:val="22"/>
          <w:vertAlign w:val="superscript"/>
        </w:rPr>
        <w:footnoteReference w:id="9"/>
      </w:r>
      <w:r w:rsidRPr="004819FF">
        <w:rPr>
          <w:rFonts w:asciiTheme="minorHAnsi" w:hAnsiTheme="minorHAnsi" w:cstheme="minorHAnsi"/>
          <w:b w:val="0"/>
          <w:sz w:val="22"/>
          <w:szCs w:val="22"/>
        </w:rPr>
        <w:t xml:space="preserve"> zobowiązują kierownika jednostki do ustalenia zasad kontroli zarządczej, której częścią jest kontrola finansowa operacji gospodarczych</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finansowych oraz dokumentów związanych z tymi operacjami. W świetle standardów kontroli zarządczej (standard 10 Dokumentowanie systemu kontroli zarządczej) procedury wewnętrzne, instrukcje, wytyczne, dokumenty określające zakres obowiązków, uprawnień i odpowiedzialności pracowników i inne dokumenty wewnętrzne - w tym polityka rachunkowości - stanowią dokumentację systemu kontroli zarządczej.</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Zarządzeniem nr </w:t>
      </w:r>
      <w:r w:rsidRPr="004819FF">
        <w:rPr>
          <w:rFonts w:asciiTheme="minorHAnsi" w:hAnsiTheme="minorHAnsi" w:cstheme="minorHAnsi"/>
          <w:b w:val="0"/>
          <w:sz w:val="22"/>
          <w:szCs w:val="22"/>
          <w:lang w:val="ru-RU" w:eastAsia="ru-RU" w:bidi="ru-RU"/>
        </w:rPr>
        <w:t xml:space="preserve">11/2015 </w:t>
      </w:r>
      <w:r w:rsidRPr="004819FF">
        <w:rPr>
          <w:rFonts w:asciiTheme="minorHAnsi" w:hAnsiTheme="minorHAnsi" w:cstheme="minorHAnsi"/>
          <w:b w:val="0"/>
          <w:sz w:val="22"/>
          <w:szCs w:val="22"/>
        </w:rPr>
        <w:t>Dyrektora Teatru z 24 lipca 2015 r. wprowadzono „Instrukcję obiegu</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kontroli dokumentów", „Zasady postępowania z majątkiem rzeczowym Teatru" oraz „Instrukcję dotycząca gospodarki pieniężnej Teatru".</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Podstawą gospodarki finansowej Teatru na 2021rok był plan finansowy, zatwierdzony przez Dyrektora, przedłożony do Biura Kultury Urzędu m.st. Warszawy.</w:t>
      </w:r>
    </w:p>
    <w:p w:rsidR="001146A5" w:rsidRPr="004819FF" w:rsidRDefault="00995131" w:rsidP="004819FF">
      <w:pPr>
        <w:pStyle w:val="Bodytext20"/>
        <w:shd w:val="clear" w:color="auto" w:fill="auto"/>
        <w:spacing w:before="120" w:after="240" w:line="300" w:lineRule="auto"/>
        <w:ind w:right="-604"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2021 roku przychody ogółem Teatru wyniosły 15 403 465,32 zł</w:t>
      </w:r>
      <w:r w:rsidRPr="004819FF">
        <w:rPr>
          <w:rFonts w:asciiTheme="minorHAnsi" w:hAnsiTheme="minorHAnsi" w:cstheme="minorHAnsi"/>
          <w:b w:val="0"/>
          <w:sz w:val="22"/>
          <w:szCs w:val="22"/>
          <w:vertAlign w:val="superscript"/>
        </w:rPr>
        <w:footnoteReference w:id="10"/>
      </w:r>
      <w:r w:rsidRPr="004819FF">
        <w:rPr>
          <w:rFonts w:asciiTheme="minorHAnsi" w:hAnsiTheme="minorHAnsi" w:cstheme="minorHAnsi"/>
          <w:b w:val="0"/>
          <w:sz w:val="22"/>
          <w:szCs w:val="22"/>
        </w:rPr>
        <w:t xml:space="preserve"> (100% planu przychodów), </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tym organizator przekazał dotację podmiotową w kwocie 9 085 249,00 zł (65% przychodów ogółem) oraz dotację celową na zadanie „Festiwal Nowa Europa" w kwocie 1000 000,00 zł; środki na realizację zadań artystycznych od podmiotów zewnętrznych Teatr otrzymał na łączną kwotę </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36 500 zł</w:t>
      </w:r>
      <w:r w:rsidRPr="004819FF">
        <w:rPr>
          <w:rFonts w:asciiTheme="minorHAnsi" w:hAnsiTheme="minorHAnsi" w:cstheme="minorHAnsi"/>
          <w:b w:val="0"/>
          <w:sz w:val="22"/>
          <w:szCs w:val="22"/>
          <w:vertAlign w:val="superscript"/>
        </w:rPr>
        <w:footnoteReference w:id="11"/>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vertAlign w:val="superscript"/>
        </w:rPr>
        <w:footnoteReference w:id="12"/>
      </w:r>
      <w:r w:rsidRPr="004819FF">
        <w:rPr>
          <w:rFonts w:asciiTheme="minorHAnsi" w:hAnsiTheme="minorHAnsi" w:cstheme="minorHAnsi"/>
          <w:b w:val="0"/>
          <w:sz w:val="22"/>
          <w:szCs w:val="22"/>
        </w:rPr>
        <w:t>; przychody z prowadzenia działalności statutowej wyniosły łącznie 2 478 558,99 zł; z tytułu najmu pomieszczeń i sprzętu uzyskano kwotę 517 419,84 zł; pozostałe przychody wyniosły</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771 113,63 zł.</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Do 30 kwietnia 2022 r. organizator przekazał dotację podmiotową w kwocie 3 010 000,00 zł </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ru-RU" w:eastAsia="ru-RU" w:bidi="ru-RU"/>
        </w:rPr>
        <w:t xml:space="preserve">(1/3 </w:t>
      </w:r>
      <w:r w:rsidRPr="004819FF">
        <w:rPr>
          <w:rFonts w:asciiTheme="minorHAnsi" w:hAnsiTheme="minorHAnsi" w:cstheme="minorHAnsi"/>
          <w:b w:val="0"/>
          <w:sz w:val="22"/>
          <w:szCs w:val="22"/>
        </w:rPr>
        <w:t xml:space="preserve">planowanej kwoty dotacji), przychody z prowadzenia działalności statutowej wyniosły łącznie 1258 </w:t>
      </w:r>
      <w:r w:rsidRPr="004819FF">
        <w:rPr>
          <w:rFonts w:asciiTheme="minorHAnsi" w:hAnsiTheme="minorHAnsi" w:cstheme="minorHAnsi"/>
          <w:b w:val="0"/>
          <w:sz w:val="22"/>
          <w:szCs w:val="22"/>
        </w:rPr>
        <w:lastRenderedPageBreak/>
        <w:t>806,74 zł; z tytułu najmu pomieszczeń uzyskano kwotę 61 211,00 zł; pozostałe przychody wyniosły 28 909,90 zł.</w:t>
      </w:r>
    </w:p>
    <w:p w:rsidR="0047346B" w:rsidRPr="004819FF" w:rsidRDefault="00995131" w:rsidP="009C7058">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Zasady najmu wraz z ustaleniem stawek odpłatności określono w Zarządzeniu nr </w:t>
      </w:r>
      <w:r w:rsidRPr="004819FF">
        <w:rPr>
          <w:rFonts w:asciiTheme="minorHAnsi" w:hAnsiTheme="minorHAnsi" w:cstheme="minorHAnsi"/>
          <w:b w:val="0"/>
          <w:sz w:val="22"/>
          <w:szCs w:val="22"/>
          <w:lang w:val="ru-RU" w:eastAsia="ru-RU" w:bidi="ru-RU"/>
        </w:rPr>
        <w:t xml:space="preserve">6/2019 </w:t>
      </w:r>
      <w:r w:rsidRPr="004819FF">
        <w:rPr>
          <w:rFonts w:asciiTheme="minorHAnsi" w:hAnsiTheme="minorHAnsi" w:cstheme="minorHAnsi"/>
          <w:b w:val="0"/>
          <w:sz w:val="22"/>
          <w:szCs w:val="22"/>
        </w:rPr>
        <w:t xml:space="preserve">Dyrektora Teatru z 4 kwietnia 2019 </w:t>
      </w:r>
      <w:proofErr w:type="spellStart"/>
      <w:r w:rsidRPr="004819FF">
        <w:rPr>
          <w:rStyle w:val="Bodytext295ptItalicScaling750"/>
          <w:rFonts w:asciiTheme="minorHAnsi" w:hAnsiTheme="minorHAnsi" w:cstheme="minorHAnsi"/>
          <w:bCs/>
          <w:sz w:val="22"/>
          <w:szCs w:val="22"/>
        </w:rPr>
        <w:t>r.</w:t>
      </w:r>
      <w:r w:rsidRPr="004819FF">
        <w:rPr>
          <w:rStyle w:val="Bodytext295ptItalicScaling750"/>
          <w:rFonts w:asciiTheme="minorHAnsi" w:hAnsiTheme="minorHAnsi" w:cstheme="minorHAnsi"/>
          <w:bCs/>
          <w:sz w:val="22"/>
          <w:szCs w:val="22"/>
          <w:vertAlign w:val="superscript"/>
        </w:rPr>
        <w:t>n</w:t>
      </w:r>
      <w:proofErr w:type="spellEnd"/>
      <w:r w:rsidRPr="004819FF">
        <w:rPr>
          <w:rFonts w:asciiTheme="minorHAnsi" w:hAnsiTheme="minorHAnsi" w:cstheme="minorHAnsi"/>
          <w:b w:val="0"/>
          <w:sz w:val="22"/>
          <w:szCs w:val="22"/>
        </w:rPr>
        <w:t xml:space="preserve"> W latach 2021-2022 Teatr podpisał łącznie 13 umów (12 w 2021 roku </w:t>
      </w:r>
      <w:r w:rsidR="0047346B"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i 1 w 2022 roku) na najem powierzchni, w tym 2 umowy długookresowe</w:t>
      </w:r>
      <w:r w:rsidRPr="004819FF">
        <w:rPr>
          <w:rFonts w:asciiTheme="minorHAnsi" w:hAnsiTheme="minorHAnsi" w:cstheme="minorHAnsi"/>
          <w:b w:val="0"/>
          <w:sz w:val="22"/>
          <w:szCs w:val="22"/>
          <w:vertAlign w:val="superscript"/>
        </w:rPr>
        <w:footnoteReference w:id="13"/>
      </w:r>
      <w:r w:rsidRPr="004819FF">
        <w:rPr>
          <w:rFonts w:asciiTheme="minorHAnsi" w:hAnsiTheme="minorHAnsi" w:cstheme="minorHAnsi"/>
          <w:b w:val="0"/>
          <w:sz w:val="22"/>
          <w:szCs w:val="22"/>
        </w:rPr>
        <w:t>. Na podstawie 13 umów (próba 100%) zawartych w ww. okresie oraz umowy długookresowej z 2018 roku</w:t>
      </w:r>
      <w:r w:rsidRPr="004819FF">
        <w:rPr>
          <w:rFonts w:asciiTheme="minorHAnsi" w:hAnsiTheme="minorHAnsi" w:cstheme="minorHAnsi"/>
          <w:b w:val="0"/>
          <w:sz w:val="22"/>
          <w:szCs w:val="22"/>
          <w:vertAlign w:val="superscript"/>
        </w:rPr>
        <w:footnoteReference w:id="14"/>
      </w:r>
      <w:r w:rsidRPr="004819FF">
        <w:rPr>
          <w:rFonts w:asciiTheme="minorHAnsi" w:hAnsiTheme="minorHAnsi" w:cstheme="minorHAnsi"/>
          <w:b w:val="0"/>
          <w:sz w:val="22"/>
          <w:szCs w:val="22"/>
        </w:rPr>
        <w:t>, ustalono, że umowy z najemcami były zawierane na zasadach określonych w ww. zarządzeniu. Umowy długoterminowe związane były z wynajmem części powierzchni Teatru z przeznaczeniem na prowadzenie działalności gastronomicznej.</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Zasady wynagradzania pracowników określono w Zarządzeniu nr </w:t>
      </w:r>
      <w:r w:rsidRPr="004819FF">
        <w:rPr>
          <w:rFonts w:asciiTheme="minorHAnsi" w:hAnsiTheme="minorHAnsi" w:cstheme="minorHAnsi"/>
          <w:b w:val="0"/>
          <w:sz w:val="22"/>
          <w:szCs w:val="22"/>
          <w:lang w:val="ru-RU" w:eastAsia="ru-RU" w:bidi="ru-RU"/>
        </w:rPr>
        <w:t xml:space="preserve">9/2017 </w:t>
      </w:r>
      <w:r w:rsidRPr="004819FF">
        <w:rPr>
          <w:rFonts w:asciiTheme="minorHAnsi" w:hAnsiTheme="minorHAnsi" w:cstheme="minorHAnsi"/>
          <w:b w:val="0"/>
          <w:sz w:val="22"/>
          <w:szCs w:val="22"/>
        </w:rPr>
        <w:t xml:space="preserve">z 7 lipca 2017 r. w sprawie Regulaminu Wynagradzania Pracowników Teatru, zmienionym zarządzeniem nr </w:t>
      </w:r>
      <w:r w:rsidRPr="004819FF">
        <w:rPr>
          <w:rFonts w:asciiTheme="minorHAnsi" w:hAnsiTheme="minorHAnsi" w:cstheme="minorHAnsi"/>
          <w:b w:val="0"/>
          <w:sz w:val="22"/>
          <w:szCs w:val="22"/>
          <w:lang w:val="ru-RU" w:eastAsia="ru-RU" w:bidi="ru-RU"/>
        </w:rPr>
        <w:t xml:space="preserve">04/2022 </w:t>
      </w:r>
      <w:r w:rsidRPr="004819FF">
        <w:rPr>
          <w:rFonts w:asciiTheme="minorHAnsi" w:hAnsiTheme="minorHAnsi" w:cstheme="minorHAnsi"/>
          <w:b w:val="0"/>
          <w:sz w:val="22"/>
          <w:szCs w:val="22"/>
        </w:rPr>
        <w:t xml:space="preserve">z 1 kwietnia 2022 r. W załączniku nr 1 do zarządzenia w „Tabeli stanowisk i maksymalnego wynagrodzenia zasadniczego" ustalono wykaz stanowisk pracy oraz wyłącznie kwotę maksymalnego wynagrodzenia zasadniczego na danym stanowisku. Wskazać należy, że w związku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77</w:t>
      </w:r>
      <w:r w:rsidRPr="004819FF">
        <w:rPr>
          <w:rFonts w:asciiTheme="minorHAnsi" w:hAnsiTheme="minorHAnsi" w:cstheme="minorHAnsi"/>
          <w:b w:val="0"/>
          <w:sz w:val="22"/>
          <w:szCs w:val="22"/>
          <w:vertAlign w:val="superscript"/>
        </w:rPr>
        <w:t>2</w:t>
      </w:r>
      <w:r w:rsidRPr="004819FF">
        <w:rPr>
          <w:rFonts w:asciiTheme="minorHAnsi" w:hAnsiTheme="minorHAnsi" w:cstheme="minorHAnsi"/>
          <w:b w:val="0"/>
          <w:sz w:val="22"/>
          <w:szCs w:val="22"/>
        </w:rPr>
        <w:t xml:space="preserve"> § 1 ustawy z dnia </w:t>
      </w:r>
      <w:r w:rsidR="00B002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26 czerwca 1974 r. Kodeks pracy</w:t>
      </w:r>
      <w:r w:rsidRPr="004819FF">
        <w:rPr>
          <w:rFonts w:asciiTheme="minorHAnsi" w:hAnsiTheme="minorHAnsi" w:cstheme="minorHAnsi"/>
          <w:b w:val="0"/>
          <w:sz w:val="22"/>
          <w:szCs w:val="22"/>
          <w:vertAlign w:val="superscript"/>
        </w:rPr>
        <w:footnoteReference w:id="15"/>
      </w:r>
      <w:r w:rsidRPr="004819FF">
        <w:rPr>
          <w:rFonts w:asciiTheme="minorHAnsi" w:hAnsiTheme="minorHAnsi" w:cstheme="minorHAnsi"/>
          <w:b w:val="0"/>
          <w:sz w:val="22"/>
          <w:szCs w:val="22"/>
        </w:rPr>
        <w:t xml:space="preserve"> pracodawcy zatrudniający co najmniej 50 pracowników, nie objętych zakładowym układem zbiorowym pracy ani ponadzakładowym układem zbiorowym pracy, ustalają warunki wynagradzania za pracę w regulaminie wynagradzania - który zgodnie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9</w:t>
      </w:r>
      <w:r w:rsidR="00B002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ustawy Kodeks pracy jest aktem normatywnym w zakresie praw pracowniczych - tak aby nie uchybić przepisom ww. ustawy, w szczególności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II</w:t>
      </w:r>
      <w:r w:rsidRPr="004819FF">
        <w:rPr>
          <w:rFonts w:asciiTheme="minorHAnsi" w:hAnsiTheme="minorHAnsi" w:cstheme="minorHAnsi"/>
          <w:b w:val="0"/>
          <w:sz w:val="22"/>
          <w:szCs w:val="22"/>
          <w:vertAlign w:val="superscript"/>
        </w:rPr>
        <w:t>2</w:t>
      </w:r>
      <w:r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II</w:t>
      </w:r>
      <w:r w:rsidRPr="004819FF">
        <w:rPr>
          <w:rFonts w:asciiTheme="minorHAnsi" w:hAnsiTheme="minorHAnsi" w:cstheme="minorHAnsi"/>
          <w:b w:val="0"/>
          <w:sz w:val="22"/>
          <w:szCs w:val="22"/>
          <w:vertAlign w:val="superscript"/>
        </w:rPr>
        <w:t>3</w:t>
      </w:r>
      <w:r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13,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18</w:t>
      </w:r>
      <w:r w:rsidRPr="004819FF">
        <w:rPr>
          <w:rFonts w:asciiTheme="minorHAnsi" w:hAnsiTheme="minorHAnsi" w:cstheme="minorHAnsi"/>
          <w:b w:val="0"/>
          <w:sz w:val="22"/>
          <w:szCs w:val="22"/>
          <w:vertAlign w:val="superscript"/>
        </w:rPr>
        <w:t>33</w:t>
      </w:r>
      <w:r w:rsidRPr="004819FF">
        <w:rPr>
          <w:rFonts w:asciiTheme="minorHAnsi" w:hAnsiTheme="minorHAnsi" w:cstheme="minorHAnsi"/>
          <w:b w:val="0"/>
          <w:sz w:val="22"/>
          <w:szCs w:val="22"/>
        </w:rPr>
        <w:t xml:space="preserve"> § 4,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18</w:t>
      </w:r>
      <w:r w:rsidRPr="004819FF">
        <w:rPr>
          <w:rFonts w:asciiTheme="minorHAnsi" w:hAnsiTheme="minorHAnsi" w:cstheme="minorHAnsi"/>
          <w:b w:val="0"/>
          <w:sz w:val="22"/>
          <w:szCs w:val="22"/>
          <w:vertAlign w:val="superscript"/>
        </w:rPr>
        <w:t>3c</w:t>
      </w:r>
      <w:r w:rsidRPr="004819FF">
        <w:rPr>
          <w:rFonts w:asciiTheme="minorHAnsi" w:hAnsiTheme="minorHAnsi" w:cstheme="minorHAnsi"/>
          <w:b w:val="0"/>
          <w:sz w:val="22"/>
          <w:szCs w:val="22"/>
        </w:rPr>
        <w:t>. Określenie stawek wynagrodzeń powinno co do zasady umożliwiać pracodawcy ustalenie wynagrodzenia pracownika nie tylko przy uwzględnianiu spełnienia wymogów formalnych dla stanowiska, ale też przewidywać pewien zakres swobody decyzyjnej w sferze indywidualnej oceny pracownika, jednakże tak rozumiany przywilej nie może być utożsamiany z prawem do nieograniczonego uznania. Granicą uznaniowości pracodawcy w sferze ustalenia wynagrodzenia pracownika są tzw. dolne i górne kategorie zaszeregowania/stawki wynagrodzeń. Określnie przedziału kategorii zaszeregowania dla danego stanowiska w połączeniu z warunkami wynagrodzenia zasadniczego (stawki), wymaganych kwalifikacji do zatrudnienia na stanowisku, pozwalają na ustalanie wynagrodzenia konkretnego pracownika przy uwzględnieniu jego wykształcenia, umiejętności i przypisania mu odpowiedniego stanowiska, w sposób przejrzysty, poddający się kontroli, obiektywnie mierzalny i porównywalny,</w:t>
      </w:r>
      <w:r w:rsidR="00B002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a nie w sposób arbitralny leżący w sferze wyłącznego uznania pracodawcy. Wyznaczenie ustalonych reguł i zasad wynagradzania powinny </w:t>
      </w:r>
      <w:r w:rsidRPr="004819FF">
        <w:rPr>
          <w:rFonts w:asciiTheme="minorHAnsi" w:hAnsiTheme="minorHAnsi" w:cstheme="minorHAnsi"/>
          <w:b w:val="0"/>
          <w:sz w:val="22"/>
          <w:szCs w:val="22"/>
        </w:rPr>
        <w:lastRenderedPageBreak/>
        <w:t>również stanowić dla pracownika czytelne granice jego możliwości zarobkowych na danym stanowisku.</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ww. Tabeli nie określono stawki wynagrodzenia dla pracowników zatrudnionych w Teatrze na stanowisku młodszy specjalista/młodszy producent. W sprawie Dyrektor Teatru wyjaśniała: „Osoby (..) pomimo że nie figurowały w tabeli wynagrodzeń, otrzymywały wynagrodzenie odpowiadające wynagrodzeniu specjalisty i producenta. Dodanie przymiotnika „młodszy" miało na celu zaznaczenie mniejszego stażu i doświadczenia (..)". Brak określenia zasad wynagradzania na stanowisku, na którym został zatrudniony pracownik, stanowi naruszenie ww. przepisów Kodeksu pracy oraz wskazuje na niedopełnienie obowiązku określonego w § 8 pkt 6, w związku z § 5, zarządzenia</w:t>
      </w:r>
      <w:r w:rsidR="00B002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nr </w:t>
      </w:r>
      <w:r w:rsidRPr="004819FF">
        <w:rPr>
          <w:rFonts w:asciiTheme="minorHAnsi" w:hAnsiTheme="minorHAnsi" w:cstheme="minorHAnsi"/>
          <w:b w:val="0"/>
          <w:sz w:val="22"/>
          <w:szCs w:val="22"/>
          <w:lang w:val="ru-RU" w:eastAsia="ru-RU" w:bidi="ru-RU"/>
        </w:rPr>
        <w:t xml:space="preserve">1613/2011 </w:t>
      </w:r>
      <w:r w:rsidRPr="004819FF">
        <w:rPr>
          <w:rFonts w:asciiTheme="minorHAnsi" w:hAnsiTheme="minorHAnsi" w:cstheme="minorHAnsi"/>
          <w:b w:val="0"/>
          <w:sz w:val="22"/>
          <w:szCs w:val="22"/>
        </w:rPr>
        <w:t>Prezydenta m.st. Warszawy z dnia 11 października 2011 r.</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Stan zatrudnienia w Teatrze na początek 2021 roku wynosił 83 osób (w wymiarze 79,925 etatu), wg stanu na 31 grudnia 2021 r. zatrudnionych było 82 osób (80 etatów); wg stanu na</w:t>
      </w:r>
      <w:r w:rsidR="00B0028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30 kwietnia 2022 r. zatrudnione było 83 osoby (81 etatów).</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Na podstawie 9 losowo wybranych akt osobowych (próba 8% ogółu zatrudnionych wg stanu na</w:t>
      </w:r>
    </w:p>
    <w:p w:rsidR="001146A5" w:rsidRPr="004819FF" w:rsidRDefault="00995131" w:rsidP="004819FF">
      <w:pPr>
        <w:pStyle w:val="Bodytext20"/>
        <w:shd w:val="clear" w:color="auto" w:fill="auto"/>
        <w:tabs>
          <w:tab w:val="left" w:pos="7507"/>
          <w:tab w:val="left" w:leader="underscore" w:pos="7800"/>
        </w:tabs>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30 kwietnia 202</w:t>
      </w:r>
      <w:r w:rsidR="00B00280" w:rsidRPr="004819FF">
        <w:rPr>
          <w:rFonts w:asciiTheme="minorHAnsi" w:hAnsiTheme="minorHAnsi" w:cstheme="minorHAnsi"/>
          <w:b w:val="0"/>
          <w:sz w:val="22"/>
          <w:szCs w:val="22"/>
        </w:rPr>
        <w:t xml:space="preserve">2 r.) ustalono, że w przypadku </w:t>
      </w:r>
      <w:r w:rsidRPr="004819FF">
        <w:rPr>
          <w:rFonts w:asciiTheme="minorHAnsi" w:hAnsiTheme="minorHAnsi" w:cstheme="minorHAnsi"/>
          <w:b w:val="0"/>
          <w:sz w:val="22"/>
          <w:szCs w:val="22"/>
        </w:rPr>
        <w:tab/>
      </w:r>
      <w:r w:rsidRPr="004819FF">
        <w:rPr>
          <w:rFonts w:asciiTheme="minorHAnsi" w:hAnsiTheme="minorHAnsi" w:cstheme="minorHAnsi"/>
          <w:b w:val="0"/>
          <w:sz w:val="22"/>
          <w:szCs w:val="22"/>
        </w:rPr>
        <w:tab/>
      </w:r>
    </w:p>
    <w:p w:rsidR="001146A5" w:rsidRPr="004819FF" w:rsidRDefault="00995131" w:rsidP="004819FF">
      <w:pPr>
        <w:pStyle w:val="Bodytext20"/>
        <w:shd w:val="clear" w:color="auto" w:fill="auto"/>
        <w:tabs>
          <w:tab w:val="left" w:pos="5189"/>
        </w:tabs>
        <w:spacing w:before="120" w:after="240" w:line="300" w:lineRule="auto"/>
        <w:ind w:left="4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&lt;</w:t>
      </w:r>
      <w:r w:rsidRPr="004819FF">
        <w:rPr>
          <w:rFonts w:asciiTheme="minorHAnsi" w:hAnsiTheme="minorHAnsi" w:cstheme="minorHAnsi"/>
          <w:b w:val="0"/>
          <w:sz w:val="22"/>
          <w:szCs w:val="22"/>
        </w:rPr>
        <w:tab/>
      </w:r>
      <w:proofErr w:type="spellStart"/>
      <w:r w:rsidRPr="004819FF">
        <w:rPr>
          <w:rFonts w:asciiTheme="minorHAnsi" w:hAnsiTheme="minorHAnsi" w:cstheme="minorHAnsi"/>
          <w:b w:val="0"/>
          <w:sz w:val="22"/>
          <w:szCs w:val="22"/>
        </w:rPr>
        <w:t>ikres</w:t>
      </w:r>
      <w:proofErr w:type="spellEnd"/>
      <w:r w:rsidRPr="004819FF">
        <w:rPr>
          <w:rFonts w:asciiTheme="minorHAnsi" w:hAnsiTheme="minorHAnsi" w:cstheme="minorHAnsi"/>
          <w:b w:val="0"/>
          <w:sz w:val="22"/>
          <w:szCs w:val="22"/>
        </w:rPr>
        <w:t xml:space="preserve"> obowiązków powierzonych</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pracownikowi nie był zbieżny z nazwą stanowiska pracy. Dyrektor Teatru wyjaśniła:,</w:t>
      </w:r>
    </w:p>
    <w:p w:rsidR="00993C11"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ą (..) pełniła</w:t>
      </w:r>
      <w:r w:rsidR="00993C11">
        <w:rPr>
          <w:rFonts w:asciiTheme="minorHAnsi" w:hAnsiTheme="minorHAnsi" w:cstheme="minorHAnsi"/>
          <w:b w:val="0"/>
          <w:sz w:val="22"/>
          <w:szCs w:val="22"/>
        </w:rPr>
        <w:t xml:space="preserve"> </w:t>
      </w:r>
    </w:p>
    <w:p w:rsidR="001146A5" w:rsidRPr="004819FF" w:rsidRDefault="00993C1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Pr>
          <w:rFonts w:asciiTheme="minorHAnsi" w:hAnsiTheme="minorHAnsi" w:cstheme="minorHAnsi"/>
          <w:b w:val="0"/>
          <w:sz w:val="22"/>
          <w:szCs w:val="22"/>
        </w:rPr>
        <w:t>nie pełniła funkcji s</w:t>
      </w:r>
    </w:p>
    <w:p w:rsidR="001146A5" w:rsidRPr="004819FF" w:rsidRDefault="00995131" w:rsidP="004819FF">
      <w:pPr>
        <w:pStyle w:val="Bodytext20"/>
        <w:shd w:val="clear" w:color="auto" w:fill="auto"/>
        <w:spacing w:before="120" w:after="240" w:line="300" w:lineRule="auto"/>
        <w:ind w:right="-887"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Błąd zostanie naprawiony W aktach osobowych 2 pracowników</w:t>
      </w:r>
      <w:r w:rsidRPr="004819FF">
        <w:rPr>
          <w:rFonts w:asciiTheme="minorHAnsi" w:hAnsiTheme="minorHAnsi" w:cstheme="minorHAnsi"/>
          <w:b w:val="0"/>
          <w:sz w:val="22"/>
          <w:szCs w:val="22"/>
          <w:vertAlign w:val="superscript"/>
        </w:rPr>
        <w:footnoteReference w:id="16"/>
      </w:r>
      <w:r w:rsidRPr="004819FF">
        <w:rPr>
          <w:rFonts w:asciiTheme="minorHAnsi" w:hAnsiTheme="minorHAnsi" w:cstheme="minorHAnsi"/>
          <w:b w:val="0"/>
          <w:sz w:val="22"/>
          <w:szCs w:val="22"/>
        </w:rPr>
        <w:t xml:space="preserve"> brak było dokumentów potwierdzających wykształcenie. W aktach osobowych znajdowało się oświadczenie pracownika o dobrowolnym dostarczeniu dokumentów, </w:t>
      </w:r>
      <w:r w:rsidR="00C105B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natomiast Teatr do dnia przeprowadzania kontroli nie wyegzekwował dokumentów. Nie zasługują na uwzględnienie wyjaśnienia Dyrektor Teatru: „(..} pracodawca może żądać od kandydata do pracy </w:t>
      </w:r>
      <w:r w:rsidR="00C105B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m.in. informacji o jego wykształceniu. Jest to jednak uprawnienie, a nie obowiązek pracodawcy (..)</w:t>
      </w:r>
      <w:r w:rsidR="00C105B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Teatr nie wymagał konkretnego poziomu wykształcenia</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rekrutację na ich stanowiska pracy {..)", gdyż wskazać należy, że zgodnie z § 32 ust. 1 pkt 2 załącznika do Regulaminu pracy Teatru</w:t>
      </w:r>
      <w:r w:rsidRPr="004819FF">
        <w:rPr>
          <w:rFonts w:asciiTheme="minorHAnsi" w:hAnsiTheme="minorHAnsi" w:cstheme="minorHAnsi"/>
          <w:b w:val="0"/>
          <w:sz w:val="22"/>
          <w:szCs w:val="22"/>
          <w:vertAlign w:val="superscript"/>
        </w:rPr>
        <w:footnoteReference w:id="17"/>
      </w:r>
      <w:r w:rsidRPr="004819FF">
        <w:rPr>
          <w:rFonts w:asciiTheme="minorHAnsi" w:hAnsiTheme="minorHAnsi" w:cstheme="minorHAnsi"/>
          <w:b w:val="0"/>
          <w:sz w:val="22"/>
          <w:szCs w:val="22"/>
        </w:rPr>
        <w:t xml:space="preserve">, osoba ubiegająca się o zatrudnienie w Teatrze powinna była złożyć świadectwo ukończenia szkoły. Ponadto, jak wskazano w § 2 ust. 2 lit. d) Regulaminu wynagradzania „Kryteria ustalenia wynagrodzenia zasadniczego stanowią w szczególności (..) wykształcenie". Ocenić </w:t>
      </w:r>
      <w:r w:rsidRPr="004819FF">
        <w:rPr>
          <w:rFonts w:asciiTheme="minorHAnsi" w:hAnsiTheme="minorHAnsi" w:cstheme="minorHAnsi"/>
          <w:b w:val="0"/>
          <w:sz w:val="22"/>
          <w:szCs w:val="22"/>
        </w:rPr>
        <w:lastRenderedPageBreak/>
        <w:t xml:space="preserve">należy, że brak informacji o poziomie wykształcenia kandydata do pracy, może stwarzać ryzyko zatrudnienia osoby nie spełniającej podstawowych standardów do zatrudnienia w samorządowej instytucji kultury, a tym samym niespełnienie standardu określnego w rozdziale IIA „Środowisko wewnętrzne", pkt 2 załącznika do komunikatu Ministra Finansów nr 23 z dnia 16 grudnia 2009 r. </w:t>
      </w:r>
      <w:r w:rsidR="00C105B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sprawie standardów kontroli zarządczej dla sektora finansów publicznych</w:t>
      </w:r>
      <w:r w:rsidRPr="004819FF">
        <w:rPr>
          <w:rFonts w:asciiTheme="minorHAnsi" w:hAnsiTheme="minorHAnsi" w:cstheme="minorHAnsi"/>
          <w:b w:val="0"/>
          <w:sz w:val="22"/>
          <w:szCs w:val="22"/>
          <w:vertAlign w:val="superscript"/>
        </w:rPr>
        <w:footnoteReference w:id="18"/>
      </w:r>
      <w:r w:rsidRPr="004819FF">
        <w:rPr>
          <w:rFonts w:asciiTheme="minorHAnsi" w:hAnsiTheme="minorHAnsi" w:cstheme="minorHAnsi"/>
          <w:b w:val="0"/>
          <w:sz w:val="22"/>
          <w:szCs w:val="22"/>
        </w:rPr>
        <w:t>.</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Na podstawie list płac sporządzonych za czerwiec i listopad 2021 roku oraz losowo wybranych akt osobowych 9 pracowników zatrudnionych w Teatrze</w:t>
      </w:r>
      <w:r w:rsidRPr="004819FF">
        <w:rPr>
          <w:rFonts w:asciiTheme="minorHAnsi" w:hAnsiTheme="minorHAnsi" w:cstheme="minorHAnsi"/>
          <w:b w:val="0"/>
          <w:sz w:val="22"/>
          <w:szCs w:val="22"/>
          <w:vertAlign w:val="superscript"/>
        </w:rPr>
        <w:footnoteReference w:id="19"/>
      </w:r>
      <w:r w:rsidRPr="004819FF">
        <w:rPr>
          <w:rFonts w:asciiTheme="minorHAnsi" w:hAnsiTheme="minorHAnsi" w:cstheme="minorHAnsi"/>
          <w:b w:val="0"/>
          <w:sz w:val="22"/>
          <w:szCs w:val="22"/>
        </w:rPr>
        <w:t xml:space="preserve"> ustalono, że wynagrodzenia wypłacane były zgodnie z indywidualnie przyznanymi składnikami określonymi w umowach o pracę oraz </w:t>
      </w:r>
      <w:r w:rsidR="00C105B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Regulaminie wynagradzania.</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Koszty działalności Teatru w 2021 roku wyniosły łącznie 16 020 849,35 zł. W strukturze wydatków, wynagrodzenia wraz z pochodnymi od wynagrodzeń i inne świadczenia na rzecz pracowników wyniosły łącznie 8 783 733,51 zł (55% ogółu kosztów), w tym koszty wynagrodzeń z tytułu umów cywilnoprawnych wyniosły w 2021 roku łącznie 2 169 685,74 zł, do 30 kwietnia 2022 r. koszty te wyniosły 749 785,59 zł.</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Zarządzeniem nr </w:t>
      </w:r>
      <w:r w:rsidRPr="004819FF">
        <w:rPr>
          <w:rFonts w:asciiTheme="minorHAnsi" w:hAnsiTheme="minorHAnsi" w:cstheme="minorHAnsi"/>
          <w:b w:val="0"/>
          <w:sz w:val="22"/>
          <w:szCs w:val="22"/>
          <w:lang w:val="ru-RU" w:eastAsia="ru-RU" w:bidi="ru-RU"/>
        </w:rPr>
        <w:t xml:space="preserve">28/2019 </w:t>
      </w:r>
      <w:r w:rsidRPr="004819FF">
        <w:rPr>
          <w:rFonts w:asciiTheme="minorHAnsi" w:hAnsiTheme="minorHAnsi" w:cstheme="minorHAnsi"/>
          <w:b w:val="0"/>
          <w:sz w:val="22"/>
          <w:szCs w:val="22"/>
        </w:rPr>
        <w:t xml:space="preserve">Dyrektora z 31 grudnia 2019 r. w sprawie rejestrów umów komórek organizacyjnych Teatru ustalono, że każda komórka organizacyjna Teatru prowadzi odrębny rejestr umów. Łącznie w Teatrze prowadzono 13 rejestrów, w których w latach 2021-2022 ujęto 755 umów </w:t>
      </w:r>
      <w:r w:rsidR="00EC19FC"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o dzieło i umów zlecenia, w tym 102 umowy zawarto z pracownikami Teatru. W Teatrze nie określono jednolitego wzoru rejestru, przez co rejestry prowadzone w poszczególnych komórkach</w:t>
      </w:r>
      <w:r w:rsidRPr="004819FF">
        <w:rPr>
          <w:rFonts w:asciiTheme="minorHAnsi" w:hAnsiTheme="minorHAnsi" w:cstheme="minorHAnsi"/>
          <w:b w:val="0"/>
          <w:sz w:val="22"/>
          <w:szCs w:val="22"/>
        </w:rPr>
        <w:br w:type="page"/>
      </w:r>
      <w:r w:rsidRPr="004819FF">
        <w:rPr>
          <w:rFonts w:asciiTheme="minorHAnsi" w:hAnsiTheme="minorHAnsi" w:cstheme="minorHAnsi"/>
          <w:b w:val="0"/>
          <w:sz w:val="22"/>
          <w:szCs w:val="22"/>
        </w:rPr>
        <w:lastRenderedPageBreak/>
        <w:t>organizacyjnych różniły się między sobą zakresem zawartych danych</w:t>
      </w:r>
      <w:r w:rsidRPr="004819FF">
        <w:rPr>
          <w:rFonts w:asciiTheme="minorHAnsi" w:hAnsiTheme="minorHAnsi" w:cstheme="minorHAnsi"/>
          <w:b w:val="0"/>
          <w:sz w:val="22"/>
          <w:szCs w:val="22"/>
          <w:vertAlign w:val="superscript"/>
        </w:rPr>
        <w:footnoteReference w:id="20"/>
      </w:r>
      <w:r w:rsidRPr="004819FF">
        <w:rPr>
          <w:rFonts w:asciiTheme="minorHAnsi" w:hAnsiTheme="minorHAnsi" w:cstheme="minorHAnsi"/>
          <w:b w:val="0"/>
          <w:sz w:val="22"/>
          <w:szCs w:val="22"/>
        </w:rPr>
        <w:t>, stosowano odmienne</w:t>
      </w:r>
      <w:r w:rsidRPr="004819FF">
        <w:rPr>
          <w:rFonts w:asciiTheme="minorHAnsi" w:hAnsiTheme="minorHAnsi" w:cstheme="minorHAnsi"/>
          <w:b w:val="0"/>
          <w:sz w:val="22"/>
          <w:szCs w:val="22"/>
          <w:vertAlign w:val="superscript"/>
        </w:rPr>
        <w:footnoteReference w:id="21"/>
      </w:r>
      <w:r w:rsidRPr="004819FF">
        <w:rPr>
          <w:rFonts w:asciiTheme="minorHAnsi" w:hAnsiTheme="minorHAnsi" w:cstheme="minorHAnsi"/>
          <w:b w:val="0"/>
          <w:sz w:val="22"/>
          <w:szCs w:val="22"/>
        </w:rPr>
        <w:t xml:space="preserve"> zasady numeracji umów, niż określone w § 5 ust. 2 i 3 ww. Zarządzenia. W sprawie prowadzenia rejestrów Dyrektor Teatru wyjaśniła: „W Nowym Teatrze nie obowiązuje jednolity rejestr umów, a zasady oznaczania umów wprowadzone zarządzeniem (..) dopuszczają wprowadzanie oznaczeń odpowiadających specyfice danego działu". W rejestrze prowadzonym w Dziale Technicznym nie zachowano chronologii numeracji</w:t>
      </w:r>
      <w:r w:rsidRPr="004819FF">
        <w:rPr>
          <w:rFonts w:asciiTheme="minorHAnsi" w:hAnsiTheme="minorHAnsi" w:cstheme="minorHAnsi"/>
          <w:b w:val="0"/>
          <w:sz w:val="22"/>
          <w:szCs w:val="22"/>
          <w:vertAlign w:val="superscript"/>
        </w:rPr>
        <w:footnoteReference w:id="22"/>
      </w:r>
      <w:r w:rsidRPr="004819FF">
        <w:rPr>
          <w:rFonts w:asciiTheme="minorHAnsi" w:hAnsiTheme="minorHAnsi" w:cstheme="minorHAnsi"/>
          <w:b w:val="0"/>
          <w:sz w:val="22"/>
          <w:szCs w:val="22"/>
        </w:rPr>
        <w:t>, co było niezgodne z § 5 ust. 1 Zarządzenia.</w:t>
      </w:r>
    </w:p>
    <w:p w:rsidR="001146A5" w:rsidRPr="004819FF" w:rsidRDefault="00995131" w:rsidP="004819FF">
      <w:pPr>
        <w:pStyle w:val="Bodytext20"/>
        <w:shd w:val="clear" w:color="auto" w:fill="auto"/>
        <w:spacing w:before="120" w:after="240" w:line="300" w:lineRule="auto"/>
        <w:ind w:right="-887"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wystawionych rachunków i faktur do 23 wybranych umów cywilnoprawnych zawartych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2021 roku i 2022 roku, stwierdzono liczne uchybienia w zakresie stosowania wewnętrznie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ustalonych zasad kontroli dokumentów finansowo-księgowych, określonych w zarządzeniu</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nr </w:t>
      </w:r>
      <w:r w:rsidRPr="004819FF">
        <w:rPr>
          <w:rFonts w:asciiTheme="minorHAnsi" w:hAnsiTheme="minorHAnsi" w:cstheme="minorHAnsi"/>
          <w:b w:val="0"/>
          <w:sz w:val="22"/>
          <w:szCs w:val="22"/>
          <w:lang w:val="ru-RU" w:eastAsia="ru-RU" w:bidi="ru-RU"/>
        </w:rPr>
        <w:t xml:space="preserve">11/2015 </w:t>
      </w:r>
      <w:r w:rsidRPr="004819FF">
        <w:rPr>
          <w:rFonts w:asciiTheme="minorHAnsi" w:hAnsiTheme="minorHAnsi" w:cstheme="minorHAnsi"/>
          <w:b w:val="0"/>
          <w:sz w:val="22"/>
          <w:szCs w:val="22"/>
        </w:rPr>
        <w:t>Dyrektora Teatru z 24 lipca 2015 r.</w:t>
      </w:r>
      <w:r w:rsidRPr="004819FF">
        <w:rPr>
          <w:rFonts w:asciiTheme="minorHAnsi" w:hAnsiTheme="minorHAnsi" w:cstheme="minorHAnsi"/>
          <w:b w:val="0"/>
          <w:sz w:val="22"/>
          <w:szCs w:val="22"/>
          <w:vertAlign w:val="superscript"/>
        </w:rPr>
        <w:footnoteReference w:id="23"/>
      </w:r>
      <w:r w:rsidRPr="004819FF">
        <w:rPr>
          <w:rFonts w:asciiTheme="minorHAnsi" w:hAnsiTheme="minorHAnsi" w:cstheme="minorHAnsi"/>
          <w:b w:val="0"/>
          <w:sz w:val="22"/>
          <w:szCs w:val="22"/>
        </w:rPr>
        <w:t xml:space="preserve"> (dalej: Instrukcja), w tym m.in. na kilkunastu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rachunkach brak było potwierdzenia dokonania kontroli dokumentu pod względem merytorycznym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i/lub formalno-rachunkowym, nie wskazywano daty dokonania tych czynności, czym nie dochowano postanowień § 5 ust. 1 </w:t>
      </w:r>
      <w:proofErr w:type="spellStart"/>
      <w:r w:rsidRPr="004819FF">
        <w:rPr>
          <w:rFonts w:asciiTheme="minorHAnsi" w:hAnsiTheme="minorHAnsi" w:cstheme="minorHAnsi"/>
          <w:b w:val="0"/>
          <w:sz w:val="22"/>
          <w:szCs w:val="22"/>
        </w:rPr>
        <w:t>tiret</w:t>
      </w:r>
      <w:proofErr w:type="spellEnd"/>
      <w:r w:rsidRPr="004819FF">
        <w:rPr>
          <w:rFonts w:asciiTheme="minorHAnsi" w:hAnsiTheme="minorHAnsi" w:cstheme="minorHAnsi"/>
          <w:b w:val="0"/>
          <w:sz w:val="22"/>
          <w:szCs w:val="22"/>
        </w:rPr>
        <w:t xml:space="preserve"> 6, § 9 i § 10 Instrukcji oraz pkt 12. 2 Zasad prowadzenia rachunkowości;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kilku przypadkach data podana na dokumencie wskazywała, że dokonano sprawdzenia pod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względem formalno-rachunkowym po dniu realizacji płatności; na kilkudziesięciu rachunkach nie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wskazano źródeł finansowania kosztu bądź wskazania podstawy dokonania zakupu w oparciu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o przepisy ustawy Prawo zamówień publicznych, czym nie dochowano postanowień § 9 ust. 3</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oraz</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 6 ust. 1 Instrukcji; w 8 przypadkach nie wskazano daty wystawienia rachunku, co było niezgodne</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 § 5 ust. 1 </w:t>
      </w:r>
      <w:proofErr w:type="spellStart"/>
      <w:r w:rsidRPr="004819FF">
        <w:rPr>
          <w:rFonts w:asciiTheme="minorHAnsi" w:hAnsiTheme="minorHAnsi" w:cstheme="minorHAnsi"/>
          <w:b w:val="0"/>
          <w:sz w:val="22"/>
          <w:szCs w:val="22"/>
        </w:rPr>
        <w:t>tiret</w:t>
      </w:r>
      <w:proofErr w:type="spellEnd"/>
      <w:r w:rsidRPr="004819FF">
        <w:rPr>
          <w:rFonts w:asciiTheme="minorHAnsi" w:hAnsiTheme="minorHAnsi" w:cstheme="minorHAnsi"/>
          <w:b w:val="0"/>
          <w:sz w:val="22"/>
          <w:szCs w:val="22"/>
        </w:rPr>
        <w:t xml:space="preserve"> 4 Instrukcji; w 1 przypadku dokument nie został zatwierdzony przez Głównego księgowego, co było niezgodne z § 12 ust. 1 Instrukcji oraz 12.3 Zasad prowadzenia rachunkowości;</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na 68 rachunkach nie wskazano sposobu ujęcia w księgach rachunkowych (dekretacja), czym nie dochowano postanowień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21 ust. 1 pkt 6 ustawy o rachunkowości oraz § 5 ust. 1 </w:t>
      </w:r>
      <w:proofErr w:type="spellStart"/>
      <w:r w:rsidRPr="004819FF">
        <w:rPr>
          <w:rFonts w:asciiTheme="minorHAnsi" w:hAnsiTheme="minorHAnsi" w:cstheme="minorHAnsi"/>
          <w:b w:val="0"/>
          <w:sz w:val="22"/>
          <w:szCs w:val="22"/>
        </w:rPr>
        <w:t>tiret</w:t>
      </w:r>
      <w:proofErr w:type="spellEnd"/>
      <w:r w:rsidRPr="004819FF">
        <w:rPr>
          <w:rFonts w:asciiTheme="minorHAnsi" w:hAnsiTheme="minorHAnsi" w:cstheme="minorHAnsi"/>
          <w:b w:val="0"/>
          <w:sz w:val="22"/>
          <w:szCs w:val="22"/>
        </w:rPr>
        <w:t xml:space="preserve"> 7 Instrukcji;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7 przypadkach zapłaty dokonano po terminie </w:t>
      </w:r>
      <w:r w:rsidRPr="004819FF">
        <w:rPr>
          <w:rFonts w:asciiTheme="minorHAnsi" w:hAnsiTheme="minorHAnsi" w:cstheme="minorHAnsi"/>
          <w:b w:val="0"/>
          <w:sz w:val="22"/>
          <w:szCs w:val="22"/>
        </w:rPr>
        <w:lastRenderedPageBreak/>
        <w:t xml:space="preserve">płatności, czy nie dochowano postanowień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44 ust. 3 pkt 3 ustawy o finansach publicznych; wszystkie sprawdzone dowody, w miejscu gdzie należało wskazać datę zatwierdzenia do wypłaty, nie zawierały informacji o dniu dokonania tej </w:t>
      </w:r>
      <w:r w:rsidR="00224B61"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czynności.</w:t>
      </w:r>
    </w:p>
    <w:p w:rsidR="004F2095" w:rsidRPr="004819FF" w:rsidRDefault="004F2095" w:rsidP="004819FF">
      <w:pPr>
        <w:pStyle w:val="Bodytext20"/>
        <w:shd w:val="clear" w:color="auto" w:fill="auto"/>
        <w:spacing w:before="120" w:after="240" w:line="300" w:lineRule="auto"/>
        <w:ind w:right="-887" w:firstLine="0"/>
        <w:jc w:val="left"/>
        <w:rPr>
          <w:rFonts w:asciiTheme="minorHAnsi" w:hAnsiTheme="minorHAnsi" w:cstheme="minorHAnsi"/>
          <w:b w:val="0"/>
          <w:sz w:val="22"/>
          <w:szCs w:val="22"/>
        </w:rPr>
      </w:pP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zakresie celowości zawierania i poprawności realizacji umów ustalono, że w 1 przypadku wykonawca dzieła</w:t>
      </w:r>
      <w:r w:rsidRPr="004819FF">
        <w:rPr>
          <w:rFonts w:asciiTheme="minorHAnsi" w:hAnsiTheme="minorHAnsi" w:cstheme="minorHAnsi"/>
          <w:b w:val="0"/>
          <w:sz w:val="22"/>
          <w:szCs w:val="22"/>
          <w:vertAlign w:val="superscript"/>
        </w:rPr>
        <w:footnoteReference w:id="24"/>
      </w:r>
      <w:r w:rsidRPr="004819FF">
        <w:rPr>
          <w:rFonts w:asciiTheme="minorHAnsi" w:hAnsiTheme="minorHAnsi" w:cstheme="minorHAnsi"/>
          <w:b w:val="0"/>
          <w:sz w:val="22"/>
          <w:szCs w:val="22"/>
        </w:rPr>
        <w:t xml:space="preserve"> nie wykonał przedmiotu umowy w terminie określonym umową tj. do 31 grudnia 2021 r. Zgodnie z postanowieniami umowy płatność miała nastąpić w dwóch transzach, w tym</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zgodnie z § 3 ust. 1 pkt 1 umowy wypłata I transzy mogła zostać zrealizowana po wykonaniu I etapu umowy (przygotowanie koncepcji książki). Teatr nie dysponował pisemnym przyjęciem koncepcji książki, co potwierdziła Dyrektor Teatru: „Teatr nie przyjął koncepcji w formie pisemnej. Zgodnie </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umową mógł dokonać tego w sposób dorozumiany (..) Potwierdzeniem przyjęcia I etapu </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(koncepcja) prac nad Dziełem było również przyjęcie przez Teatr rachunku od Twórcy obejmującego ten etap prac". Wskazać należy, że zgodnie z postanowieniami § 8 ust. 1 umowy strony mogły wszelkie bieżące konsultacje [uzgodnienia, ustalenia, akceptacje lub zgłoszenia uwag do Dzieła] prowadzić w każdej formie dokumentowej lub ustnie - osobiście lub telefonicznie, z zastrzeżeniem,</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że ustalenia dokonywane ustnie, muszą być niezwłocznie potwierdzone za pomocą poczty elektronicznej. Wobec powyższego nieuprawnione jest stanowisko Dyrektora Teatru o braku konieczności pisemnego potwierdzenia wykonania I etapu dzieła, w szczególności w świetle § 3 ust. 4 umowy, zgodnie z którym „W terminie 7 dni od dnia przekazania przez Twórcę danego etapu Dzieła, Teatr przyjmuje ten etap pracy nad Dziełem lub wskazuje Twórcy zakres koniecznych zmian do </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Dzieła. (..) Warunkiem przystąpienia przez Twórcę do pracy nad każdym etapem Dzieła jest uprzednie przyjęcie przez Teatr etapu poprzedzającego (..)". Elementem kontroli finansowej jest sprawdzenie zgodności przedmiotu zamówienia z umową, kontrola jego oceny i jakości oraz potwierdzenie wykonania umowy lub świadczenia usług, zatem Teatr był obwiązany przeprowadzić proces kontroli (kontrola następcza zdarzeń finansowych i gospodarczych), stosownie do standardu określonego </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rozdziale IIC „Mechanizmy kontroli", pkt 14 lit. b) i d) załącznika do komunikatu Ministra</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Finansów nr 23 z dnia 16 grudnia 2009 r. w sprawie standardów kontroli zarządczej dla sektora finansów publicznych.</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sprawie braku aneksu do umowy wydłużającego termin realizacji zadania Dyrektor wyjaśniła: „(..) Teatr na podstawie ustnych ustaleń z twórcą postanowił wydłużyć termin do realizacji dzieła (..) autor jest pracownikiem etatowym Teatru, a więc osobą z którą Teatr pozostaje w stałym kontakcie". Wskazać należy, że zgodnie z § 9 ust. 1 umowy wszelkie zmiany warunków umowy wymagają formy pisemnej.</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Ustalono, że w dokumentacji </w:t>
      </w:r>
      <w:r w:rsidRPr="004819FF">
        <w:rPr>
          <w:rFonts w:asciiTheme="minorHAnsi" w:hAnsiTheme="minorHAnsi" w:cstheme="minorHAnsi"/>
          <w:b w:val="0"/>
          <w:sz w:val="22"/>
          <w:szCs w:val="22"/>
          <w:lang w:val="en-US" w:eastAsia="en-US" w:bidi="en-US"/>
        </w:rPr>
        <w:t xml:space="preserve">dot. </w:t>
      </w:r>
      <w:r w:rsidRPr="004819FF">
        <w:rPr>
          <w:rFonts w:asciiTheme="minorHAnsi" w:hAnsiTheme="minorHAnsi" w:cstheme="minorHAnsi"/>
          <w:b w:val="0"/>
          <w:sz w:val="22"/>
          <w:szCs w:val="22"/>
        </w:rPr>
        <w:t xml:space="preserve">prowadzonych rozliczeń ze zleceniobiorcami znajdowały się </w:t>
      </w:r>
      <w:r w:rsidR="004F209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2 dokumenty określone „rachunek" (za okres rozliczeniowy bądź za realizację projektu).</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„pierwszym" rachunku wskazywano m.in. nazwę podmiotu realizującego, kwotę wynagrodzenia </w:t>
      </w:r>
      <w:r w:rsidRPr="004819FF">
        <w:rPr>
          <w:rFonts w:asciiTheme="minorHAnsi" w:hAnsiTheme="minorHAnsi" w:cstheme="minorHAnsi"/>
          <w:b w:val="0"/>
          <w:sz w:val="22"/>
          <w:szCs w:val="22"/>
        </w:rPr>
        <w:lastRenderedPageBreak/>
        <w:t>brutto oraz zawierano podpisy osób potwierdzających wykonanie umowy, zatwierdzenie do wypłaty. Na „drugim" rachunku wskazywano m.in. nazwę podmiotu realizującego, kwotę wynagrodzenia wraz z obowiązkowymi obciążeniami publicznymi, brak było potwierdzenia dokonania kontroli dokumentu pod względem merytorycznym i/lub formalno-rachunkowym. Dyrektor Teatru wyjaśniła: „Dokumentem źródłowym jest rachunek wystawiony przez wykonawcę. Rachunek zatwierdzony do wypłaty stanowi dokument na podstawie którego wprowadzane są dane do programu płacowego (..)</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Wygenerowany z systemu rachunek [„drugi"] jest potwierdzeniem wprowadzenia danych</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i przedstawia kwoty brutto, potrącenia podatku i ewentualnych Składek ZUS oraz kwotę netto do wypłaty. Jednocześnie dane te są podpięte po odpowiednią listę płac (..) Dokument wygenerowany </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systemu należy uznać jako dokument techniczny". Wskazać należy, że stosownie </w:t>
      </w:r>
      <w:r w:rsidRPr="004819FF">
        <w:rPr>
          <w:rFonts w:asciiTheme="minorHAnsi" w:hAnsiTheme="minorHAnsi" w:cstheme="minorHAnsi"/>
          <w:b w:val="0"/>
          <w:sz w:val="22"/>
          <w:szCs w:val="22"/>
          <w:lang w:val="en-US" w:eastAsia="en-US" w:bidi="en-US"/>
        </w:rPr>
        <w:t xml:space="preserve">do art. </w:t>
      </w:r>
      <w:r w:rsidRPr="004819FF">
        <w:rPr>
          <w:rFonts w:asciiTheme="minorHAnsi" w:hAnsiTheme="minorHAnsi" w:cstheme="minorHAnsi"/>
          <w:b w:val="0"/>
          <w:sz w:val="22"/>
          <w:szCs w:val="22"/>
        </w:rPr>
        <w:t xml:space="preserve">22 ust. 4 ustawy o rachunkowości Dyrektor Teatru była obowiązana ustalić, który z dowodów jest podstawą do dokonania zapisów w księgach rachunkowych, uwzględniając postanowienia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20 ust. 2 pkt 1 i 3 ww. ustawy.</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ramach kontroli przestrzegania przyjętych w Teatrze procedur kontroli finansowej, na podstawie 50 dowodów źródłowych na łączną kwotę 769 202,61 zł (koszty rzeczowe) stwierdzono, że </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4 faktury</w:t>
      </w:r>
      <w:r w:rsidRPr="004819FF">
        <w:rPr>
          <w:rFonts w:asciiTheme="minorHAnsi" w:hAnsiTheme="minorHAnsi" w:cstheme="minorHAnsi"/>
          <w:b w:val="0"/>
          <w:sz w:val="22"/>
          <w:szCs w:val="22"/>
          <w:vertAlign w:val="superscript"/>
        </w:rPr>
        <w:footnoteReference w:id="25"/>
      </w:r>
      <w:r w:rsidRPr="004819FF">
        <w:rPr>
          <w:rFonts w:asciiTheme="minorHAnsi" w:hAnsiTheme="minorHAnsi" w:cstheme="minorHAnsi"/>
          <w:b w:val="0"/>
          <w:sz w:val="22"/>
          <w:szCs w:val="22"/>
        </w:rPr>
        <w:t xml:space="preserve"> nie posiadały potwierdzenia dokonania kontroli pod względem merytorycznym,</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przypadku 5 faktur</w:t>
      </w:r>
      <w:r w:rsidRPr="004819FF">
        <w:rPr>
          <w:rFonts w:asciiTheme="minorHAnsi" w:hAnsiTheme="minorHAnsi" w:cstheme="minorHAnsi"/>
          <w:b w:val="0"/>
          <w:sz w:val="22"/>
          <w:szCs w:val="22"/>
          <w:vertAlign w:val="superscript"/>
        </w:rPr>
        <w:footnoteReference w:id="26"/>
      </w:r>
      <w:r w:rsidRPr="004819FF">
        <w:rPr>
          <w:rFonts w:asciiTheme="minorHAnsi" w:hAnsiTheme="minorHAnsi" w:cstheme="minorHAnsi"/>
          <w:b w:val="0"/>
          <w:sz w:val="22"/>
          <w:szCs w:val="22"/>
        </w:rPr>
        <w:t xml:space="preserve"> nie wskazano daty dokonania ww. kontroli, co było niezgodne z pkt. 12.2 Zasad prowadzenia rachunkowości oraz § 5 ust. 1 </w:t>
      </w:r>
      <w:proofErr w:type="spellStart"/>
      <w:r w:rsidRPr="004819FF">
        <w:rPr>
          <w:rFonts w:asciiTheme="minorHAnsi" w:hAnsiTheme="minorHAnsi" w:cstheme="minorHAnsi"/>
          <w:b w:val="0"/>
          <w:sz w:val="22"/>
          <w:szCs w:val="22"/>
        </w:rPr>
        <w:t>tiret</w:t>
      </w:r>
      <w:proofErr w:type="spellEnd"/>
      <w:r w:rsidRPr="004819FF">
        <w:rPr>
          <w:rFonts w:asciiTheme="minorHAnsi" w:hAnsiTheme="minorHAnsi" w:cstheme="minorHAnsi"/>
          <w:b w:val="0"/>
          <w:sz w:val="22"/>
          <w:szCs w:val="22"/>
        </w:rPr>
        <w:t xml:space="preserve"> 6, § 9 oraz § 13 </w:t>
      </w:r>
      <w:proofErr w:type="spellStart"/>
      <w:r w:rsidRPr="004819FF">
        <w:rPr>
          <w:rFonts w:asciiTheme="minorHAnsi" w:hAnsiTheme="minorHAnsi" w:cstheme="minorHAnsi"/>
          <w:b w:val="0"/>
          <w:sz w:val="22"/>
          <w:szCs w:val="22"/>
        </w:rPr>
        <w:t>tiret</w:t>
      </w:r>
      <w:proofErr w:type="spellEnd"/>
      <w:r w:rsidRPr="004819FF">
        <w:rPr>
          <w:rFonts w:asciiTheme="minorHAnsi" w:hAnsiTheme="minorHAnsi" w:cstheme="minorHAnsi"/>
          <w:b w:val="0"/>
          <w:sz w:val="22"/>
          <w:szCs w:val="22"/>
        </w:rPr>
        <w:t xml:space="preserve"> 2 Instrukcji obiegu</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kontroli dokumentów</w:t>
      </w:r>
      <w:r w:rsidRPr="004819FF">
        <w:rPr>
          <w:rFonts w:asciiTheme="minorHAnsi" w:hAnsiTheme="minorHAnsi" w:cstheme="minorHAnsi"/>
          <w:b w:val="0"/>
          <w:sz w:val="22"/>
          <w:szCs w:val="22"/>
          <w:vertAlign w:val="superscript"/>
        </w:rPr>
        <w:t>22</w:t>
      </w:r>
      <w:r w:rsidRPr="004819FF">
        <w:rPr>
          <w:rFonts w:asciiTheme="minorHAnsi" w:hAnsiTheme="minorHAnsi" w:cstheme="minorHAnsi"/>
          <w:b w:val="0"/>
          <w:sz w:val="22"/>
          <w:szCs w:val="22"/>
        </w:rPr>
        <w:t>; w 7 przypadkach</w:t>
      </w:r>
      <w:r w:rsidRPr="004819FF">
        <w:rPr>
          <w:rFonts w:asciiTheme="minorHAnsi" w:hAnsiTheme="minorHAnsi" w:cstheme="minorHAnsi"/>
          <w:b w:val="0"/>
          <w:sz w:val="22"/>
          <w:szCs w:val="22"/>
          <w:vertAlign w:val="superscript"/>
        </w:rPr>
        <w:footnoteReference w:id="27"/>
      </w:r>
      <w:r w:rsidRPr="004819FF">
        <w:rPr>
          <w:rFonts w:asciiTheme="minorHAnsi" w:hAnsiTheme="minorHAnsi" w:cstheme="minorHAnsi"/>
          <w:b w:val="0"/>
          <w:sz w:val="22"/>
          <w:szCs w:val="22"/>
        </w:rPr>
        <w:t xml:space="preserve"> z wskazanych dat na dokumentach wynika, że dokonano sprawdzenia dokumentów finansowo-księgowych przed dokonaniem potwierdzenia ich wpływu do Teatru, co było niezgodne z § 13 ust. 3 w zw. z § 13 ust. 1 ww. Instrukcji; 1 faktura</w:t>
      </w:r>
      <w:r w:rsidRPr="004819FF">
        <w:rPr>
          <w:rFonts w:asciiTheme="minorHAnsi" w:hAnsiTheme="minorHAnsi" w:cstheme="minorHAnsi"/>
          <w:b w:val="0"/>
          <w:sz w:val="22"/>
          <w:szCs w:val="22"/>
          <w:vertAlign w:val="superscript"/>
        </w:rPr>
        <w:footnoteReference w:id="28"/>
      </w:r>
      <w:r w:rsidRPr="004819FF">
        <w:rPr>
          <w:rFonts w:asciiTheme="minorHAnsi" w:hAnsiTheme="minorHAnsi" w:cstheme="minorHAnsi"/>
          <w:b w:val="0"/>
          <w:sz w:val="22"/>
          <w:szCs w:val="22"/>
        </w:rPr>
        <w:t xml:space="preserve"> nie posiadała klauzuli sprawdzono pod względem formalno-rachunkowym; 11 faktur</w:t>
      </w:r>
      <w:r w:rsidRPr="004819FF">
        <w:rPr>
          <w:rFonts w:asciiTheme="minorHAnsi" w:hAnsiTheme="minorHAnsi" w:cstheme="minorHAnsi"/>
          <w:b w:val="0"/>
          <w:sz w:val="22"/>
          <w:szCs w:val="22"/>
          <w:vertAlign w:val="superscript"/>
        </w:rPr>
        <w:footnoteReference w:id="29"/>
      </w:r>
      <w:r w:rsidRPr="004819FF">
        <w:rPr>
          <w:rFonts w:asciiTheme="minorHAnsi" w:hAnsiTheme="minorHAnsi" w:cstheme="minorHAnsi"/>
          <w:b w:val="0"/>
          <w:sz w:val="22"/>
          <w:szCs w:val="22"/>
        </w:rPr>
        <w:t xml:space="preserve"> nie posiadało daty lub pełnej daty (wpisano jedynie rok) potwierdzenia dokonania sprawdzenia dokumentu pod względem formalno-rachunkowym, co było niezgodne z § 10 ust. 3 Instrukcji; 22 faktury</w:t>
      </w:r>
      <w:r w:rsidRPr="004819FF">
        <w:rPr>
          <w:rFonts w:asciiTheme="minorHAnsi" w:hAnsiTheme="minorHAnsi" w:cstheme="minorHAnsi"/>
          <w:b w:val="0"/>
          <w:sz w:val="22"/>
          <w:szCs w:val="22"/>
          <w:vertAlign w:val="superscript"/>
        </w:rPr>
        <w:footnoteReference w:id="30"/>
      </w:r>
      <w:r w:rsidRPr="004819FF">
        <w:rPr>
          <w:rFonts w:asciiTheme="minorHAnsi" w:hAnsiTheme="minorHAnsi" w:cstheme="minorHAnsi"/>
          <w:b w:val="0"/>
          <w:sz w:val="22"/>
          <w:szCs w:val="22"/>
        </w:rPr>
        <w:t xml:space="preserve"> sprowadzono pod względem </w:t>
      </w:r>
      <w:r w:rsidRPr="004819FF">
        <w:rPr>
          <w:rFonts w:asciiTheme="minorHAnsi" w:hAnsiTheme="minorHAnsi" w:cstheme="minorHAnsi"/>
          <w:b w:val="0"/>
          <w:sz w:val="22"/>
          <w:szCs w:val="22"/>
        </w:rPr>
        <w:lastRenderedPageBreak/>
        <w:t>formalno-rachunkowym po dokonaniu faktycznej zapłaty; spośród 50 dokumentów objętych kontrolą na 47 fakturach</w:t>
      </w:r>
      <w:r w:rsidRPr="004819FF">
        <w:rPr>
          <w:rFonts w:asciiTheme="minorHAnsi" w:hAnsiTheme="minorHAnsi" w:cstheme="minorHAnsi"/>
          <w:b w:val="0"/>
          <w:sz w:val="22"/>
          <w:szCs w:val="22"/>
          <w:vertAlign w:val="superscript"/>
        </w:rPr>
        <w:footnoteReference w:id="31"/>
      </w:r>
      <w:r w:rsidRPr="004819FF">
        <w:rPr>
          <w:rFonts w:asciiTheme="minorHAnsi" w:hAnsiTheme="minorHAnsi" w:cstheme="minorHAnsi"/>
          <w:b w:val="0"/>
          <w:sz w:val="22"/>
          <w:szCs w:val="22"/>
        </w:rPr>
        <w:t xml:space="preserve"> nie podano daty zatwierdzenia faktury do wypłaty.</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Powyższej opisane uchybienia w zakresie funkcjonowania wewnętrznej kontroli dokumentów, wskazują na niedostateczne wywiązywanie się przez kierowników komórek merytorycznych z zasad ustalonych w Instrukcji kontroli i obiegi dokumentów, natomiast przez Główną księgową Teatru </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obowiązku określonego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54 ust. 1 pkt 3, w zw. z ust. 3 ustawy o finansach publicznych.</w:t>
      </w:r>
    </w:p>
    <w:p w:rsidR="004F2FC9"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Zgodnie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69 ust. 1 pkt 3 ww. ustawy do Dyrektor Teatru należy zapewnienie funkcjonowania</w:t>
      </w:r>
      <w:r w:rsidR="004F2FC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adekwatnej, skutecznej i efektywnej kontroli zarządczej, w tym mechanizmów kontroli dotyczących operacji finansowych i gospodarczych, o których mowa w rozdziale IIC „Mechanizmy kontroli",</w:t>
      </w:r>
      <w:r w:rsidR="004F2FC9" w:rsidRPr="004819FF">
        <w:rPr>
          <w:rFonts w:asciiTheme="minorHAnsi" w:hAnsiTheme="minorHAnsi" w:cstheme="minorHAnsi"/>
          <w:b w:val="0"/>
          <w:sz w:val="22"/>
          <w:szCs w:val="22"/>
        </w:rPr>
        <w:t xml:space="preserve">  </w:t>
      </w:r>
      <w:r w:rsidR="00A73CD4" w:rsidRPr="004819FF">
        <w:rPr>
          <w:rFonts w:asciiTheme="minorHAnsi" w:hAnsiTheme="minorHAnsi" w:cstheme="minorHAnsi"/>
          <w:b w:val="0"/>
          <w:sz w:val="22"/>
          <w:szCs w:val="22"/>
        </w:rPr>
        <w:t xml:space="preserve">                                 </w:t>
      </w:r>
      <w:r w:rsidR="004F2FC9" w:rsidRPr="004819FF">
        <w:rPr>
          <w:rFonts w:asciiTheme="minorHAnsi" w:hAnsiTheme="minorHAnsi" w:cstheme="minorHAnsi"/>
          <w:b w:val="0"/>
          <w:sz w:val="22"/>
          <w:szCs w:val="22"/>
        </w:rPr>
        <w:t xml:space="preserve">    </w:t>
      </w:r>
    </w:p>
    <w:p w:rsidR="001146A5" w:rsidRPr="004819FF" w:rsidRDefault="00A73CD4"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                                                                                                                                                                                     </w:t>
      </w:r>
      <w:r w:rsidR="00995131" w:rsidRPr="004819FF">
        <w:rPr>
          <w:rFonts w:asciiTheme="minorHAnsi" w:hAnsiTheme="minorHAnsi" w:cstheme="minorHAnsi"/>
          <w:b w:val="0"/>
          <w:sz w:val="22"/>
          <w:szCs w:val="22"/>
        </w:rPr>
        <w:t xml:space="preserve"> </w:t>
      </w:r>
      <w:proofErr w:type="spellStart"/>
      <w:r w:rsidR="00995131" w:rsidRPr="004819FF">
        <w:rPr>
          <w:rFonts w:asciiTheme="minorHAnsi" w:hAnsiTheme="minorHAnsi" w:cstheme="minorHAnsi"/>
          <w:b w:val="0"/>
          <w:sz w:val="22"/>
          <w:szCs w:val="22"/>
          <w:lang w:val="de-DE" w:eastAsia="de-DE" w:bidi="de-DE"/>
        </w:rPr>
        <w:t>pkt</w:t>
      </w:r>
      <w:proofErr w:type="spellEnd"/>
      <w:r w:rsidR="00995131" w:rsidRPr="004819FF">
        <w:rPr>
          <w:rFonts w:asciiTheme="minorHAnsi" w:hAnsiTheme="minorHAnsi" w:cstheme="minorHAnsi"/>
          <w:b w:val="0"/>
          <w:sz w:val="22"/>
          <w:szCs w:val="22"/>
          <w:lang w:val="de-DE" w:eastAsia="de-DE" w:bidi="de-DE"/>
        </w:rPr>
        <w:t xml:space="preserve"> 11 </w:t>
      </w:r>
      <w:r w:rsidR="00995131" w:rsidRPr="004819FF">
        <w:rPr>
          <w:rFonts w:asciiTheme="minorHAnsi" w:hAnsiTheme="minorHAnsi" w:cstheme="minorHAnsi"/>
          <w:b w:val="0"/>
          <w:sz w:val="22"/>
          <w:szCs w:val="22"/>
        </w:rPr>
        <w:t xml:space="preserve">i </w:t>
      </w:r>
      <w:proofErr w:type="spellStart"/>
      <w:r w:rsidR="00995131" w:rsidRPr="004819FF">
        <w:rPr>
          <w:rFonts w:asciiTheme="minorHAnsi" w:hAnsiTheme="minorHAnsi" w:cstheme="minorHAnsi"/>
          <w:b w:val="0"/>
          <w:sz w:val="22"/>
          <w:szCs w:val="22"/>
          <w:lang w:val="de-DE" w:eastAsia="de-DE" w:bidi="de-DE"/>
        </w:rPr>
        <w:t>pkt</w:t>
      </w:r>
      <w:proofErr w:type="spellEnd"/>
      <w:r w:rsidR="00995131" w:rsidRPr="004819FF">
        <w:rPr>
          <w:rFonts w:asciiTheme="minorHAnsi" w:hAnsiTheme="minorHAnsi" w:cstheme="minorHAnsi"/>
          <w:b w:val="0"/>
          <w:sz w:val="22"/>
          <w:szCs w:val="22"/>
          <w:lang w:val="de-DE" w:eastAsia="de-DE" w:bidi="de-DE"/>
        </w:rPr>
        <w:t xml:space="preserve"> 14 </w:t>
      </w:r>
      <w:r w:rsidR="00995131" w:rsidRPr="004819FF">
        <w:rPr>
          <w:rFonts w:asciiTheme="minorHAnsi" w:hAnsiTheme="minorHAnsi" w:cstheme="minorHAnsi"/>
          <w:b w:val="0"/>
          <w:sz w:val="22"/>
          <w:szCs w:val="22"/>
        </w:rPr>
        <w:t xml:space="preserve">Komunikatu nr 23 Ministra Finansów z dnia 16 grudnia 2009 r. w sprawie standardów kontroli zarządczej dla sektora finansów publicznych. Przypomnieć należy, że stosownie do § 7 pkt 1 Zarządzenia nr </w:t>
      </w:r>
      <w:r w:rsidR="00995131" w:rsidRPr="004819FF">
        <w:rPr>
          <w:rFonts w:asciiTheme="minorHAnsi" w:hAnsiTheme="minorHAnsi" w:cstheme="minorHAnsi"/>
          <w:b w:val="0"/>
          <w:sz w:val="22"/>
          <w:szCs w:val="22"/>
          <w:lang w:val="ru-RU" w:eastAsia="ru-RU" w:bidi="ru-RU"/>
        </w:rPr>
        <w:t xml:space="preserve">1613/2011 </w:t>
      </w:r>
      <w:r w:rsidR="00995131" w:rsidRPr="004819FF">
        <w:rPr>
          <w:rFonts w:asciiTheme="minorHAnsi" w:hAnsiTheme="minorHAnsi" w:cstheme="minorHAnsi"/>
          <w:b w:val="0"/>
          <w:sz w:val="22"/>
          <w:szCs w:val="22"/>
        </w:rPr>
        <w:t>Prezydenta m.st. Warszawy z dnia 11 października 2011 r. kierownik jednostki ponosi odpowiedzialność za działania podejmowane w celu kontroli i nadzoru procesów zachodzących w kierowanych przez siebie jednostce w sposób dający Prezydentowi m.st. Warszawy zapewnienie, że działania te są zgodne z obowiązującymi przepisami prawa, procedurami wewnętrznymi, określonymi przez Ministra Finansów standardami kontroli zarządczej.</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zapisów ewidencji księgowej oraz dowodów źródłowych (deklaracje, wyciągi bankowe) stwierdzono, że składki na ubezpieczenie społeczne, zdrowotne. Fundusz Pracy, zaliczki na podatek dochodowy od osób fizycznych oraz zryczałtowany podatek dochodowy, składki na Państwowy Fundusz Rehabilitacji Osób Niepełnosprawnych odprowadzano terminowo, w kwotach wynikających </w:t>
      </w:r>
      <w:r w:rsidR="00240FFF"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właściwych deklaracji (z uwzględnieniem korekt). Ustalono, że Teatr nie pobierał zryczałtowanego wynagrodzenia z tytułu terminowego wpłacania podatków pobranych na rzecz budżetu państwa</w:t>
      </w:r>
      <w:r w:rsidRPr="004819FF">
        <w:rPr>
          <w:rFonts w:asciiTheme="minorHAnsi" w:hAnsiTheme="minorHAnsi" w:cstheme="minorHAnsi"/>
          <w:b w:val="0"/>
          <w:sz w:val="22"/>
          <w:szCs w:val="22"/>
          <w:vertAlign w:val="superscript"/>
        </w:rPr>
        <w:footnoteReference w:id="32"/>
      </w:r>
      <w:r w:rsidRPr="004819FF">
        <w:rPr>
          <w:rFonts w:asciiTheme="minorHAnsi" w:hAnsiTheme="minorHAnsi" w:cstheme="minorHAnsi"/>
          <w:b w:val="0"/>
          <w:sz w:val="22"/>
          <w:szCs w:val="22"/>
          <w:vertAlign w:val="superscript"/>
        </w:rPr>
        <w:t xml:space="preserve"> </w:t>
      </w:r>
      <w:r w:rsidR="00240FFF"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vertAlign w:val="superscript"/>
        </w:rPr>
        <w:footnoteReference w:id="33"/>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vertAlign w:val="superscript"/>
        </w:rPr>
        <w:footnoteReference w:id="34"/>
      </w:r>
      <w:r w:rsidRPr="004819FF">
        <w:rPr>
          <w:rFonts w:asciiTheme="minorHAnsi" w:hAnsiTheme="minorHAnsi" w:cstheme="minorHAnsi"/>
          <w:b w:val="0"/>
          <w:sz w:val="22"/>
          <w:szCs w:val="22"/>
        </w:rPr>
        <w:t xml:space="preserve">, które w 2021 roku wyniosłoby 1522,00 zł oraz za okres styczeń - kwiecień 2022 roku 540,00 zł, pomimo, że zgodnie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42 ust. 5 ustawy o finansach publicznych jednostki sektora finansów publicznych są zobowiązane do ustalania przypadających należności pieniężnych.</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lastRenderedPageBreak/>
        <w:t>Zgodnie z § 13 ust. 1 pkt 5 statutu Teatr może prowadzić działalność gospodarczą związaną z najmem przestrzeni. W okresie objętym kontrolą Teatr wynajmował podmiotowi zewnętrznemu na prowadzenie działalności gastronomicznej część powierzchni Teatru, tj. do 30 kwietnia 2021 r. powierzchnię łączną 103,08 m</w:t>
      </w:r>
      <w:r w:rsidRPr="004819FF">
        <w:rPr>
          <w:rFonts w:asciiTheme="minorHAnsi" w:hAnsiTheme="minorHAnsi" w:cstheme="minorHAnsi"/>
          <w:b w:val="0"/>
          <w:sz w:val="22"/>
          <w:szCs w:val="22"/>
          <w:vertAlign w:val="superscript"/>
        </w:rPr>
        <w:t>2(331</w:t>
      </w:r>
      <w:r w:rsidRPr="004819FF">
        <w:rPr>
          <w:rFonts w:asciiTheme="minorHAnsi" w:hAnsiTheme="minorHAnsi" w:cstheme="minorHAnsi"/>
          <w:b w:val="0"/>
          <w:sz w:val="22"/>
          <w:szCs w:val="22"/>
        </w:rPr>
        <w:t>, od dnia 1 maja 2021 r. powierzchnię łączną 218,3 m</w:t>
      </w:r>
      <w:r w:rsidRPr="004819FF">
        <w:rPr>
          <w:rFonts w:asciiTheme="minorHAnsi" w:hAnsiTheme="minorHAnsi" w:cstheme="minorHAnsi"/>
          <w:b w:val="0"/>
          <w:sz w:val="22"/>
          <w:szCs w:val="22"/>
          <w:vertAlign w:val="superscript"/>
        </w:rPr>
        <w:t>2(34)</w:t>
      </w:r>
      <w:r w:rsidRPr="004819FF">
        <w:rPr>
          <w:rFonts w:asciiTheme="minorHAnsi" w:hAnsiTheme="minorHAnsi" w:cstheme="minorHAnsi"/>
          <w:b w:val="0"/>
          <w:sz w:val="22"/>
          <w:szCs w:val="22"/>
        </w:rPr>
        <w:t xml:space="preserve">, oraz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okresie 15 maja -10 września 2021 r. powierzchnię z przeznaczeniem na prowadzenie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sezonowego ogródka kawiarnianego, w tym budynek </w:t>
      </w:r>
      <w:proofErr w:type="spellStart"/>
      <w:r w:rsidRPr="004819FF">
        <w:rPr>
          <w:rFonts w:asciiTheme="minorHAnsi" w:hAnsiTheme="minorHAnsi" w:cstheme="minorHAnsi"/>
          <w:b w:val="0"/>
          <w:sz w:val="22"/>
          <w:szCs w:val="22"/>
        </w:rPr>
        <w:t>edukatorium</w:t>
      </w:r>
      <w:proofErr w:type="spellEnd"/>
      <w:r w:rsidRPr="004819FF">
        <w:rPr>
          <w:rFonts w:asciiTheme="minorHAnsi" w:hAnsiTheme="minorHAnsi" w:cstheme="minorHAnsi"/>
          <w:b w:val="0"/>
          <w:sz w:val="22"/>
          <w:szCs w:val="22"/>
        </w:rPr>
        <w:t xml:space="preserve"> (tzw. Świetlica) oraz obiektu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przeznaczeniem na prowadzenie sezonowego ogródka kawiarnianego (drewniany pawilon wraz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wiatą o powierzchni łącznej 130 m</w:t>
      </w:r>
      <w:r w:rsidRPr="004819FF">
        <w:rPr>
          <w:rFonts w:asciiTheme="minorHAnsi" w:hAnsiTheme="minorHAnsi" w:cstheme="minorHAnsi"/>
          <w:b w:val="0"/>
          <w:sz w:val="22"/>
          <w:szCs w:val="22"/>
          <w:vertAlign w:val="superscript"/>
        </w:rPr>
        <w:t>2</w:t>
      </w:r>
      <w:r w:rsidRPr="004819FF">
        <w:rPr>
          <w:rFonts w:asciiTheme="minorHAnsi" w:hAnsiTheme="minorHAnsi" w:cstheme="minorHAnsi"/>
          <w:b w:val="0"/>
          <w:sz w:val="22"/>
          <w:szCs w:val="22"/>
        </w:rPr>
        <w:t>)</w:t>
      </w:r>
      <w:r w:rsidRPr="004819FF">
        <w:rPr>
          <w:rFonts w:asciiTheme="minorHAnsi" w:hAnsiTheme="minorHAnsi" w:cstheme="minorHAnsi"/>
          <w:b w:val="0"/>
          <w:sz w:val="22"/>
          <w:szCs w:val="22"/>
          <w:vertAlign w:val="superscript"/>
        </w:rPr>
        <w:footnoteReference w:id="35"/>
      </w:r>
      <w:r w:rsidRPr="004819FF">
        <w:rPr>
          <w:rFonts w:asciiTheme="minorHAnsi" w:hAnsiTheme="minorHAnsi" w:cstheme="minorHAnsi"/>
          <w:b w:val="0"/>
          <w:sz w:val="22"/>
          <w:szCs w:val="22"/>
        </w:rPr>
        <w:t>. W związku z powyższym Teatr był obowiązany od wynajmowanej powierzchni, przeznaczonej na prowadzenie działalności gospodarczej, naliczać</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odprowadzać podatek od nieruchomości w stawkach określonych w § 1 pkt 1 lit. a) oraz pkt 2 lit. b) uchwał Rady m.st. Warszawy</w:t>
      </w:r>
      <w:r w:rsidRPr="004819FF">
        <w:rPr>
          <w:rFonts w:asciiTheme="minorHAnsi" w:hAnsiTheme="minorHAnsi" w:cstheme="minorHAnsi"/>
          <w:b w:val="0"/>
          <w:sz w:val="22"/>
          <w:szCs w:val="22"/>
          <w:vertAlign w:val="superscript"/>
        </w:rPr>
        <w:footnoteReference w:id="36"/>
      </w:r>
      <w:r w:rsidRPr="004819FF">
        <w:rPr>
          <w:rFonts w:asciiTheme="minorHAnsi" w:hAnsiTheme="minorHAnsi" w:cstheme="minorHAnsi"/>
          <w:b w:val="0"/>
          <w:sz w:val="22"/>
          <w:szCs w:val="22"/>
        </w:rPr>
        <w:t xml:space="preserve">, natomiast za lata 2021 i 2022, w deklaracjach na podatek od nieruchomości (DN-1) nie wykazano danych </w:t>
      </w:r>
      <w:r w:rsidRPr="004819FF">
        <w:rPr>
          <w:rFonts w:asciiTheme="minorHAnsi" w:hAnsiTheme="minorHAnsi" w:cstheme="minorHAnsi"/>
          <w:b w:val="0"/>
          <w:sz w:val="22"/>
          <w:szCs w:val="22"/>
          <w:lang w:val="en-US" w:eastAsia="en-US" w:bidi="en-US"/>
        </w:rPr>
        <w:t xml:space="preserve">dot. </w:t>
      </w:r>
      <w:r w:rsidRPr="004819FF">
        <w:rPr>
          <w:rFonts w:asciiTheme="minorHAnsi" w:hAnsiTheme="minorHAnsi" w:cstheme="minorHAnsi"/>
          <w:b w:val="0"/>
          <w:sz w:val="22"/>
          <w:szCs w:val="22"/>
        </w:rPr>
        <w:t xml:space="preserve">powierzchni gruntów i budynków związanych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prowadzeniem działalności gospodarczej, czyli podlegających opodatkowaniu. Ponadto w załączniku ZDN-2 do deklaracji na podatek od nieruchomości - dane o przedmiotach opodatkowania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zwolnionych z opodatkowania za 2021 i 2022 rok, wpisano błędną podstawę prawną zwolnienia </w:t>
      </w:r>
      <w:r w:rsidR="00AA0FD7"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opodatkowania</w:t>
      </w:r>
      <w:r w:rsidRPr="004819FF">
        <w:rPr>
          <w:rFonts w:asciiTheme="minorHAnsi" w:hAnsiTheme="minorHAnsi" w:cstheme="minorHAnsi"/>
          <w:b w:val="0"/>
          <w:sz w:val="22"/>
          <w:szCs w:val="22"/>
          <w:vertAlign w:val="superscript"/>
        </w:rPr>
        <w:footnoteReference w:id="37"/>
      </w:r>
      <w:r w:rsidRPr="004819FF">
        <w:rPr>
          <w:rFonts w:asciiTheme="minorHAnsi" w:hAnsiTheme="minorHAnsi" w:cstheme="minorHAnsi"/>
          <w:b w:val="0"/>
          <w:sz w:val="22"/>
          <w:szCs w:val="22"/>
        </w:rPr>
        <w:t>, oraz wskazano stawki podatku od gruntu, które były nieaktualne w ww. latach.</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powyższej sprawie obszerne wyjaśnienia złożyła Główna księgowa, z których wynika, że w ocenie Teatru ww. wynajmem powierzchni Teatr nie realizuje działalności gospodarczej. Nie zasługuje na uwzględnienie stanowisko Teatru, gdyż w § 13 statutu wprost określono, co stanowi działalność gospodarczą Teatru, zatem powstał obowiązek podatkowy</w:t>
      </w:r>
      <w:r w:rsidRPr="004819FF">
        <w:rPr>
          <w:rFonts w:asciiTheme="minorHAnsi" w:hAnsiTheme="minorHAnsi" w:cstheme="minorHAnsi"/>
          <w:b w:val="0"/>
          <w:sz w:val="22"/>
          <w:szCs w:val="22"/>
          <w:vertAlign w:val="superscript"/>
        </w:rPr>
        <w:footnoteReference w:id="38"/>
      </w:r>
      <w:r w:rsidRPr="004819FF">
        <w:rPr>
          <w:rFonts w:asciiTheme="minorHAnsi" w:hAnsiTheme="minorHAnsi" w:cstheme="minorHAnsi"/>
          <w:b w:val="0"/>
          <w:sz w:val="22"/>
          <w:szCs w:val="22"/>
        </w:rPr>
        <w:t xml:space="preserve"> określony w rozdziale</w:t>
      </w:r>
      <w:r w:rsidR="00D575A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2 ustawy z dnia 12 stycznia 1991 r. o podatkach i opłatach lokalnych</w:t>
      </w:r>
      <w:r w:rsidRPr="004819FF">
        <w:rPr>
          <w:rFonts w:asciiTheme="minorHAnsi" w:hAnsiTheme="minorHAnsi" w:cstheme="minorHAnsi"/>
          <w:b w:val="0"/>
          <w:sz w:val="22"/>
          <w:szCs w:val="22"/>
          <w:vertAlign w:val="superscript"/>
        </w:rPr>
        <w:footnoteReference w:id="39"/>
      </w:r>
      <w:r w:rsidRPr="004819FF">
        <w:rPr>
          <w:rFonts w:asciiTheme="minorHAnsi" w:hAnsiTheme="minorHAnsi" w:cstheme="minorHAnsi"/>
          <w:b w:val="0"/>
          <w:sz w:val="22"/>
          <w:szCs w:val="22"/>
        </w:rPr>
        <w:t xml:space="preserve">, z uwzględnieniem </w:t>
      </w:r>
      <w:r w:rsidR="00D575A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7 ust. 1 pkt 6 ustawy.</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Zasady udzielania zamówienia publicznych określono w Zarządzeniu nr </w:t>
      </w:r>
      <w:r w:rsidRPr="004819FF">
        <w:rPr>
          <w:rFonts w:asciiTheme="minorHAnsi" w:hAnsiTheme="minorHAnsi" w:cstheme="minorHAnsi"/>
          <w:b w:val="0"/>
          <w:sz w:val="22"/>
          <w:szCs w:val="22"/>
          <w:lang w:val="ru-RU" w:eastAsia="ru-RU" w:bidi="ru-RU"/>
        </w:rPr>
        <w:t xml:space="preserve">21/2017 </w:t>
      </w:r>
      <w:r w:rsidRPr="004819FF">
        <w:rPr>
          <w:rFonts w:asciiTheme="minorHAnsi" w:hAnsiTheme="minorHAnsi" w:cstheme="minorHAnsi"/>
          <w:b w:val="0"/>
          <w:sz w:val="22"/>
          <w:szCs w:val="22"/>
        </w:rPr>
        <w:t xml:space="preserve">Dyrektor Nowego Teatru z dnia 29 grudnia 2017 r., zmienionym Zarządzeniem nr </w:t>
      </w:r>
      <w:r w:rsidRPr="004819FF">
        <w:rPr>
          <w:rFonts w:asciiTheme="minorHAnsi" w:hAnsiTheme="minorHAnsi" w:cstheme="minorHAnsi"/>
          <w:b w:val="0"/>
          <w:sz w:val="22"/>
          <w:szCs w:val="22"/>
          <w:lang w:val="ru-RU" w:eastAsia="ru-RU" w:bidi="ru-RU"/>
        </w:rPr>
        <w:t xml:space="preserve">7/2021 </w:t>
      </w:r>
      <w:r w:rsidRPr="004819FF">
        <w:rPr>
          <w:rFonts w:asciiTheme="minorHAnsi" w:hAnsiTheme="minorHAnsi" w:cstheme="minorHAnsi"/>
          <w:b w:val="0"/>
          <w:sz w:val="22"/>
          <w:szCs w:val="22"/>
        </w:rPr>
        <w:t>z dnia 14 kwietnia 2021 r.</w:t>
      </w:r>
      <w:r w:rsidRPr="004819FF">
        <w:rPr>
          <w:rFonts w:asciiTheme="minorHAnsi" w:hAnsiTheme="minorHAnsi" w:cstheme="minorHAnsi"/>
          <w:b w:val="0"/>
          <w:sz w:val="22"/>
          <w:szCs w:val="22"/>
          <w:vertAlign w:val="superscript"/>
        </w:rPr>
        <w:footnoteReference w:id="40"/>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rPr>
        <w:lastRenderedPageBreak/>
        <w:t>Rejestry umów w sprawie zamówień publicznych prowadziły poszczególne komórki organizacyjne.</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2021 roku Teatr przeprowadził 5 postępowań</w:t>
      </w:r>
      <w:r w:rsidRPr="004819FF">
        <w:rPr>
          <w:rFonts w:asciiTheme="minorHAnsi" w:hAnsiTheme="minorHAnsi" w:cstheme="minorHAnsi"/>
          <w:b w:val="0"/>
          <w:sz w:val="22"/>
          <w:szCs w:val="22"/>
          <w:vertAlign w:val="superscript"/>
        </w:rPr>
        <w:footnoteReference w:id="41"/>
      </w:r>
      <w:r w:rsidRPr="004819FF">
        <w:rPr>
          <w:rFonts w:asciiTheme="minorHAnsi" w:hAnsiTheme="minorHAnsi" w:cstheme="minorHAnsi"/>
          <w:b w:val="0"/>
          <w:sz w:val="22"/>
          <w:szCs w:val="22"/>
        </w:rPr>
        <w:t xml:space="preserve"> o udzielenie zamówienia publicznego w trybie ustawy z dnia 11 września 2019 r. Prawo zamówień publicznych</w:t>
      </w:r>
      <w:r w:rsidRPr="004819FF">
        <w:rPr>
          <w:rFonts w:asciiTheme="minorHAnsi" w:hAnsiTheme="minorHAnsi" w:cstheme="minorHAnsi"/>
          <w:b w:val="0"/>
          <w:sz w:val="22"/>
          <w:szCs w:val="22"/>
          <w:vertAlign w:val="superscript"/>
        </w:rPr>
        <w:footnoteReference w:id="42"/>
      </w:r>
      <w:r w:rsidRPr="004819FF">
        <w:rPr>
          <w:rFonts w:asciiTheme="minorHAnsi" w:hAnsiTheme="minorHAnsi" w:cstheme="minorHAnsi"/>
          <w:b w:val="0"/>
          <w:sz w:val="22"/>
          <w:szCs w:val="22"/>
        </w:rPr>
        <w:t>, w 2022 roku (do dnia kontroli) przeprowadzono 2 postępowania. Na podstawie kontroli dokumentacji 2 postępowań</w:t>
      </w:r>
      <w:r w:rsidRPr="004819FF">
        <w:rPr>
          <w:rFonts w:asciiTheme="minorHAnsi" w:hAnsiTheme="minorHAnsi" w:cstheme="minorHAnsi"/>
          <w:b w:val="0"/>
          <w:sz w:val="22"/>
          <w:szCs w:val="22"/>
          <w:vertAlign w:val="superscript"/>
        </w:rPr>
        <w:footnoteReference w:id="43"/>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rPr>
        <w:t>przeprowadzonych w 2021 roku oraz 5 zamówień na dostawy i usługi</w:t>
      </w:r>
      <w:r w:rsidRPr="004819FF">
        <w:rPr>
          <w:rFonts w:asciiTheme="minorHAnsi" w:hAnsiTheme="minorHAnsi" w:cstheme="minorHAnsi"/>
          <w:b w:val="0"/>
          <w:sz w:val="22"/>
          <w:szCs w:val="22"/>
          <w:vertAlign w:val="superscript"/>
        </w:rPr>
        <w:footnoteReference w:id="44"/>
      </w:r>
      <w:r w:rsidRPr="004819FF">
        <w:rPr>
          <w:rFonts w:asciiTheme="minorHAnsi" w:hAnsiTheme="minorHAnsi" w:cstheme="minorHAnsi"/>
          <w:b w:val="0"/>
          <w:sz w:val="22"/>
          <w:szCs w:val="22"/>
        </w:rPr>
        <w:t xml:space="preserve"> o wartości nie przekraczającej kwoty 130 000 zł ustalono, że postępowania przeprowadzono zgodnie z przepisami ww. ustawy oraz wewnętrznego regulaminu.</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Stwierdzono uchybienia formalne polegające na braku zaopiniowania „Wniosku o rozpoczęcie postępowania o udzielenie zamówienia publicznego o wartości równej lub przekraczającej kwotę </w:t>
      </w:r>
      <w:r w:rsidR="00D575A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130 000 zł" przez radcę prawnego, natomiast Dyrektor Teatru wyjaśniła: „(..) W sytuacji obowiązującego w opisanym okresie stanu epidemii, na tym etapie postępowania zrezygnowaliśmy </w:t>
      </w:r>
      <w:r w:rsidR="00D575A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potwierdzania wniosku przez radcę prawnego". Jak wynika z dokumentacji Teatru, w przypadku zamówienia na usługę „Renowacja parkietów drewnianych" sporządzono dwa „Protokoły wykonania usługi", z datą 1 sierpnia 2021 r. i 4 sierpnia 2021 r., oba podpisane przez wykonawcę oraz kierownika komórki administracyjnej, który potwierdził wykonanie usługi bez uwag. Dyrektor Teatru wyjaśniała: „(..) przez błąd - powstały dwa protokoły odbioru z różnymi datami i w teczce usługi w dziale administracji jest protokół odbioru z błędną datą Wykonawca wystawił fakturę 2 sierpnia 2021r.,</w:t>
      </w:r>
      <w:r w:rsidR="00D575A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w:t>
      </w:r>
      <w:r w:rsidR="00D575A5" w:rsidRPr="004819FF">
        <w:rPr>
          <w:rFonts w:asciiTheme="minorHAnsi" w:hAnsiTheme="minorHAnsi" w:cstheme="minorHAnsi"/>
          <w:b w:val="0"/>
          <w:sz w:val="22"/>
          <w:szCs w:val="22"/>
        </w:rPr>
        <w:t xml:space="preserve">                 </w:t>
      </w:r>
      <w:r w:rsidR="009C7058">
        <w:rPr>
          <w:rFonts w:asciiTheme="minorHAnsi" w:hAnsiTheme="minorHAnsi" w:cstheme="minorHAnsi"/>
          <w:b w:val="0"/>
          <w:sz w:val="22"/>
          <w:szCs w:val="22"/>
        </w:rPr>
        <w:t xml:space="preserve"> </w:t>
      </w:r>
      <w:r w:rsidRPr="004819FF">
        <w:rPr>
          <w:rFonts w:asciiTheme="minorHAnsi" w:hAnsiTheme="minorHAnsi" w:cstheme="minorHAnsi"/>
          <w:b w:val="0"/>
          <w:sz w:val="22"/>
          <w:szCs w:val="22"/>
        </w:rPr>
        <w:t>z taką samą datą dokonano kontroli dokumentu pod względem merytorycznym, zapłaty dokonano</w:t>
      </w:r>
      <w:r w:rsidR="008333A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6 sierpnia 2021 r., natomiast sprawdzania faktury pod względem formalnym i rachunkowym dokonano 25 sierpnia 2021 r. Powyższe wskazuje na niedochowanie procedur kontroli finansowej, </w:t>
      </w:r>
      <w:r w:rsidR="008333A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o których mowa na stronach 8-9 niniejszego wystąpienia.</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prowadzonym rejestrze wyjazdów służbowych pracowników Teatru w 2021 roku odnotowano </w:t>
      </w:r>
      <w:r w:rsidR="00A0221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41 poleceń wyjazdów służbowych, do końca maja 2022 r. odnotowano 26 delegacji. Na podstawie dokumentacji 9 poleceń wyjazdów służbowych (dalej: PWS) ustalono, że w jednym przypadku (PWS nr 2 z 2021 roku) pracownikowi zwrócono koszty przejazdu samochodem prywatnym na podstawie przedłożonej faktury za zakup paliwa, w rozliczeniu kosztów nie wskazano liczby kilometrów przejechanych na trasie Warszawa-Łódź-Warszawa. Dyrektor Teatru wyjaśniła: „Podróż</w:t>
      </w:r>
    </w:p>
    <w:p w:rsidR="001146A5" w:rsidRPr="004819FF" w:rsidRDefault="00995131" w:rsidP="004819FF">
      <w:pPr>
        <w:pStyle w:val="Bodytext20"/>
        <w:shd w:val="clear" w:color="auto" w:fill="auto"/>
        <w:spacing w:before="120" w:after="240" w:line="300" w:lineRule="auto"/>
        <w:ind w:right="105" w:firstLine="96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została wyjątkowo, ze względu na nagłość sytuacji rozliczona na podstawie faktury za </w:t>
      </w:r>
      <w:r w:rsidRPr="004819FF">
        <w:rPr>
          <w:rFonts w:asciiTheme="minorHAnsi" w:hAnsiTheme="minorHAnsi" w:cstheme="minorHAnsi"/>
          <w:b w:val="0"/>
          <w:sz w:val="22"/>
          <w:szCs w:val="22"/>
        </w:rPr>
        <w:lastRenderedPageBreak/>
        <w:t>benzynę Wskazać należy, że działaniem tym naruszono zasady rozliczania kosztów podróży służbowych określonych w przepisach prawa</w:t>
      </w:r>
      <w:r w:rsidRPr="004819FF">
        <w:rPr>
          <w:rFonts w:asciiTheme="minorHAnsi" w:hAnsiTheme="minorHAnsi" w:cstheme="minorHAnsi"/>
          <w:b w:val="0"/>
          <w:sz w:val="22"/>
          <w:szCs w:val="22"/>
          <w:vertAlign w:val="superscript"/>
        </w:rPr>
        <w:footnoteReference w:id="45"/>
      </w:r>
      <w:r w:rsidRPr="004819FF">
        <w:rPr>
          <w:rFonts w:asciiTheme="minorHAnsi" w:hAnsiTheme="minorHAnsi" w:cstheme="minorHAnsi"/>
          <w:b w:val="0"/>
          <w:sz w:val="22"/>
          <w:szCs w:val="22"/>
        </w:rPr>
        <w:t>, które Teatr jest obowiązany przestrzegać.</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Na podstawie PWS nr 7 i 8 z 2021 roku, Dyrektor Teatru oraz Zastępca Dyrektora odbyli w dniach</w:t>
      </w:r>
      <w:r w:rsidR="00A02219"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22-24 czerwca 2021 r. podróż służbową do Krakowa, w ramach której rozliczono koszty noclegu (684,00 zł), diety (łącznie 90,00 zł) oraz koszty zakupu biletów do teatru (140,00 zł). Kosztów podróży nie ujęto w rozliczeniu delegacji</w:t>
      </w:r>
      <w:r w:rsidRPr="004819FF">
        <w:rPr>
          <w:rFonts w:asciiTheme="minorHAnsi" w:hAnsiTheme="minorHAnsi" w:cstheme="minorHAnsi"/>
          <w:b w:val="0"/>
          <w:sz w:val="22"/>
          <w:szCs w:val="22"/>
          <w:vertAlign w:val="superscript"/>
        </w:rPr>
        <w:footnoteReference w:id="46"/>
      </w:r>
      <w:r w:rsidRPr="004819FF">
        <w:rPr>
          <w:rFonts w:asciiTheme="minorHAnsi" w:hAnsiTheme="minorHAnsi" w:cstheme="minorHAnsi"/>
          <w:b w:val="0"/>
          <w:sz w:val="22"/>
          <w:szCs w:val="22"/>
        </w:rPr>
        <w:t>. W sprawie celowości odbycia podróży Dyrektor Teatru wyjaśniła: „Prowadzenie i programowanie instytucji jaką jest (..) Teatr, organizującej regularne działania repertuarowe i dwa duże przeglądy (..) wymaga stałego monitorowania „rynku teatralnego".</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Do zadań dyrekcji należy wybór współpracujących z teatrem artystów, decyzja o ich zaproszeniu do pracy, oraz rozeznanie w nowych trendach teatralnych oraz produkcjach teatralnych (..) Decyzje artystyczne, programowe i strategiczne są wynikiem kolegialnych spotkań i narad. Z tego powodu zdarzają się wyjazdy więcej niż jednej osoby".</w:t>
      </w:r>
    </w:p>
    <w:p w:rsidR="009F0DFA"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PWS objętych próbą kontrolną stwierdzono liczne braki w zakresie sporządzania </w:t>
      </w:r>
      <w:r w:rsidR="009F0DF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i rozliczania PWS, w tym m.in. w 7 przypadkach na dokumentach brak daty zatwierdzenia wyjazdu; w 4 przypadkach na PWS brak było podpisu osoby zatwierdzającej wyjazd; na wszystkich dokumentach PWS brak było dekretacji księgowej, nie wypełniano tabeli, w której powinny zostać określone czas i miejsce wyjazdu/przyjazdu; w 2 przypadkach (w tym w opisanym powyżej) nie wskazano liczby przejechanych kilometrów samochodem prywatnym używanym do celów służbowych; w 8 PWS nie podano daty złożenia rozliczenia kosztów podróży, w 2 przypadkach brak podpisu delegowanego pod rozliczeniem kosztów podróży; w 2 przypadkach nie wskazano daty dokonania zatwierdzenia środków do wypłaty. W złożonych wyjaśnieniach Dyrektor Teatru wskazała </w:t>
      </w:r>
      <w:r w:rsidR="009F0DFA" w:rsidRPr="004819FF">
        <w:rPr>
          <w:rFonts w:asciiTheme="minorHAnsi" w:hAnsiTheme="minorHAnsi" w:cstheme="minorHAnsi"/>
          <w:b w:val="0"/>
          <w:sz w:val="22"/>
          <w:szCs w:val="22"/>
        </w:rPr>
        <w:t xml:space="preserve">                                           </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obieg dokumentów związanych z wystawianiem i rozliczaniem PWS, wskazując, m.in. że program</w:t>
      </w:r>
      <w:r w:rsidR="009F0DF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[do wystawiania PWS] nie jest programem księgowym i nie jest z nim zsynchronizowany (..) dekretacji wydatków związanych z delegacjami dokonuje dział księgowości w swoich programach (..)"• Niemniej należy wskazać, że powyższe uchybienia w dokumentach PWS przyjętych do stosowania w Teatrze, wskazują na nieprzestrzeganie postanowień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22 ust. 1 i ust. 4 ustawy</w:t>
      </w:r>
      <w:r w:rsidR="009F0DFA"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o rachunkowości oraz § 5 ust. 1, § 7 ust. 1, § 9, § 10, § 25 Instrukcji kontroli i obiegu dokumentów.</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lastRenderedPageBreak/>
        <w:t>Teatr złożył w Biurze Kultury Urzędu m.st. Warszawy 2 maja 2022 r. sprawozdanie finansowe za 2021 rok, zachowując termin określony w rozporządzeniu Ministra Finansów</w:t>
      </w:r>
      <w:r w:rsidRPr="004819FF">
        <w:rPr>
          <w:rFonts w:asciiTheme="minorHAnsi" w:hAnsiTheme="minorHAnsi" w:cstheme="minorHAnsi"/>
          <w:b w:val="0"/>
          <w:sz w:val="22"/>
          <w:szCs w:val="22"/>
          <w:vertAlign w:val="superscript"/>
        </w:rPr>
        <w:footnoteReference w:id="47"/>
      </w:r>
      <w:r w:rsidRPr="004819FF">
        <w:rPr>
          <w:rFonts w:asciiTheme="minorHAnsi" w:hAnsiTheme="minorHAnsi" w:cstheme="minorHAnsi"/>
          <w:b w:val="0"/>
          <w:sz w:val="22"/>
          <w:szCs w:val="22"/>
        </w:rPr>
        <w:t xml:space="preserve">, z tym, że nie przedłożył wyników badania sprawozdania finansowego przez biegłego rewidenta, w tym raportu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przeprowadzonego badania oraz uzyskanej opinii, czym naruszono postanowienia § 2 ust. 11 umowy zawartej 30 sierpnia 2012 r. pomiędzy Miastem st. Warszawa, a Dyrektorem p. Karoliną Ochab w sprawie warunków organizacyjno-finansowych działalności instytucji kultury oraz programu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instytucji kultury. Główna księgowa Teatru wyjaśniła „(..) Zgodnie z obowiązującymi zasadami opinię</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i raport biegłego rewidenta można złożyć w późniejszym terminie, ale przed terminem zatwierdzenia sprawozdania przez organizatora (..)".</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zakresie prawidłowości sporządzania sprawozdań Rb-N o stanie należności oraz wybranych aktywów finansowych samorządowej instytucji kultury próbą kontrolną objęto sprawozdania sporządzone wg stanu na koniec każdego kwartału 2021 roku oraz na koniec I kwartału 2022 roku. Ustalono, że w sprawozdaniach wykazano dane nie wynikające z ksiąg rachunkowych.</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Różnice pomiędzy danymi ujętymi w sprawozdaniach w zakresie „stanu gotówki i depozytów" wynosiły: w sprawozdaniu za I kwartał 2021 r. wykazano większą kwotę o 11872,76 zł, niż wynikała</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 zapisów ksiąg rachunkowych</w:t>
      </w:r>
      <w:r w:rsidRPr="004819FF">
        <w:rPr>
          <w:rFonts w:asciiTheme="minorHAnsi" w:hAnsiTheme="minorHAnsi" w:cstheme="minorHAnsi"/>
          <w:b w:val="0"/>
          <w:sz w:val="22"/>
          <w:szCs w:val="22"/>
          <w:vertAlign w:val="superscript"/>
        </w:rPr>
        <w:footnoteReference w:id="48"/>
      </w:r>
      <w:r w:rsidRPr="004819FF">
        <w:rPr>
          <w:rFonts w:asciiTheme="minorHAnsi" w:hAnsiTheme="minorHAnsi" w:cstheme="minorHAnsi"/>
          <w:b w:val="0"/>
          <w:sz w:val="22"/>
          <w:szCs w:val="22"/>
        </w:rPr>
        <w:t xml:space="preserve">, w sprawozdaniu za II kwartał 2021 r. wykazano mniejszą kwotę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o 8 807,87 zł, w sprawozdaniu za III kwartał 2021 r. wykazano większą kwotę o 713 269,43 zł,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sprawozdaniu za IV kwartał 2021 r. wykazano większą kwotę o 33 987,72 zł, w sprawozdaniu</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za I kwartał 2022 r. wykazano większą kwotę o 11988,04 zł. Różnice pomiędzy danymi ujętymi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sprawozdaniach w zakresie „pozostałych należności" wynosiły: w sprawozdaniu za I kwartał 2021 r. wykazano większą kwotę o 38 551,06 zł, niż wynikała z zapisów ksiąg rachunkowych</w:t>
      </w:r>
      <w:r w:rsidRPr="004819FF">
        <w:rPr>
          <w:rFonts w:asciiTheme="minorHAnsi" w:hAnsiTheme="minorHAnsi" w:cstheme="minorHAnsi"/>
          <w:b w:val="0"/>
          <w:sz w:val="22"/>
          <w:szCs w:val="22"/>
          <w:vertAlign w:val="superscript"/>
        </w:rPr>
        <w:footnoteReference w:id="49"/>
      </w:r>
      <w:r w:rsidRPr="004819FF">
        <w:rPr>
          <w:rFonts w:asciiTheme="minorHAnsi" w:hAnsiTheme="minorHAnsi" w:cstheme="minorHAnsi"/>
          <w:b w:val="0"/>
          <w:sz w:val="22"/>
          <w:szCs w:val="22"/>
        </w:rPr>
        <w:t xml:space="preserve">, </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sprawozdaniu za II kwartał 2021 r. wykazano większą kwotę o 32 351,12 zł, w sprawozdaniu</w:t>
      </w:r>
      <w:r w:rsidR="00373FD0"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za III kwartał 2021 r. wykazano większą kwotę o 49 666,30 zł, w sprawozdaniu za IV kwartał 2021 r. wykazano mniejszą kwotę o 11420,20 zł, w sprawozdaniu za I kwartał 2022 r. wykazano mniejszą kwotę o 85 597,97 zł. W związku z powyższymi ustaleniami ocenić należy, że Teatr nie dochował postanowień § 10 ust. 4, w związku z § 4 ust. 1 pkt 1 rozporządzenia Ministra Finansów, Funduszy</w:t>
      </w:r>
      <w:r w:rsidR="0012087E"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i Polityki Regionalnej z dnia 17 grudnia 2020 r.</w:t>
      </w:r>
      <w:r w:rsidRPr="004819FF">
        <w:rPr>
          <w:rFonts w:asciiTheme="minorHAnsi" w:hAnsiTheme="minorHAnsi" w:cstheme="minorHAnsi"/>
          <w:b w:val="0"/>
          <w:sz w:val="22"/>
          <w:szCs w:val="22"/>
          <w:vertAlign w:val="superscript"/>
        </w:rPr>
        <w:footnoteReference w:id="50"/>
      </w:r>
      <w:r w:rsidRPr="004819FF">
        <w:rPr>
          <w:rFonts w:asciiTheme="minorHAnsi" w:hAnsiTheme="minorHAnsi" w:cstheme="minorHAnsi"/>
          <w:b w:val="0"/>
          <w:sz w:val="22"/>
          <w:szCs w:val="22"/>
        </w:rPr>
        <w:t xml:space="preserve"> oraz § 4 i § 5 załącznika do Zarządzenia Nr </w:t>
      </w:r>
      <w:r w:rsidRPr="004819FF">
        <w:rPr>
          <w:rFonts w:asciiTheme="minorHAnsi" w:hAnsiTheme="minorHAnsi" w:cstheme="minorHAnsi"/>
          <w:b w:val="0"/>
          <w:sz w:val="22"/>
          <w:szCs w:val="22"/>
          <w:lang w:val="ru-RU" w:eastAsia="ru-RU" w:bidi="ru-RU"/>
        </w:rPr>
        <w:t xml:space="preserve">132/2020 </w:t>
      </w:r>
      <w:r w:rsidRPr="004819FF">
        <w:rPr>
          <w:rFonts w:asciiTheme="minorHAnsi" w:hAnsiTheme="minorHAnsi" w:cstheme="minorHAnsi"/>
          <w:b w:val="0"/>
          <w:sz w:val="22"/>
          <w:szCs w:val="22"/>
        </w:rPr>
        <w:lastRenderedPageBreak/>
        <w:t>Prezydenta m.st. Warszawy z dnia 5 lutego 2020 r.</w:t>
      </w:r>
      <w:r w:rsidRPr="004819FF">
        <w:rPr>
          <w:rFonts w:asciiTheme="minorHAnsi" w:hAnsiTheme="minorHAnsi" w:cstheme="minorHAnsi"/>
          <w:b w:val="0"/>
          <w:sz w:val="22"/>
          <w:szCs w:val="22"/>
          <w:vertAlign w:val="superscript"/>
        </w:rPr>
        <w:footnoteReference w:id="51"/>
      </w:r>
      <w:r w:rsidRPr="004819FF">
        <w:rPr>
          <w:rFonts w:asciiTheme="minorHAnsi" w:hAnsiTheme="minorHAnsi" w:cstheme="minorHAnsi"/>
          <w:b w:val="0"/>
          <w:sz w:val="22"/>
          <w:szCs w:val="22"/>
        </w:rPr>
        <w:t xml:space="preserve"> W sprawie obszerne wyjaśnienia złożyła Główna księgowa Teatru, podsumowując:</w:t>
      </w:r>
      <w:r w:rsidRPr="004819FF">
        <w:rPr>
          <w:rFonts w:asciiTheme="minorHAnsi" w:hAnsiTheme="minorHAnsi" w:cstheme="minorHAnsi"/>
          <w:b w:val="0"/>
          <w:sz w:val="22"/>
          <w:szCs w:val="22"/>
        </w:rPr>
        <w:tab/>
        <w:t>Powstałe niedociągnięcia spowodowane były nawałem pracy</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po wprowadzeniu pracy zmianowej w celu ograniczenia kontaktów w związku z pandemią jak i nieuwagi. Z zaistniałej sytuacji zostały wyciągnięte wnioski</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Według stanu na koniec każdego kwartału 2021 roku oraz I kwartału 2022 roku Teatr nie posiadał zobowiązań wymagalnych, zatem w sprawozdaniach Rb-Z o stanie zobowiązań wg tytułów dłużnych oraz poręczeń i gwarancji wykazano stany zerowe („0").</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Ww. sprawozdania przekazywano organizatorowi terminowo, za wyjątkiem sprawozdań sporządzonych wg stanu na koniec I kwartału 2022 roku, które przekazano 6 dni po terminie</w:t>
      </w:r>
      <w:r w:rsidRPr="004819FF">
        <w:rPr>
          <w:rFonts w:asciiTheme="minorHAnsi" w:hAnsiTheme="minorHAnsi" w:cstheme="minorHAnsi"/>
          <w:b w:val="0"/>
          <w:sz w:val="22"/>
          <w:szCs w:val="22"/>
          <w:vertAlign w:val="superscript"/>
        </w:rPr>
        <w:footnoteReference w:id="52"/>
      </w:r>
      <w:r w:rsidRPr="004819FF">
        <w:rPr>
          <w:rFonts w:asciiTheme="minorHAnsi" w:hAnsiTheme="minorHAnsi" w:cstheme="minorHAnsi"/>
          <w:b w:val="0"/>
          <w:sz w:val="22"/>
          <w:szCs w:val="22"/>
          <w:vertAlign w:val="superscript"/>
        </w:rPr>
        <w:t xml:space="preserve"> </w:t>
      </w:r>
      <w:r w:rsidRPr="004819FF">
        <w:rPr>
          <w:rFonts w:asciiTheme="minorHAnsi" w:hAnsiTheme="minorHAnsi" w:cstheme="minorHAnsi"/>
          <w:b w:val="0"/>
          <w:sz w:val="22"/>
          <w:szCs w:val="22"/>
        </w:rPr>
        <w:t>określonym w załączniku nr 5 do zasad obiegu oraz kontroli sprawozdań budżetowych, sprawozdań w zakresie operacji finansowych {..)</w:t>
      </w:r>
      <w:r w:rsidRPr="004819FF">
        <w:rPr>
          <w:rFonts w:asciiTheme="minorHAnsi" w:hAnsiTheme="minorHAnsi" w:cstheme="minorHAnsi"/>
          <w:b w:val="0"/>
          <w:sz w:val="22"/>
          <w:szCs w:val="22"/>
          <w:vertAlign w:val="superscript"/>
        </w:rPr>
        <w:t>51</w:t>
      </w:r>
      <w:r w:rsidRPr="004819FF">
        <w:rPr>
          <w:rFonts w:asciiTheme="minorHAnsi" w:hAnsiTheme="minorHAnsi" w:cstheme="minorHAnsi"/>
          <w:b w:val="0"/>
          <w:sz w:val="22"/>
          <w:szCs w:val="22"/>
        </w:rPr>
        <w:t>.</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Zarządzeniem nr </w:t>
      </w:r>
      <w:r w:rsidRPr="004819FF">
        <w:rPr>
          <w:rFonts w:asciiTheme="minorHAnsi" w:hAnsiTheme="minorHAnsi" w:cstheme="minorHAnsi"/>
          <w:b w:val="0"/>
          <w:sz w:val="22"/>
          <w:szCs w:val="22"/>
          <w:lang w:val="ru-RU" w:eastAsia="ru-RU" w:bidi="ru-RU"/>
        </w:rPr>
        <w:t xml:space="preserve">8/2008 </w:t>
      </w:r>
      <w:r w:rsidRPr="004819FF">
        <w:rPr>
          <w:rFonts w:asciiTheme="minorHAnsi" w:hAnsiTheme="minorHAnsi" w:cstheme="minorHAnsi"/>
          <w:b w:val="0"/>
          <w:sz w:val="22"/>
          <w:szCs w:val="22"/>
        </w:rPr>
        <w:t xml:space="preserve">Dyrektora z dnia 2 stycznia 2008 r. w sprawie wprowadzenia Instrukcji </w:t>
      </w:r>
      <w:r w:rsidR="00937A18"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sprawie przeprowadzenia inwentaryzacji określono rodzaje przeprowadzanej inwentaryzacji, obowiązki i odpowiedzialność uczestników inwentaryzacji, zasady sporządzania arkuszy spisowych oraz rozliczania wyników inwentaryzacji.</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Zgodnie z wydanym w 2019 roku zarządzeniem</w:t>
      </w:r>
      <w:r w:rsidRPr="004819FF">
        <w:rPr>
          <w:rFonts w:asciiTheme="minorHAnsi" w:hAnsiTheme="minorHAnsi" w:cstheme="minorHAnsi"/>
          <w:b w:val="0"/>
          <w:sz w:val="22"/>
          <w:szCs w:val="22"/>
          <w:vertAlign w:val="superscript"/>
        </w:rPr>
        <w:footnoteReference w:id="53"/>
      </w:r>
      <w:r w:rsidRPr="004819FF">
        <w:rPr>
          <w:rFonts w:asciiTheme="minorHAnsi" w:hAnsiTheme="minorHAnsi" w:cstheme="minorHAnsi"/>
          <w:b w:val="0"/>
          <w:sz w:val="22"/>
          <w:szCs w:val="22"/>
        </w:rPr>
        <w:t xml:space="preserve"> w terminie od 4 listopada 2019 r. do 20 grudnia </w:t>
      </w:r>
      <w:r w:rsidR="00937A18"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2019 r. - wg stanu na 31 października 2019 r. - miała się odbyć inwentaryzacja dekoracji i mebli, rekwizytów, kostiumów, środków trwałych, wartości niematerialnych i prawnych. Wyniki spisu miały zostać ujęte na arkuszach spisu z natury, komisja spisowa była zobowiązana dokonać wyceny składników majątkowych, sporządzić rozliczenie spisu i przekazać dokumentację ze spisu w terminie 10 dni od zakończenia spisu.</w:t>
      </w:r>
    </w:p>
    <w:p w:rsidR="001146A5" w:rsidRPr="004819FF" w:rsidRDefault="00995131" w:rsidP="004819FF">
      <w:pPr>
        <w:pStyle w:val="Bodytext20"/>
        <w:shd w:val="clear" w:color="auto" w:fill="auto"/>
        <w:spacing w:before="120" w:after="240" w:line="300" w:lineRule="auto"/>
        <w:ind w:right="-17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dokumentacji z przeprowadzonego spisu stwierdzono, że w arkuszach inwentaryzacyjnych nie podano wartości poszczególnych środków trwałych podlegających spisowi, czym nie dochowano postanowień z pkt. 12 zarządzenia nr </w:t>
      </w:r>
      <w:r w:rsidRPr="004819FF">
        <w:rPr>
          <w:rFonts w:asciiTheme="minorHAnsi" w:hAnsiTheme="minorHAnsi" w:cstheme="minorHAnsi"/>
          <w:b w:val="0"/>
          <w:sz w:val="22"/>
          <w:szCs w:val="22"/>
          <w:lang w:val="ru-RU" w:eastAsia="ru-RU" w:bidi="ru-RU"/>
        </w:rPr>
        <w:t xml:space="preserve">8/2008 </w:t>
      </w:r>
      <w:r w:rsidRPr="004819FF">
        <w:rPr>
          <w:rFonts w:asciiTheme="minorHAnsi" w:hAnsiTheme="minorHAnsi" w:cstheme="minorHAnsi"/>
          <w:b w:val="0"/>
          <w:sz w:val="22"/>
          <w:szCs w:val="22"/>
        </w:rPr>
        <w:t>Dyrektora z 2 stycznia 2008 r.</w:t>
      </w:r>
    </w:p>
    <w:p w:rsidR="001146A5" w:rsidRPr="004819FF" w:rsidRDefault="00995131" w:rsidP="009C7058">
      <w:pPr>
        <w:pStyle w:val="Bodytext20"/>
        <w:shd w:val="clear" w:color="auto" w:fill="auto"/>
        <w:spacing w:before="120" w:after="240" w:line="300" w:lineRule="auto"/>
        <w:ind w:right="-37" w:firstLine="0"/>
        <w:jc w:val="left"/>
        <w:rPr>
          <w:rFonts w:asciiTheme="minorHAnsi" w:hAnsiTheme="minorHAnsi" w:cstheme="minorHAnsi"/>
          <w:b w:val="0"/>
          <w:sz w:val="22"/>
          <w:szCs w:val="22"/>
        </w:rPr>
      </w:pPr>
      <w:r w:rsidRPr="004819FF">
        <w:rPr>
          <w:rFonts w:asciiTheme="minorHAnsi" w:hAnsiTheme="minorHAnsi" w:cstheme="minorHAnsi"/>
          <w:b w:val="0"/>
          <w:sz w:val="22"/>
          <w:szCs w:val="22"/>
          <w:lang w:val="en-US" w:eastAsia="en-US" w:bidi="en-US"/>
        </w:rPr>
        <w:t xml:space="preserve">Dane dot. </w:t>
      </w:r>
      <w:r w:rsidRPr="004819FF">
        <w:rPr>
          <w:rFonts w:asciiTheme="minorHAnsi" w:hAnsiTheme="minorHAnsi" w:cstheme="minorHAnsi"/>
          <w:b w:val="0"/>
          <w:sz w:val="22"/>
          <w:szCs w:val="22"/>
        </w:rPr>
        <w:t xml:space="preserve">liczby przedmiotów, z arkuszy wypełnionych ręcznie, przenoszono do arkuszy wydrukowanych z systemu komputerowego; ww. arkusze były podpisane przez członków komisji; wszystkie arkusze posiadały naniesioną datę „2019-10-31". Na arkuszach inwentaryzacyjnych nie było adnotacji o wystąpieniu różnic inwentaryzacyjnych oraz nie podano wyceny spisanych </w:t>
      </w:r>
      <w:r w:rsidRPr="004819FF">
        <w:rPr>
          <w:rFonts w:asciiTheme="minorHAnsi" w:hAnsiTheme="minorHAnsi" w:cstheme="minorHAnsi"/>
          <w:b w:val="0"/>
          <w:sz w:val="22"/>
          <w:szCs w:val="22"/>
        </w:rPr>
        <w:lastRenderedPageBreak/>
        <w:t>przedmiotów, czym nie dochowano postanowień pkt 16 ww. zarządzenia. Teatr nie przedłożył oświadczeń o nie wniesieniu zastrzeżeń do przeprowadzonej inwentaryzacji przez osoby materialnie odpowiedzialne za powierzone mienie, co było niezgodne z pkt. 15 ww. zarządzenia.</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dokumencie „Sprawozdanie opisowe z przebiegu spisu z natury", sporządzonym odrębnie </w:t>
      </w:r>
      <w:r w:rsidR="00E1127D"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poszczególnych pól spisowych (z datą 10 stycznia 2020 r.), wskazano numery wykorzystanych arkusz spisowych oraz dni, w których Komisja przeprowadzała spis; nie podano innych danych dotyczących przeprowadzonego spisu. Stwierdzono, że Komisje wskazywały daty przeprowadzenia czynności po dniu kiedy spis powinien zostać zakończony np. 8-10 stycznia 2020 r. (magazyn kostiumów),</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2-3 i 7-9 stycznia 2020 r. (magazyn scenografii), czym nie dochowano terminu określonego</w:t>
      </w:r>
      <w:r w:rsidR="00E1127D"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w zarządzeniu nr </w:t>
      </w:r>
      <w:r w:rsidRPr="004819FF">
        <w:rPr>
          <w:rFonts w:asciiTheme="minorHAnsi" w:hAnsiTheme="minorHAnsi" w:cstheme="minorHAnsi"/>
          <w:b w:val="0"/>
          <w:sz w:val="22"/>
          <w:szCs w:val="22"/>
          <w:lang w:val="ru-RU" w:eastAsia="ru-RU" w:bidi="ru-RU"/>
        </w:rPr>
        <w:t xml:space="preserve">16/2019 </w:t>
      </w:r>
      <w:r w:rsidRPr="004819FF">
        <w:rPr>
          <w:rFonts w:asciiTheme="minorHAnsi" w:hAnsiTheme="minorHAnsi" w:cstheme="minorHAnsi"/>
          <w:b w:val="0"/>
          <w:sz w:val="22"/>
          <w:szCs w:val="22"/>
        </w:rPr>
        <w:t>Dyrektor Teatru.</w:t>
      </w:r>
    </w:p>
    <w:p w:rsidR="001146A5" w:rsidRPr="004819FF" w:rsidRDefault="00995131" w:rsidP="009C7058">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Sporządzono również „notatki" i „oświadczenie" (z datą 15 stycznia 2020 r.), w których wskazywano nadwyżki </w:t>
      </w:r>
      <w:r w:rsidRPr="004819FF">
        <w:rPr>
          <w:rFonts w:asciiTheme="minorHAnsi" w:hAnsiTheme="minorHAnsi" w:cstheme="minorHAnsi"/>
          <w:b w:val="0"/>
          <w:sz w:val="22"/>
          <w:szCs w:val="22"/>
          <w:lang w:val="ru-RU" w:eastAsia="ru-RU" w:bidi="ru-RU"/>
        </w:rPr>
        <w:t xml:space="preserve">/ </w:t>
      </w:r>
      <w:r w:rsidRPr="004819FF">
        <w:rPr>
          <w:rFonts w:asciiTheme="minorHAnsi" w:hAnsiTheme="minorHAnsi" w:cstheme="minorHAnsi"/>
          <w:b w:val="0"/>
          <w:sz w:val="22"/>
          <w:szCs w:val="22"/>
        </w:rPr>
        <w:t>niedobory, lecz bez wskazania nazw przedmiotów, liczby i ich wartości, odwołując się do dokumentów księgowych „Przyjęcie wewnętrzne" (nadwyżka inwentaryzacyjna) lub „Rozchód wewnętrzny" (niedobór inwentaryzacyjny), które zostały wystawione z datą 31 października 2019 r.</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W okazanym dokumencie „Protokół Komisji Inwentaryzacyjnej sporządzony na zakończenie</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Inwentaryzacji na dzień 15 stycznia 2020 r."[kopia] wskazano, że czynności spisowe trwały</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od 4 listopada 2019 r. do 10 stycznia 2020 r., ujawniano niedobry na ogólną kwotę na kwotę</w:t>
      </w:r>
    </w:p>
    <w:p w:rsidR="001146A5" w:rsidRPr="004819FF" w:rsidRDefault="00995131" w:rsidP="009C7058">
      <w:pPr>
        <w:pStyle w:val="Bodytext20"/>
        <w:shd w:val="clear" w:color="auto" w:fill="auto"/>
        <w:spacing w:before="120" w:after="240" w:line="300" w:lineRule="auto"/>
        <w:ind w:right="-462"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158 485,46 zł</w:t>
      </w:r>
      <w:r w:rsidRPr="004819FF">
        <w:rPr>
          <w:rFonts w:asciiTheme="minorHAnsi" w:hAnsiTheme="minorHAnsi" w:cstheme="minorHAnsi"/>
          <w:b w:val="0"/>
          <w:sz w:val="22"/>
          <w:szCs w:val="22"/>
          <w:vertAlign w:val="superscript"/>
        </w:rPr>
        <w:footnoteReference w:id="54"/>
      </w:r>
      <w:r w:rsidRPr="004819FF">
        <w:rPr>
          <w:rFonts w:asciiTheme="minorHAnsi" w:hAnsiTheme="minorHAnsi" w:cstheme="minorHAnsi"/>
          <w:b w:val="0"/>
          <w:sz w:val="22"/>
          <w:szCs w:val="22"/>
        </w:rPr>
        <w:t xml:space="preserve"> oraz nadwyżki na kwotę 18 482,79 zł</w:t>
      </w:r>
      <w:r w:rsidRPr="004819FF">
        <w:rPr>
          <w:rFonts w:asciiTheme="minorHAnsi" w:hAnsiTheme="minorHAnsi" w:cstheme="minorHAnsi"/>
          <w:b w:val="0"/>
          <w:sz w:val="22"/>
          <w:szCs w:val="22"/>
          <w:vertAlign w:val="superscript"/>
        </w:rPr>
        <w:footnoteReference w:id="55"/>
      </w:r>
      <w:r w:rsidRPr="004819FF">
        <w:rPr>
          <w:rFonts w:asciiTheme="minorHAnsi" w:hAnsiTheme="minorHAnsi" w:cstheme="minorHAnsi"/>
          <w:b w:val="0"/>
          <w:sz w:val="22"/>
          <w:szCs w:val="22"/>
        </w:rPr>
        <w:t xml:space="preserve">, w tym wskazano kwoty niedoboru </w:t>
      </w:r>
      <w:r w:rsidRPr="004819FF">
        <w:rPr>
          <w:rFonts w:asciiTheme="minorHAnsi" w:hAnsiTheme="minorHAnsi" w:cstheme="minorHAnsi"/>
          <w:b w:val="0"/>
          <w:sz w:val="22"/>
          <w:szCs w:val="22"/>
          <w:lang w:val="ru-RU" w:eastAsia="ru-RU" w:bidi="ru-RU"/>
        </w:rPr>
        <w:t xml:space="preserve">/ </w:t>
      </w:r>
      <w:r w:rsidRPr="004819FF">
        <w:rPr>
          <w:rFonts w:asciiTheme="minorHAnsi" w:hAnsiTheme="minorHAnsi" w:cstheme="minorHAnsi"/>
          <w:b w:val="0"/>
          <w:sz w:val="22"/>
          <w:szCs w:val="22"/>
        </w:rPr>
        <w:t>nadwyżki</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w podziale na poszczególne pola spisowe. Wszystkie niedobry uznano za niezawinione, protokół</w:t>
      </w:r>
    </w:p>
    <w:p w:rsidR="001146A5" w:rsidRPr="004819FF" w:rsidRDefault="00995131" w:rsidP="009C7058">
      <w:pPr>
        <w:pStyle w:val="Bodytext20"/>
        <w:shd w:val="clear" w:color="auto" w:fill="auto"/>
        <w:spacing w:before="120" w:after="240" w:line="300" w:lineRule="auto"/>
        <w:ind w:right="-462"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został podpisany przez członków Komisji oraz Dyrektor Teatru; brak opinii Głównego księgowego oraz</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Radcy prawnego, pomimo, iż w Protokole wskazano taką pozycję do wypełnienia. Teatr do dnia</w:t>
      </w:r>
    </w:p>
    <w:p w:rsidR="001146A5" w:rsidRPr="004819FF" w:rsidRDefault="00995131" w:rsidP="009C7058">
      <w:pPr>
        <w:pStyle w:val="Bodytext20"/>
        <w:shd w:val="clear" w:color="auto" w:fill="auto"/>
        <w:spacing w:before="120" w:after="240" w:line="300" w:lineRule="auto"/>
        <w:ind w:right="-178"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zakończenia kontroli nie przedłożył oryginału ww. Protokołu wyjaśniając, że oryginał nie może być</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dostarczony z przyczyn niezależnych od Teatru, czym nie dochowano postanowień</w:t>
      </w:r>
    </w:p>
    <w:p w:rsidR="001146A5" w:rsidRPr="004819FF" w:rsidRDefault="00995131" w:rsidP="009C7058">
      <w:pPr>
        <w:pStyle w:val="Bodytext20"/>
        <w:shd w:val="clear" w:color="auto" w:fill="auto"/>
        <w:spacing w:before="120" w:after="240" w:line="300" w:lineRule="auto"/>
        <w:ind w:right="-178"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pkt. 23 zarządzenia nr </w:t>
      </w:r>
      <w:r w:rsidRPr="004819FF">
        <w:rPr>
          <w:rFonts w:asciiTheme="minorHAnsi" w:hAnsiTheme="minorHAnsi" w:cstheme="minorHAnsi"/>
          <w:b w:val="0"/>
          <w:sz w:val="22"/>
          <w:szCs w:val="22"/>
          <w:lang w:val="ru-RU" w:eastAsia="ru-RU" w:bidi="ru-RU"/>
        </w:rPr>
        <w:t xml:space="preserve">8/2008 </w:t>
      </w:r>
      <w:r w:rsidRPr="004819FF">
        <w:rPr>
          <w:rFonts w:asciiTheme="minorHAnsi" w:hAnsiTheme="minorHAnsi" w:cstheme="minorHAnsi"/>
          <w:b w:val="0"/>
          <w:sz w:val="22"/>
          <w:szCs w:val="22"/>
        </w:rPr>
        <w:t xml:space="preserve">Dyrektora z 2 stycznia 2008 r. oraz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71 ust. 1,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73 ust. 1,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74</w:t>
      </w:r>
    </w:p>
    <w:p w:rsidR="001146A5" w:rsidRPr="004819FF" w:rsidRDefault="00995131" w:rsidP="009C7058">
      <w:pPr>
        <w:pStyle w:val="Bodytext20"/>
        <w:shd w:val="clear" w:color="auto" w:fill="auto"/>
        <w:spacing w:before="120" w:after="240" w:line="300" w:lineRule="auto"/>
        <w:ind w:firstLine="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ust. 2 pkt 7 ustawy o rachunkowości.</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Wskazać należy, że dokumenty Przyjęcie wewnętrzne" (nadwyżka) lub „Rozchód wewnętrzny" (niedobór) zostały wystawione z datą 31 października 2019 r., tj. przed zakończeniem czynności spisowych i akceptacją rozliczenia przez Dyrektor Teatru. Ponadto na podstawie ksiąg rachunkowych wg stanu na 31 października 2019 r., ujawniono różnice pomiędzy stanem ujętym w ewidencji środków trwałych a zestawieniem obrotów aktywnych kont analitycznych tj. w zakresie innych środków </w:t>
      </w:r>
      <w:r w:rsidRPr="004819FF">
        <w:rPr>
          <w:rFonts w:asciiTheme="minorHAnsi" w:hAnsiTheme="minorHAnsi" w:cstheme="minorHAnsi"/>
          <w:b w:val="0"/>
          <w:sz w:val="22"/>
          <w:szCs w:val="22"/>
        </w:rPr>
        <w:lastRenderedPageBreak/>
        <w:t>trwałych (gr. 8) różnica wyniosła (-) 84 276,15 zł</w:t>
      </w:r>
      <w:r w:rsidRPr="004819FF">
        <w:rPr>
          <w:rFonts w:asciiTheme="minorHAnsi" w:hAnsiTheme="minorHAnsi" w:cstheme="minorHAnsi"/>
          <w:b w:val="0"/>
          <w:sz w:val="22"/>
          <w:szCs w:val="22"/>
          <w:vertAlign w:val="superscript"/>
        </w:rPr>
        <w:footnoteReference w:id="56"/>
      </w:r>
      <w:r w:rsidRPr="004819FF">
        <w:rPr>
          <w:rFonts w:asciiTheme="minorHAnsi" w:hAnsiTheme="minorHAnsi" w:cstheme="minorHAnsi"/>
          <w:b w:val="0"/>
          <w:sz w:val="22"/>
          <w:szCs w:val="22"/>
        </w:rPr>
        <w:t>, urządzenia techniczne i maszyny (gr. 4-6) różnica wyniosła (-) 119 214,45 zł</w:t>
      </w:r>
      <w:r w:rsidRPr="004819FF">
        <w:rPr>
          <w:rFonts w:asciiTheme="minorHAnsi" w:hAnsiTheme="minorHAnsi" w:cstheme="minorHAnsi"/>
          <w:b w:val="0"/>
          <w:sz w:val="22"/>
          <w:szCs w:val="22"/>
          <w:vertAlign w:val="superscript"/>
        </w:rPr>
        <w:footnoteReference w:id="57"/>
      </w:r>
      <w:r w:rsidRPr="004819FF">
        <w:rPr>
          <w:rFonts w:asciiTheme="minorHAnsi" w:hAnsiTheme="minorHAnsi" w:cstheme="minorHAnsi"/>
          <w:b w:val="0"/>
          <w:sz w:val="22"/>
          <w:szCs w:val="22"/>
        </w:rPr>
        <w:t xml:space="preserve">, co wskazuje na nierzetelne rozliczenie przeprowadzonej inwentaryzacji, co narusza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27 ust. 1 ustawy o rachunkowości bądź na nierzetelne prowadzenie </w:t>
      </w:r>
      <w:r w:rsidR="009C7058">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ksiąg rachunkowych, co narusza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16 ust. 1 w zw.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17 ust. 1 pkt 1,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18 ust. 2,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24 ust. 2 ustawy o rachunkowości.</w:t>
      </w: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Przeprowadzona na koniec 2021 roku inwentaryzacja środków pieniężnych w kasie nie wykazała różnic.</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W pkt. 10 Zasad prowadzenia rachunkowości ustalono, że spis przedmiotów nietrwałych, dekoracji, rekwizytów, kostiumów, towarów odbywa się raz na 2 lata, zatem spis powinien odbyć się w 2021 roku. W sprawie nieprzeprowadzenia inwentaryzacji ww. składników majątku Główna księgowa Teatru wyjaśniła, że decyzją Dyrektor Teatru, w związku z wystąpieniem stanu epidemii, uchylono wydane w 2021 roku 2 zarządzenia w sprawie przeprowadzenia inwentaryzacji.</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Odpis na zakładowy fundusz świadczeń socjalnych (dalej: Fundusz) wyliczono w 2021 roku na łączną kwotę 124 795,93 zł. Nie sporządzono korekty odpisu na koniec roku obrachunkowego, czym nie dochowano postanowień §1 w zw. z § 3 ust. 1 rozporządzenia Ministra Pracy i Polityki Społecznej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dnia 9 marca 2009 r. w sprawie sposobu ustalania przeciętnej liczby zatrudnionych w celu naliczania odpisu na zakładowy fundusz świadczeń socjalnych</w:t>
      </w:r>
      <w:r w:rsidRPr="004819FF">
        <w:rPr>
          <w:rFonts w:asciiTheme="minorHAnsi" w:hAnsiTheme="minorHAnsi" w:cstheme="minorHAnsi"/>
          <w:b w:val="0"/>
          <w:sz w:val="22"/>
          <w:szCs w:val="22"/>
          <w:vertAlign w:val="superscript"/>
        </w:rPr>
        <w:footnoteReference w:id="58"/>
      </w:r>
      <w:r w:rsidRPr="004819FF">
        <w:rPr>
          <w:rFonts w:asciiTheme="minorHAnsi" w:hAnsiTheme="minorHAnsi" w:cstheme="minorHAnsi"/>
          <w:b w:val="0"/>
          <w:sz w:val="22"/>
          <w:szCs w:val="22"/>
        </w:rPr>
        <w:t xml:space="preserve">. Kwoty odpisu przekazano na odrębny rachunek bankowy w kwotach oraz terminach naruszając przepis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6 ust. 2 ustawy z dnia 4 marca 1994 r.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o zakładowym funduszu świadczeń socjalnych</w:t>
      </w:r>
      <w:r w:rsidRPr="004819FF">
        <w:rPr>
          <w:rFonts w:asciiTheme="minorHAnsi" w:hAnsiTheme="minorHAnsi" w:cstheme="minorHAnsi"/>
          <w:b w:val="0"/>
          <w:sz w:val="22"/>
          <w:szCs w:val="22"/>
          <w:vertAlign w:val="superscript"/>
        </w:rPr>
        <w:footnoteReference w:id="59"/>
      </w:r>
      <w:r w:rsidRPr="004819FF">
        <w:rPr>
          <w:rFonts w:asciiTheme="minorHAnsi" w:hAnsiTheme="minorHAnsi" w:cstheme="minorHAnsi"/>
          <w:b w:val="0"/>
          <w:sz w:val="22"/>
          <w:szCs w:val="22"/>
        </w:rPr>
        <w:t xml:space="preserve">, tj. pierwszą transzę przekazano 9 lipca 2021 r., czyli 39 dni po ustawowo określonym terminie, w kwocie stanowiącej 40% odpisu, natomiast zgodnie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z ww. ustawą kwota ta winna stanowić równowartość 75% planowanego odpisu; kolejną transzę przekazano 8 grudnia 2021 r., czyli 69 dni po ustawowo określonym terminie, w kwocie stanowiącej 59,30 % kwoty odpisu; kwotę stanowiącą 0,64% odpisu przekazano 26 maja 2022 r., czyli 146 dni po zakończeniu roku obrachunkowego. Z wyjaśnień złożonych przez Główną księgową Teatru wynika,</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że główną przyczyną nieterminowego przekazywania środków był harmonogram pracy księgowości spowodowany stanem epidemii </w:t>
      </w:r>
      <w:proofErr w:type="spellStart"/>
      <w:r w:rsidRPr="004819FF">
        <w:rPr>
          <w:rFonts w:asciiTheme="minorHAnsi" w:hAnsiTheme="minorHAnsi" w:cstheme="minorHAnsi"/>
          <w:b w:val="0"/>
          <w:sz w:val="22"/>
          <w:szCs w:val="22"/>
          <w:lang w:val="en-US" w:eastAsia="en-US" w:bidi="en-US"/>
        </w:rPr>
        <w:t>Covid</w:t>
      </w:r>
      <w:proofErr w:type="spellEnd"/>
      <w:r w:rsidRPr="004819FF">
        <w:rPr>
          <w:rFonts w:asciiTheme="minorHAnsi" w:hAnsiTheme="minorHAnsi" w:cstheme="minorHAnsi"/>
          <w:b w:val="0"/>
          <w:sz w:val="22"/>
          <w:szCs w:val="22"/>
          <w:lang w:val="en-US" w:eastAsia="en-US" w:bidi="en-US"/>
        </w:rPr>
        <w:t xml:space="preserve">, </w:t>
      </w:r>
      <w:r w:rsidRPr="004819FF">
        <w:rPr>
          <w:rFonts w:asciiTheme="minorHAnsi" w:hAnsiTheme="minorHAnsi" w:cstheme="minorHAnsi"/>
          <w:b w:val="0"/>
          <w:sz w:val="22"/>
          <w:szCs w:val="22"/>
        </w:rPr>
        <w:t xml:space="preserve">oraz „ (..) przeoczyłam terminy przekazania środków na konto ZFŚS a kwoty przekazanych środków były szacunkowe. Dołożę należytej staranności aby sytuacja nie powtórzyła się". Teatr nie skorzystał z uprawnienia - wynikającego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5 ust. 4 ww. ustawy - zwiększenia wysokości odpisu podstawowego o wartość 6,25 % przeciętnego wynagrodzenia </w:t>
      </w:r>
      <w:r w:rsidRPr="004819FF">
        <w:rPr>
          <w:rFonts w:asciiTheme="minorHAnsi" w:hAnsiTheme="minorHAnsi" w:cstheme="minorHAnsi"/>
          <w:b w:val="0"/>
          <w:sz w:val="22"/>
          <w:szCs w:val="22"/>
        </w:rPr>
        <w:lastRenderedPageBreak/>
        <w:t>miesięcznego, w związku z zatrudnieniem w Teatrze 2 osób z orzeczeniem o stopniu niepełnosprawności.</w:t>
      </w:r>
    </w:p>
    <w:p w:rsidR="00C30086" w:rsidRPr="004819FF" w:rsidRDefault="00995131" w:rsidP="009C7058">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Ujawniono, że stan Funduszu (konto 851) na dzień 31 grudnia 2021 r. był większy o kwotę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5 891,75 zł, niż wynikało to z sald kont rachunku bankowego Funduszu (132) oraz kont rozrachunkowych z pracownikami (234-2). Powyższe wskazuje na nieprzekazanie w latach ubiegłych ww. kwoty na odrębny rachunek bankowy, tym samym działanie na szkodę pracowników poprzez zmniejszenie środków na świadczenia socjalne. Wskazać należy, że zgodnie z przepisami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94 pkt 8 Kodeksu pracy, określającymi obowiązki pracodawcy oraz ustawą o zakładowym funduszu świadczeń socjalnych, zabezpieczenie socjalnych potrzeb pracowników należy do obowiązków pracodawcy.</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zakresie kontroli zarządczej ustalono, że w Teatrze obowiązywała Księga Systemu Kontroli Zarządczej wprowadzona zarządzeniem nr </w:t>
      </w:r>
      <w:r w:rsidRPr="004819FF">
        <w:rPr>
          <w:rFonts w:asciiTheme="minorHAnsi" w:hAnsiTheme="minorHAnsi" w:cstheme="minorHAnsi"/>
          <w:b w:val="0"/>
          <w:sz w:val="22"/>
          <w:szCs w:val="22"/>
          <w:lang w:val="ru-RU" w:eastAsia="ru-RU" w:bidi="ru-RU"/>
        </w:rPr>
        <w:t xml:space="preserve">18/2020 </w:t>
      </w:r>
      <w:r w:rsidRPr="004819FF">
        <w:rPr>
          <w:rFonts w:asciiTheme="minorHAnsi" w:hAnsiTheme="minorHAnsi" w:cstheme="minorHAnsi"/>
          <w:b w:val="0"/>
          <w:sz w:val="22"/>
          <w:szCs w:val="22"/>
        </w:rPr>
        <w:t xml:space="preserve">Dyrektora Teatru z dnia 31 sierpnia 2020 r.;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skład Zespołu Kontroli Zarządczej wchodzi Dyrektor Teatru oraz Główna Księgowa. W Teatrze odpowiedzialność w ramach Systemu kontroli zarządczej spoczywała również na innych organach, tj. Właścicielach Ryzyka</w:t>
      </w:r>
      <w:r w:rsidRPr="004819FF">
        <w:rPr>
          <w:rFonts w:asciiTheme="minorHAnsi" w:hAnsiTheme="minorHAnsi" w:cstheme="minorHAnsi"/>
          <w:b w:val="0"/>
          <w:sz w:val="22"/>
          <w:szCs w:val="22"/>
          <w:vertAlign w:val="superscript"/>
        </w:rPr>
        <w:footnoteReference w:id="60"/>
      </w:r>
      <w:r w:rsidRPr="004819FF">
        <w:rPr>
          <w:rFonts w:asciiTheme="minorHAnsi" w:hAnsiTheme="minorHAnsi" w:cstheme="minorHAnsi"/>
          <w:b w:val="0"/>
          <w:sz w:val="22"/>
          <w:szCs w:val="22"/>
        </w:rPr>
        <w:t>, Koordynatorach ds. Ryzyka</w:t>
      </w:r>
      <w:r w:rsidRPr="004819FF">
        <w:rPr>
          <w:rFonts w:asciiTheme="minorHAnsi" w:hAnsiTheme="minorHAnsi" w:cstheme="minorHAnsi"/>
          <w:b w:val="0"/>
          <w:sz w:val="22"/>
          <w:szCs w:val="22"/>
          <w:vertAlign w:val="superscript"/>
        </w:rPr>
        <w:footnoteReference w:id="61"/>
      </w:r>
      <w:r w:rsidRPr="004819FF">
        <w:rPr>
          <w:rFonts w:asciiTheme="minorHAnsi" w:hAnsiTheme="minorHAnsi" w:cstheme="minorHAnsi"/>
          <w:b w:val="0"/>
          <w:sz w:val="22"/>
          <w:szCs w:val="22"/>
        </w:rPr>
        <w:t>, a także Zespole Audytu wewnętrznego</w:t>
      </w:r>
      <w:r w:rsidRPr="004819FF">
        <w:rPr>
          <w:rFonts w:asciiTheme="minorHAnsi" w:hAnsiTheme="minorHAnsi" w:cstheme="minorHAnsi"/>
          <w:b w:val="0"/>
          <w:sz w:val="22"/>
          <w:szCs w:val="22"/>
          <w:vertAlign w:val="superscript"/>
        </w:rPr>
        <w:footnoteReference w:id="62"/>
      </w:r>
      <w:r w:rsidRPr="004819FF">
        <w:rPr>
          <w:rFonts w:asciiTheme="minorHAnsi" w:hAnsiTheme="minorHAnsi" w:cstheme="minorHAnsi"/>
          <w:b w:val="0"/>
          <w:sz w:val="22"/>
          <w:szCs w:val="22"/>
        </w:rPr>
        <w:t xml:space="preserve">. Teatr nie przedłożył załączników nr 3 i 4 do Księgi tj. oświadczeń o stanie kontroli zarządczej składanych przez Właścicieli Ryzyka, a także zbiorczych arkusz oceny i analizy ryzyka wraz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z proponowanym przeciwdziałaniem. Ustalono, że analiza ryzyka była prowadzona głównie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w obszarze ryzyka operacyjnego określonego w </w:t>
      </w:r>
      <w:proofErr w:type="spellStart"/>
      <w:r w:rsidRPr="004819FF">
        <w:rPr>
          <w:rFonts w:asciiTheme="minorHAnsi" w:hAnsiTheme="minorHAnsi" w:cstheme="minorHAnsi"/>
          <w:b w:val="0"/>
          <w:sz w:val="22"/>
          <w:szCs w:val="22"/>
          <w:lang w:val="de-DE" w:eastAsia="de-DE" w:bidi="de-DE"/>
        </w:rPr>
        <w:t>pkt.</w:t>
      </w:r>
      <w:proofErr w:type="spellEnd"/>
      <w:r w:rsidRPr="004819FF">
        <w:rPr>
          <w:rFonts w:asciiTheme="minorHAnsi" w:hAnsiTheme="minorHAnsi" w:cstheme="minorHAnsi"/>
          <w:b w:val="0"/>
          <w:sz w:val="22"/>
          <w:szCs w:val="22"/>
          <w:lang w:val="de-DE" w:eastAsia="de-DE" w:bidi="de-DE"/>
        </w:rPr>
        <w:t xml:space="preserve"> </w:t>
      </w:r>
      <w:r w:rsidRPr="004819FF">
        <w:rPr>
          <w:rFonts w:asciiTheme="minorHAnsi" w:hAnsiTheme="minorHAnsi" w:cstheme="minorHAnsi"/>
          <w:b w:val="0"/>
          <w:sz w:val="22"/>
          <w:szCs w:val="22"/>
        </w:rPr>
        <w:t xml:space="preserve">V „Procesie kontroli zarządczej" Księgi Systemu Kontroli Zarządczej, co wykazały rejestry ryzyka za 2021 i 2022 r. W Teatrze nie prowadzono identyfikacji ryzyka w obszarach: ryzyka strategicznego (w tym </w:t>
      </w:r>
      <w:proofErr w:type="spellStart"/>
      <w:r w:rsidRPr="004819FF">
        <w:rPr>
          <w:rFonts w:asciiTheme="minorHAnsi" w:hAnsiTheme="minorHAnsi" w:cstheme="minorHAnsi"/>
          <w:b w:val="0"/>
          <w:sz w:val="22"/>
          <w:szCs w:val="22"/>
        </w:rPr>
        <w:t>ryzyk</w:t>
      </w:r>
      <w:proofErr w:type="spellEnd"/>
      <w:r w:rsidRPr="004819FF">
        <w:rPr>
          <w:rFonts w:asciiTheme="minorHAnsi" w:hAnsiTheme="minorHAnsi" w:cstheme="minorHAnsi"/>
          <w:b w:val="0"/>
          <w:sz w:val="22"/>
          <w:szCs w:val="22"/>
        </w:rPr>
        <w:t xml:space="preserve"> związanych z tworzeniem prawa), ryzyka finansowego (w tym dotyczących kategorii ryzyka: księgowanie, sprawozdawczość finansowa, wydatkowanie środków finansowych) oraz ryzyka operacyjnego (w tym kategorii: prawo, oszustwo).</w:t>
      </w:r>
    </w:p>
    <w:p w:rsidR="001146A5" w:rsidRPr="004819FF" w:rsidRDefault="00995131" w:rsidP="004819FF">
      <w:pPr>
        <w:pStyle w:val="Bodytext20"/>
        <w:shd w:val="clear" w:color="auto" w:fill="auto"/>
        <w:spacing w:before="120" w:after="240" w:line="300" w:lineRule="auto"/>
        <w:ind w:right="-462"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Oceniając funkcjonowanie Teatru w obszarze objętym kontrolą, wskazać należy, że ustalenia kontroli ujawniły szereg naruszeń w zakresie przestrzegania zasad funkcjonowania efektywnej kontroli zarządczej za którą odpowiada kierownik jednostki sektora finansów publicznych. W myśl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 ust. 5 ustawy o rachunkowości oraz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53 ust. 1 ustawy o finansach publicznych § 7 i § 8 zarządzenia nr </w:t>
      </w:r>
      <w:r w:rsidRPr="004819FF">
        <w:rPr>
          <w:rFonts w:asciiTheme="minorHAnsi" w:hAnsiTheme="minorHAnsi" w:cstheme="minorHAnsi"/>
          <w:b w:val="0"/>
          <w:sz w:val="22"/>
          <w:szCs w:val="22"/>
          <w:lang w:val="ru-RU" w:eastAsia="ru-RU" w:bidi="ru-RU"/>
        </w:rPr>
        <w:t xml:space="preserve">1613/2011 </w:t>
      </w:r>
      <w:r w:rsidRPr="004819FF">
        <w:rPr>
          <w:rFonts w:asciiTheme="minorHAnsi" w:hAnsiTheme="minorHAnsi" w:cstheme="minorHAnsi"/>
          <w:b w:val="0"/>
          <w:sz w:val="22"/>
          <w:szCs w:val="22"/>
        </w:rPr>
        <w:t xml:space="preserve">Prezydenta m.st. Warszawy z dnia 11 października 2011 r. odpowiada Pani za realizację celów określonych w § 4 ww. zarządzenia, a także za prawidłowe prowadzenie gospodarki finansowej instytucji kultury, którą Pani kieruje, jak również za sprawowanie nadzoru w zakresie przestrzegania procedur kontroli zarządczej związanych ze zgodnością działalności z przepisami prawa oraz przyjętymi procedurami wewnętrznymi oraz standardami, używania zasobów w sposób oszczędny </w:t>
      </w:r>
      <w:r w:rsidR="00C3008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i przynoszący pożytek oraz ich zabezpieczenie i ochronę, bieżącego identyfikowania i monitorowania </w:t>
      </w:r>
      <w:proofErr w:type="spellStart"/>
      <w:r w:rsidRPr="004819FF">
        <w:rPr>
          <w:rFonts w:asciiTheme="minorHAnsi" w:hAnsiTheme="minorHAnsi" w:cstheme="minorHAnsi"/>
          <w:b w:val="0"/>
          <w:sz w:val="22"/>
          <w:szCs w:val="22"/>
        </w:rPr>
        <w:t>ryzyk</w:t>
      </w:r>
      <w:proofErr w:type="spellEnd"/>
      <w:r w:rsidRPr="004819FF">
        <w:rPr>
          <w:rFonts w:asciiTheme="minorHAnsi" w:hAnsiTheme="minorHAnsi" w:cstheme="minorHAnsi"/>
          <w:b w:val="0"/>
          <w:sz w:val="22"/>
          <w:szCs w:val="22"/>
        </w:rPr>
        <w:t xml:space="preserve"> związanych </w:t>
      </w:r>
      <w:r w:rsidRPr="004819FF">
        <w:rPr>
          <w:rFonts w:asciiTheme="minorHAnsi" w:hAnsiTheme="minorHAnsi" w:cstheme="minorHAnsi"/>
          <w:b w:val="0"/>
          <w:sz w:val="22"/>
          <w:szCs w:val="22"/>
        </w:rPr>
        <w:lastRenderedPageBreak/>
        <w:t>z realizacją zadań.</w:t>
      </w:r>
    </w:p>
    <w:p w:rsidR="001146A5" w:rsidRPr="004819FF" w:rsidRDefault="00995131" w:rsidP="004819FF">
      <w:pPr>
        <w:pStyle w:val="Bodytext20"/>
        <w:shd w:val="clear" w:color="auto" w:fill="auto"/>
        <w:spacing w:before="120" w:after="240" w:line="300" w:lineRule="auto"/>
        <w:ind w:left="380"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Przedstawiając powyższe ustalenia i oceny zalecam:</w:t>
      </w:r>
    </w:p>
    <w:p w:rsidR="00C30086" w:rsidRPr="009C7058" w:rsidRDefault="00995131" w:rsidP="009C7058">
      <w:pPr>
        <w:pStyle w:val="Bodytext20"/>
        <w:numPr>
          <w:ilvl w:val="0"/>
          <w:numId w:val="3"/>
        </w:numPr>
        <w:shd w:val="clear" w:color="auto" w:fill="auto"/>
        <w:tabs>
          <w:tab w:val="left" w:pos="331"/>
        </w:tabs>
        <w:spacing w:before="120" w:after="240" w:line="300" w:lineRule="auto"/>
        <w:ind w:left="380" w:right="-318" w:hanging="380"/>
        <w:contextualSpacing/>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Zaktualizować - poprzez przyjęcie rozwiązań optymalnych, uwzględniających specyfikę Teatru - politykę (zasady) rachunkowości stosownie do postanowień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10 ust. 1, w zw.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10 ust. 2 ustawy o rachunkowości, w tym poprzez określenie planu kont, wykazu ksiąg rachunkowych, zasad klasyfikacji zdarzeń na poszczególnych kontach księgowych, opisów działania programów finansowo-księgowych wykorzystywanych do prowadzenia ksiąg rachunkowych oraz informacji o wersji i dacie rozpoczęcia ich eksploatacji, określenie rodzajów sprawozdań sporządzanych na </w:t>
      </w:r>
    </w:p>
    <w:p w:rsidR="001146A5" w:rsidRPr="004819FF" w:rsidRDefault="00995131" w:rsidP="00993C11">
      <w:pPr>
        <w:pStyle w:val="Bodytext20"/>
        <w:shd w:val="clear" w:color="auto" w:fill="auto"/>
        <w:tabs>
          <w:tab w:val="left" w:pos="331"/>
        </w:tabs>
        <w:spacing w:before="120" w:after="240" w:line="240" w:lineRule="auto"/>
        <w:ind w:left="380" w:right="-318"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podstawie ksiąg rachunkowych. Ujednolicić dokument </w:t>
      </w:r>
      <w:r w:rsidRPr="004819FF">
        <w:rPr>
          <w:rFonts w:asciiTheme="minorHAnsi" w:hAnsiTheme="minorHAnsi" w:cstheme="minorHAnsi"/>
          <w:b w:val="0"/>
          <w:sz w:val="22"/>
          <w:szCs w:val="22"/>
          <w:lang w:val="en-US" w:eastAsia="en-US" w:bidi="en-US"/>
        </w:rPr>
        <w:t xml:space="preserve">dot. </w:t>
      </w:r>
      <w:r w:rsidRPr="004819FF">
        <w:rPr>
          <w:rFonts w:asciiTheme="minorHAnsi" w:hAnsiTheme="minorHAnsi" w:cstheme="minorHAnsi"/>
          <w:b w:val="0"/>
          <w:sz w:val="22"/>
          <w:szCs w:val="22"/>
        </w:rPr>
        <w:t>zasad przeprowadzania i rozliczania inwentaryzacji. Zapisy w księgach rachunkowych prowadzić wyłącznie na kontach uwzględnionych w zakładowym planie kont.</w:t>
      </w:r>
    </w:p>
    <w:p w:rsidR="001146A5" w:rsidRPr="004819FF" w:rsidRDefault="00995131" w:rsidP="00993C11">
      <w:pPr>
        <w:pStyle w:val="Bodytext20"/>
        <w:numPr>
          <w:ilvl w:val="0"/>
          <w:numId w:val="3"/>
        </w:numPr>
        <w:shd w:val="clear" w:color="auto" w:fill="auto"/>
        <w:tabs>
          <w:tab w:val="left" w:pos="347"/>
        </w:tabs>
        <w:spacing w:before="120" w:after="240" w:line="240" w:lineRule="auto"/>
        <w:ind w:left="420" w:right="-462"/>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Stosownie </w:t>
      </w:r>
      <w:r w:rsidRPr="004819FF">
        <w:rPr>
          <w:rFonts w:asciiTheme="minorHAnsi" w:hAnsiTheme="minorHAnsi" w:cstheme="minorHAnsi"/>
          <w:b w:val="0"/>
          <w:sz w:val="22"/>
          <w:szCs w:val="22"/>
          <w:lang w:val="en-US" w:eastAsia="en-US" w:bidi="en-US"/>
        </w:rPr>
        <w:t xml:space="preserve">do art. </w:t>
      </w:r>
      <w:r w:rsidRPr="004819FF">
        <w:rPr>
          <w:rFonts w:asciiTheme="minorHAnsi" w:hAnsiTheme="minorHAnsi" w:cstheme="minorHAnsi"/>
          <w:b w:val="0"/>
          <w:sz w:val="22"/>
          <w:szCs w:val="22"/>
        </w:rPr>
        <w:t>77</w:t>
      </w:r>
      <w:r w:rsidRPr="004819FF">
        <w:rPr>
          <w:rFonts w:asciiTheme="minorHAnsi" w:hAnsiTheme="minorHAnsi" w:cstheme="minorHAnsi"/>
          <w:b w:val="0"/>
          <w:sz w:val="22"/>
          <w:szCs w:val="22"/>
          <w:vertAlign w:val="superscript"/>
        </w:rPr>
        <w:t>2</w:t>
      </w:r>
      <w:r w:rsidRPr="004819FF">
        <w:rPr>
          <w:rFonts w:asciiTheme="minorHAnsi" w:hAnsiTheme="minorHAnsi" w:cstheme="minorHAnsi"/>
          <w:b w:val="0"/>
          <w:sz w:val="22"/>
          <w:szCs w:val="22"/>
        </w:rPr>
        <w:t xml:space="preserve"> § 1, w związku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78 § 2 ustawy Kodeks pracy określić w Regulaminie wynagradzania warunki (zasady) wynagradzania pracowników, w zakresie jaki wskazano w treści niniejszego wystąpienia pokontrolnego, uwzględniając w szczególności przywołane przepisy ww. ustawy. Ustalać wynagrodzenie pracownikom Teatru stosownie do stanowisk pracy, na jakich zostali zatrudnieni.</w:t>
      </w:r>
    </w:p>
    <w:p w:rsidR="001146A5" w:rsidRPr="004819FF" w:rsidRDefault="00995131" w:rsidP="004819FF">
      <w:pPr>
        <w:pStyle w:val="Bodytext20"/>
        <w:numPr>
          <w:ilvl w:val="0"/>
          <w:numId w:val="3"/>
        </w:numPr>
        <w:shd w:val="clear" w:color="auto" w:fill="auto"/>
        <w:tabs>
          <w:tab w:val="left" w:pos="347"/>
        </w:tabs>
        <w:spacing w:before="120" w:after="240" w:line="300" w:lineRule="auto"/>
        <w:ind w:left="420"/>
        <w:jc w:val="left"/>
        <w:rPr>
          <w:rFonts w:asciiTheme="minorHAnsi" w:hAnsiTheme="minorHAnsi" w:cstheme="minorHAnsi"/>
          <w:b w:val="0"/>
          <w:sz w:val="22"/>
          <w:szCs w:val="22"/>
        </w:rPr>
      </w:pPr>
      <w:r w:rsidRPr="004819FF">
        <w:rPr>
          <w:rFonts w:asciiTheme="minorHAnsi" w:hAnsiTheme="minorHAnsi" w:cstheme="minorHAnsi"/>
          <w:b w:val="0"/>
          <w:sz w:val="22"/>
          <w:szCs w:val="22"/>
        </w:rPr>
        <w:t>Zakres praw i obowiązków pracownika określać zgodnie z zajmowanym przez pracownika stanowiskiem.</w:t>
      </w:r>
    </w:p>
    <w:p w:rsidR="001146A5" w:rsidRPr="004819FF" w:rsidRDefault="00995131" w:rsidP="004819FF">
      <w:pPr>
        <w:pStyle w:val="Bodytext20"/>
        <w:numPr>
          <w:ilvl w:val="0"/>
          <w:numId w:val="3"/>
        </w:numPr>
        <w:shd w:val="clear" w:color="auto" w:fill="auto"/>
        <w:tabs>
          <w:tab w:val="left" w:pos="347"/>
        </w:tabs>
        <w:spacing w:before="120" w:after="240" w:line="300" w:lineRule="auto"/>
        <w:ind w:left="420" w:right="-462"/>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Stosownie do postanowień § 32 ust. 1 pkt 2 załącznika do Regulaminu pracy zatrudniać w Teatrze pracowników posiadających udokumentowane spełnienie wymagań. Stosować jednolite kryteria wobec osób ubiegających się o zatrudnienie w Teatrze, mając na uwadze zasadę równego traktowania w zatrudnieniu określoną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18</w:t>
      </w:r>
      <w:r w:rsidRPr="004819FF">
        <w:rPr>
          <w:rFonts w:asciiTheme="minorHAnsi" w:hAnsiTheme="minorHAnsi" w:cstheme="minorHAnsi"/>
          <w:b w:val="0"/>
          <w:sz w:val="22"/>
          <w:szCs w:val="22"/>
          <w:vertAlign w:val="superscript"/>
        </w:rPr>
        <w:t>33</w:t>
      </w:r>
      <w:r w:rsidRPr="004819FF">
        <w:rPr>
          <w:rFonts w:asciiTheme="minorHAnsi" w:hAnsiTheme="minorHAnsi" w:cstheme="minorHAnsi"/>
          <w:b w:val="0"/>
          <w:sz w:val="22"/>
          <w:szCs w:val="22"/>
        </w:rPr>
        <w:t xml:space="preserve"> § 1 Kodeksu pracy.</w:t>
      </w:r>
    </w:p>
    <w:p w:rsidR="001146A5" w:rsidRPr="004819FF" w:rsidRDefault="00995131" w:rsidP="004819FF">
      <w:pPr>
        <w:pStyle w:val="Bodytext20"/>
        <w:numPr>
          <w:ilvl w:val="0"/>
          <w:numId w:val="3"/>
        </w:numPr>
        <w:shd w:val="clear" w:color="auto" w:fill="auto"/>
        <w:tabs>
          <w:tab w:val="left" w:pos="347"/>
        </w:tabs>
        <w:spacing w:before="120" w:after="240" w:line="300" w:lineRule="auto"/>
        <w:ind w:left="420" w:right="-320"/>
        <w:jc w:val="left"/>
        <w:rPr>
          <w:rFonts w:asciiTheme="minorHAnsi" w:hAnsiTheme="minorHAnsi" w:cstheme="minorHAnsi"/>
          <w:b w:val="0"/>
          <w:sz w:val="22"/>
          <w:szCs w:val="22"/>
        </w:rPr>
      </w:pPr>
      <w:r w:rsidRPr="004819FF">
        <w:rPr>
          <w:rFonts w:asciiTheme="minorHAnsi" w:hAnsiTheme="minorHAnsi" w:cstheme="minorHAnsi"/>
          <w:b w:val="0"/>
          <w:sz w:val="22"/>
          <w:szCs w:val="22"/>
        </w:rPr>
        <w:t>Przestrzegać ustalonych zasad w zarządzeniu Dyrektora w sprawie rejestrów umów komórek organizacyjnych Teatru. Rozważyć wprowadzenie do stosowania jednolity wzór rejestru umów.</w:t>
      </w:r>
    </w:p>
    <w:p w:rsidR="001146A5" w:rsidRPr="00993C11" w:rsidRDefault="00995131" w:rsidP="00993C11">
      <w:pPr>
        <w:pStyle w:val="Bodytext20"/>
        <w:numPr>
          <w:ilvl w:val="0"/>
          <w:numId w:val="3"/>
        </w:numPr>
        <w:shd w:val="clear" w:color="auto" w:fill="auto"/>
        <w:tabs>
          <w:tab w:val="left" w:pos="347"/>
        </w:tabs>
        <w:spacing w:before="120" w:after="240" w:line="300" w:lineRule="auto"/>
        <w:ind w:left="420" w:right="-32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Dokumenty finansowo-księgowe, będące odzwierciedleniem ponoszonego kosztu (dokonanego wydatku) poddawać kontroli, tj. sprawdzeniu pod kątem celowości, legalności, rzetelności oraz prawidłowości zdarzeń i operacji gospodarczych odzwierciedlonych w tym dokumencie, zgodnie z wewnętrznymi procedurami obiegu i kontroli dokumentów oraz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54 ust. 1 pkt 3 oraz</w:t>
      </w:r>
      <w:r w:rsid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ust. 3 i 4 ustawy o finansach publicznych. Każdorazowo na dowodach finansowo-księgowych zamieszczać stosowną adnotację o przeprowadzeniu kontroli merytorycznej i formalno- rachunkowej oraz zatwierdzeniu do wypłaty, celowości dokonania wydatku (przeznaczenie), ze wskazaniem osób odpowiedzialnych za dokonywanie tych czynności, w sposób umożliwiający bezsporną ich identyfikację; płatności dokonywać wyłącznie po przeprowadzeniu ww. kontroli finansowej.</w:t>
      </w:r>
    </w:p>
    <w:p w:rsidR="001146A5" w:rsidRPr="004819FF" w:rsidRDefault="00995131" w:rsidP="004819FF">
      <w:pPr>
        <w:pStyle w:val="Bodytext20"/>
        <w:numPr>
          <w:ilvl w:val="0"/>
          <w:numId w:val="3"/>
        </w:numPr>
        <w:shd w:val="clear" w:color="auto" w:fill="auto"/>
        <w:tabs>
          <w:tab w:val="left" w:pos="347"/>
        </w:tabs>
        <w:spacing w:before="120" w:after="240" w:line="300" w:lineRule="auto"/>
        <w:ind w:left="42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Zapisów w księgach rachunkowych dokonywać na podstawie dowodów źródłowych, spełanijących wymagania określone w ustawie o rachunkowości, w tym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22 ust. 1 i ust. 4, </w:t>
      </w:r>
      <w:r w:rsidRPr="004819FF">
        <w:rPr>
          <w:rFonts w:asciiTheme="minorHAnsi" w:hAnsiTheme="minorHAnsi" w:cstheme="minorHAnsi"/>
          <w:b w:val="0"/>
          <w:sz w:val="22"/>
          <w:szCs w:val="22"/>
        </w:rPr>
        <w:lastRenderedPageBreak/>
        <w:t xml:space="preserve">uwzględniając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20 ust. 1 i ust. 2, w zw.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24 ust. 2 ustawy o rachunkowości.</w:t>
      </w:r>
    </w:p>
    <w:p w:rsidR="001146A5" w:rsidRPr="004819FF" w:rsidRDefault="00995131" w:rsidP="004819FF">
      <w:pPr>
        <w:pStyle w:val="Bodytext20"/>
        <w:numPr>
          <w:ilvl w:val="0"/>
          <w:numId w:val="3"/>
        </w:numPr>
        <w:shd w:val="clear" w:color="auto" w:fill="auto"/>
        <w:tabs>
          <w:tab w:val="left" w:pos="347"/>
        </w:tabs>
        <w:spacing w:before="120" w:after="240" w:line="300" w:lineRule="auto"/>
        <w:ind w:left="420" w:right="-32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Egzekwować od pracownika zatrudnionego na stanowisku głównego księgowego Teatru obowiązek dokonania kontrasygnaty oraz starannego weryfikowania dokumentacji finansowej, w tym rzetelnej oceny prawidłowości operacji gospodarczej i jej zgodności z prawem oraz zawartymi umowami, w związku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54 ust. 1 pkt 3 oraz ust. 3 i ust. 4 ustawy o finansach publicznych oraz stosownie do zasad określonych w Instrukcji obiegu i kontroli dokumentów finansowo-księgowych Teatru.</w:t>
      </w:r>
    </w:p>
    <w:p w:rsidR="007A2B34" w:rsidRPr="00993C11" w:rsidRDefault="00995131" w:rsidP="00993C11">
      <w:pPr>
        <w:pStyle w:val="Bodytext20"/>
        <w:numPr>
          <w:ilvl w:val="0"/>
          <w:numId w:val="3"/>
        </w:numPr>
        <w:shd w:val="clear" w:color="auto" w:fill="auto"/>
        <w:tabs>
          <w:tab w:val="left" w:pos="347"/>
        </w:tabs>
        <w:spacing w:before="120" w:after="240" w:line="300" w:lineRule="auto"/>
        <w:ind w:left="42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Stosownie </w:t>
      </w:r>
      <w:r w:rsidRPr="004819FF">
        <w:rPr>
          <w:rFonts w:asciiTheme="minorHAnsi" w:hAnsiTheme="minorHAnsi" w:cstheme="minorHAnsi"/>
          <w:b w:val="0"/>
          <w:sz w:val="22"/>
          <w:szCs w:val="22"/>
          <w:lang w:val="en-US" w:eastAsia="en-US" w:bidi="en-US"/>
        </w:rPr>
        <w:t xml:space="preserve">do art. </w:t>
      </w:r>
      <w:r w:rsidRPr="004819FF">
        <w:rPr>
          <w:rFonts w:asciiTheme="minorHAnsi" w:hAnsiTheme="minorHAnsi" w:cstheme="minorHAnsi"/>
          <w:b w:val="0"/>
          <w:sz w:val="22"/>
          <w:szCs w:val="22"/>
        </w:rPr>
        <w:t>44 ust. 3 pkt 3 ustawy o finansach publicznych terminowo regulować zobowiązania (płatności) Teatru.</w:t>
      </w:r>
    </w:p>
    <w:p w:rsidR="001146A5" w:rsidRPr="004819FF" w:rsidRDefault="00995131" w:rsidP="004819FF">
      <w:pPr>
        <w:pStyle w:val="Bodytext20"/>
        <w:numPr>
          <w:ilvl w:val="0"/>
          <w:numId w:val="3"/>
        </w:numPr>
        <w:shd w:val="clear" w:color="auto" w:fill="auto"/>
        <w:tabs>
          <w:tab w:val="left" w:pos="385"/>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 zakresie umów cywilnoprawnych, mając na względzie postanowienia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44 ust. 3 pkt 1 ustawy o finansach publicznych oraz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27 ust. 1 ustawy o organizowaniu i prowadzeniu działalności kulturalnej:</w:t>
      </w:r>
    </w:p>
    <w:p w:rsidR="001146A5" w:rsidRPr="004819FF" w:rsidRDefault="00995131" w:rsidP="004819FF">
      <w:pPr>
        <w:pStyle w:val="Bodytext20"/>
        <w:numPr>
          <w:ilvl w:val="0"/>
          <w:numId w:val="4"/>
        </w:numPr>
        <w:shd w:val="clear" w:color="auto" w:fill="auto"/>
        <w:tabs>
          <w:tab w:val="left" w:pos="344"/>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egzekwować od zleceniobiorców wykonanie przedmiotu zamówienia w terminie określonym w umowie,</w:t>
      </w:r>
    </w:p>
    <w:p w:rsidR="001146A5" w:rsidRPr="004819FF" w:rsidRDefault="00995131" w:rsidP="004819FF">
      <w:pPr>
        <w:pStyle w:val="Bodytext20"/>
        <w:numPr>
          <w:ilvl w:val="0"/>
          <w:numId w:val="4"/>
        </w:numPr>
        <w:shd w:val="clear" w:color="auto" w:fill="auto"/>
        <w:tabs>
          <w:tab w:val="left" w:pos="344"/>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zmian warunków realizacji umów dokonywać w formie pisemnej,</w:t>
      </w:r>
    </w:p>
    <w:p w:rsidR="001146A5" w:rsidRPr="004819FF" w:rsidRDefault="00995131" w:rsidP="004819FF">
      <w:pPr>
        <w:pStyle w:val="Bodytext20"/>
        <w:numPr>
          <w:ilvl w:val="0"/>
          <w:numId w:val="4"/>
        </w:numPr>
        <w:shd w:val="clear" w:color="auto" w:fill="auto"/>
        <w:tabs>
          <w:tab w:val="left" w:pos="344"/>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dokonywać i dokumentować fakt przeprowadzenia kontroli zgodności realizacji przedmiotu zamówienia z umową, dokonania oceny jakości realizacji przez zleceniobiorcę przedmiotu umowy,</w:t>
      </w:r>
    </w:p>
    <w:p w:rsidR="001146A5" w:rsidRPr="004819FF" w:rsidRDefault="00995131" w:rsidP="004819FF">
      <w:pPr>
        <w:pStyle w:val="Bodytext20"/>
        <w:numPr>
          <w:ilvl w:val="0"/>
          <w:numId w:val="4"/>
        </w:numPr>
        <w:shd w:val="clear" w:color="auto" w:fill="auto"/>
        <w:tabs>
          <w:tab w:val="left" w:pos="344"/>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płatności za zadania zlecone realizować po potwierdzeniu wykonania zadania; dokonywać płatności na rzecz zleceniobiorcy na warunkach określonych w umowie.</w:t>
      </w:r>
    </w:p>
    <w:p w:rsidR="001146A5" w:rsidRPr="004819FF" w:rsidRDefault="00995131" w:rsidP="004819FF">
      <w:pPr>
        <w:pStyle w:val="Bodytext20"/>
        <w:numPr>
          <w:ilvl w:val="0"/>
          <w:numId w:val="3"/>
        </w:numPr>
        <w:shd w:val="clear" w:color="auto" w:fill="auto"/>
        <w:tabs>
          <w:tab w:val="left" w:pos="390"/>
        </w:tabs>
        <w:spacing w:before="120" w:after="240" w:line="300" w:lineRule="auto"/>
        <w:ind w:left="400" w:right="-178"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Zgodnie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44 ust. 3 pkt 1 ustawy o finansach publicznych, w związku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27 ust. 1 ustawy o organizowaniu i prowadzeniu działalności kulturalnej, dysponując środkami publicznymi, dokonywać wydatków w sposób celowy i oszczędny, kierując się zasadą gospodarności, racjonalności kosztów z uwzględnieniem efektów z danych nakładów, mając na względzie fakt, iż, Teatr - zgodnie z przepisami prawa - otrzymuje z budżetu samorządu dotację podmiotową, zatem środki publiczne, które podlegają szczególnym rygorom w zakresie celowości ich wydatkowania</w:t>
      </w:r>
      <w:r w:rsidRPr="004819FF">
        <w:rPr>
          <w:rFonts w:asciiTheme="minorHAnsi" w:hAnsiTheme="minorHAnsi" w:cstheme="minorHAnsi"/>
          <w:b w:val="0"/>
          <w:sz w:val="22"/>
          <w:szCs w:val="22"/>
          <w:vertAlign w:val="superscript"/>
        </w:rPr>
        <w:footnoteReference w:id="63"/>
      </w:r>
      <w:r w:rsidRPr="004819FF">
        <w:rPr>
          <w:rFonts w:asciiTheme="minorHAnsi" w:hAnsiTheme="minorHAnsi" w:cstheme="minorHAnsi"/>
          <w:b w:val="0"/>
          <w:sz w:val="22"/>
          <w:szCs w:val="22"/>
        </w:rPr>
        <w:t>.</w:t>
      </w:r>
    </w:p>
    <w:p w:rsidR="001146A5" w:rsidRPr="004819FF" w:rsidRDefault="00995131" w:rsidP="004819FF">
      <w:pPr>
        <w:pStyle w:val="Bodytext20"/>
        <w:numPr>
          <w:ilvl w:val="0"/>
          <w:numId w:val="3"/>
        </w:numPr>
        <w:shd w:val="clear" w:color="auto" w:fill="auto"/>
        <w:tabs>
          <w:tab w:val="left" w:pos="390"/>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Wyliczać i pobierać we właściwych kwotach wynagrodzenie należne płatnikom z tytułu terminowego wpłacania podatków, mając na uwadze obowiązek ustalania przypadających jednostce należności pieniężnych, wynikający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42 ust. 5 ustawy o finansach publicznych.</w:t>
      </w:r>
    </w:p>
    <w:p w:rsidR="001146A5" w:rsidRPr="004819FF" w:rsidRDefault="00995131" w:rsidP="004819FF">
      <w:pPr>
        <w:pStyle w:val="Bodytext20"/>
        <w:numPr>
          <w:ilvl w:val="0"/>
          <w:numId w:val="3"/>
        </w:numPr>
        <w:shd w:val="clear" w:color="auto" w:fill="auto"/>
        <w:tabs>
          <w:tab w:val="left" w:pos="390"/>
        </w:tabs>
        <w:spacing w:before="120" w:after="240" w:line="300" w:lineRule="auto"/>
        <w:ind w:left="400" w:right="-32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lastRenderedPageBreak/>
        <w:t>Od wynajmowanej powierzchni, przeznaczonej na prowadzenie działalności gospodarczej, naliczać i odprowadzać podatek od nieruchomości w stawkach określanych corocznie w uchwałach Rady m.st. Warszawy, zgodnie z obowiązkiem podatkowym określonym w rozdziale 2 ustawy o podatkach i opłatach lokalnych.</w:t>
      </w:r>
    </w:p>
    <w:p w:rsidR="001146A5" w:rsidRPr="004819FF" w:rsidRDefault="00995131" w:rsidP="004819FF">
      <w:pPr>
        <w:pStyle w:val="Bodytext20"/>
        <w:numPr>
          <w:ilvl w:val="0"/>
          <w:numId w:val="3"/>
        </w:numPr>
        <w:shd w:val="clear" w:color="auto" w:fill="auto"/>
        <w:tabs>
          <w:tab w:val="left" w:pos="394"/>
        </w:tabs>
        <w:spacing w:before="120" w:after="240" w:line="300" w:lineRule="auto"/>
        <w:ind w:left="400" w:right="-462"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Stosownie </w:t>
      </w:r>
      <w:r w:rsidRPr="004819FF">
        <w:rPr>
          <w:rFonts w:asciiTheme="minorHAnsi" w:hAnsiTheme="minorHAnsi" w:cstheme="minorHAnsi"/>
          <w:b w:val="0"/>
          <w:sz w:val="22"/>
          <w:szCs w:val="22"/>
          <w:lang w:val="en-US" w:eastAsia="en-US" w:bidi="en-US"/>
        </w:rPr>
        <w:t xml:space="preserve">do art. </w:t>
      </w:r>
      <w:r w:rsidRPr="004819FF">
        <w:rPr>
          <w:rFonts w:asciiTheme="minorHAnsi" w:hAnsiTheme="minorHAnsi" w:cstheme="minorHAnsi"/>
          <w:b w:val="0"/>
          <w:sz w:val="22"/>
          <w:szCs w:val="22"/>
        </w:rPr>
        <w:t>6 ust. 9 pkt 2 i 3 ustawy o podatkach i opłatach lokalnych dokonać stosownych korekt deklaracji na podatek od nieruchomości za lata ubiegłe; wyliczyć i odprowadzić do właściwego organu podatkowego zaległości podatkowe.</w:t>
      </w:r>
    </w:p>
    <w:p w:rsidR="001146A5" w:rsidRPr="00993C11" w:rsidRDefault="00995131" w:rsidP="00993C11">
      <w:pPr>
        <w:pStyle w:val="Bodytext20"/>
        <w:numPr>
          <w:ilvl w:val="0"/>
          <w:numId w:val="3"/>
        </w:numPr>
        <w:shd w:val="clear" w:color="auto" w:fill="auto"/>
        <w:tabs>
          <w:tab w:val="left" w:pos="394"/>
        </w:tabs>
        <w:spacing w:before="120" w:after="240" w:line="300" w:lineRule="auto"/>
        <w:ind w:left="400"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Przestrzegać wewnętrznie określonych zasad w zakresie opiniowania przez radcę prawnego rozpoczęcia procedury postępowania o udzielenie zamówienia publicznego, poprzez złożenie podpisu na „Wniosku o rozpoczęcie postępowania o udzielenie zamówienia publicznego,</w:t>
      </w:r>
      <w:r w:rsid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o wartości równej lub przekraczającej kwotę 130 000 złotych".</w:t>
      </w:r>
    </w:p>
    <w:p w:rsidR="00C320BF" w:rsidRPr="00993C11" w:rsidRDefault="00995131" w:rsidP="00993C11">
      <w:pPr>
        <w:pStyle w:val="Bodytext20"/>
        <w:numPr>
          <w:ilvl w:val="0"/>
          <w:numId w:val="3"/>
        </w:numPr>
        <w:shd w:val="clear" w:color="auto" w:fill="auto"/>
        <w:tabs>
          <w:tab w:val="left" w:pos="394"/>
        </w:tabs>
        <w:spacing w:before="120" w:after="240" w:line="300" w:lineRule="auto"/>
        <w:ind w:left="400" w:right="-462" w:hanging="400"/>
        <w:jc w:val="left"/>
        <w:rPr>
          <w:rFonts w:asciiTheme="minorHAnsi" w:hAnsiTheme="minorHAnsi" w:cstheme="minorHAnsi"/>
          <w:b w:val="0"/>
          <w:sz w:val="22"/>
          <w:szCs w:val="22"/>
        </w:rPr>
      </w:pPr>
      <w:r w:rsidRPr="004819FF">
        <w:rPr>
          <w:rFonts w:asciiTheme="minorHAnsi" w:hAnsiTheme="minorHAnsi" w:cstheme="minorHAnsi"/>
          <w:b w:val="0"/>
          <w:sz w:val="22"/>
          <w:szCs w:val="22"/>
        </w:rPr>
        <w:t>Koszty podroży służbowych rozliczać w oparciu o przepisy rozporządzenia Ministra Pracy i Polityki Społecznej w sprawie należności przysługujących pracownikowi zatrudnionemu w państwowej lub samorządowej jednostce sfery budżetowej z tytułu podróży służbowej.</w:t>
      </w:r>
    </w:p>
    <w:p w:rsidR="001146A5" w:rsidRPr="00993C11" w:rsidRDefault="00995131" w:rsidP="00993C11">
      <w:pPr>
        <w:pStyle w:val="Bodytext20"/>
        <w:numPr>
          <w:ilvl w:val="0"/>
          <w:numId w:val="3"/>
        </w:numPr>
        <w:shd w:val="clear" w:color="auto" w:fill="auto"/>
        <w:tabs>
          <w:tab w:val="left" w:pos="370"/>
        </w:tabs>
        <w:spacing w:before="120" w:after="240" w:line="300" w:lineRule="auto"/>
        <w:ind w:left="380"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Sprawozdanie finansowe składać organizatorowi wraz załącznikami, o których mowa</w:t>
      </w:r>
      <w:r w:rsid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 xml:space="preserve">w </w:t>
      </w:r>
      <w:r w:rsidRPr="00993C11">
        <w:rPr>
          <w:rFonts w:asciiTheme="minorHAnsi" w:hAnsiTheme="minorHAnsi" w:cstheme="minorHAnsi"/>
          <w:b w:val="0"/>
          <w:sz w:val="22"/>
          <w:szCs w:val="22"/>
          <w:lang w:val="en-US" w:eastAsia="en-US" w:bidi="en-US"/>
        </w:rPr>
        <w:t xml:space="preserve">art. </w:t>
      </w:r>
      <w:r w:rsidRPr="00993C11">
        <w:rPr>
          <w:rFonts w:asciiTheme="minorHAnsi" w:hAnsiTheme="minorHAnsi" w:cstheme="minorHAnsi"/>
          <w:b w:val="0"/>
          <w:sz w:val="22"/>
          <w:szCs w:val="22"/>
        </w:rPr>
        <w:t>45 ust. 2 ustawy o rachunkowości, wywiązując się tym samym z postanowień umowy zawartej pomiędzy Miastem st. Warszawa, a Dyrektorem Teatru w sprawie warunków organizacyjno-finansowych działalności instytucji kultury oraz programu instytucji kultury.</w:t>
      </w:r>
    </w:p>
    <w:p w:rsidR="001146A5" w:rsidRPr="00993C11" w:rsidRDefault="00995131" w:rsidP="00993C11">
      <w:pPr>
        <w:pStyle w:val="Bodytext20"/>
        <w:numPr>
          <w:ilvl w:val="0"/>
          <w:numId w:val="3"/>
        </w:numPr>
        <w:shd w:val="clear" w:color="auto" w:fill="auto"/>
        <w:tabs>
          <w:tab w:val="left" w:pos="375"/>
        </w:tabs>
        <w:spacing w:before="120" w:after="240" w:line="300" w:lineRule="auto"/>
        <w:ind w:left="380"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Stosownie do § 10 ust. 4, w związku z § 4 ust. 1 pkt 1 rozporządzenia Ministra Finansów,</w:t>
      </w:r>
      <w:r w:rsid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 xml:space="preserve">Funduszy i Polityki Regionalnej z dnia 17 grudnia 2020 r. w sprawie sprawozdań jednostek </w:t>
      </w:r>
      <w:r w:rsidR="007534C6" w:rsidRP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 xml:space="preserve">sektora finansów publicznych w zakresie operacji finansowych sporządzać sprawozdania rzetelnie i prawidłowo pod względem merytorycznym i formalno-rachunkowym, wykazując dane wynikające z ewidencji księgowej. Sprawozdania składać w terminie określonym w załączniku nr 5, stanowiącym załącznik do zarządzenia nr 70/2022Prezydenta m.st. Warszawy z 25 stycznia </w:t>
      </w:r>
      <w:r w:rsidR="007534C6" w:rsidRPr="00993C11">
        <w:rPr>
          <w:rFonts w:asciiTheme="minorHAnsi" w:hAnsiTheme="minorHAnsi" w:cstheme="minorHAnsi"/>
          <w:b w:val="0"/>
          <w:sz w:val="22"/>
          <w:szCs w:val="22"/>
        </w:rPr>
        <w:t xml:space="preserve">  </w:t>
      </w:r>
      <w:r w:rsidRPr="00993C11">
        <w:rPr>
          <w:rFonts w:asciiTheme="minorHAnsi" w:hAnsiTheme="minorHAnsi" w:cstheme="minorHAnsi"/>
          <w:b w:val="0"/>
          <w:sz w:val="22"/>
          <w:szCs w:val="22"/>
        </w:rPr>
        <w:t>2022 r. w sprawie zasad obiegu oraz kontroli sprawozdań budżetowych, sprawozdań w zakresie operacji finansowych i sprawozdań finansowych w Urzędzie m.st. Warszawy i jednostkach organizacyjnych m.st. Warszawy.</w:t>
      </w:r>
    </w:p>
    <w:p w:rsidR="001146A5" w:rsidRPr="004819FF" w:rsidRDefault="00995131" w:rsidP="004819FF">
      <w:pPr>
        <w:pStyle w:val="Bodytext20"/>
        <w:numPr>
          <w:ilvl w:val="0"/>
          <w:numId w:val="3"/>
        </w:numPr>
        <w:shd w:val="clear" w:color="auto" w:fill="auto"/>
        <w:tabs>
          <w:tab w:val="left" w:pos="375"/>
        </w:tabs>
        <w:spacing w:before="120" w:after="240" w:line="300" w:lineRule="auto"/>
        <w:ind w:left="380" w:right="-462"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Inwentaryzację aktywów i pasywów Teatru przeprowadzać i rozliczać zgodnie z przepisami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26 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27 ustawy o rachunkowości oraz wewnętrznymi zasadami ustalonymi w tym zakresie. Dokumentację z przeprowadzonej inwentaryzacji sporządzać zgodnie z wymogami stawianymi dowodom księgowym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21 ust. 1 i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22 ust. 1 i ust. 3 ustawy o rachunkowości, aby bezspornie można było ustalić stan (wartość) majątku Teatru.</w:t>
      </w:r>
    </w:p>
    <w:p w:rsidR="001146A5" w:rsidRPr="004819FF" w:rsidRDefault="00995131" w:rsidP="004819FF">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Przechowywać dokumentację inwentaryzacyjną oraz uzgodnić zapisy w księdze głównej</w:t>
      </w:r>
      <w:r w:rsidR="007534C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 zapisami w księgach inwentarzowych, stosownie do przepisów ustawy o rachunkowości </w:t>
      </w:r>
      <w:r w:rsidRPr="004819FF">
        <w:rPr>
          <w:rFonts w:asciiTheme="minorHAnsi" w:hAnsiTheme="minorHAnsi" w:cstheme="minorHAnsi"/>
          <w:b w:val="0"/>
          <w:sz w:val="22"/>
          <w:szCs w:val="22"/>
        </w:rPr>
        <w:lastRenderedPageBreak/>
        <w:t>przywołanych w tym zakresie w treści niniejszego wystąpienia pokontrolnego.</w:t>
      </w:r>
    </w:p>
    <w:p w:rsidR="001146A5" w:rsidRPr="004819FF" w:rsidRDefault="00995131" w:rsidP="004819FF">
      <w:pPr>
        <w:pStyle w:val="Bodytext20"/>
        <w:numPr>
          <w:ilvl w:val="0"/>
          <w:numId w:val="3"/>
        </w:numPr>
        <w:shd w:val="clear" w:color="auto" w:fill="auto"/>
        <w:tabs>
          <w:tab w:val="left" w:pos="375"/>
        </w:tabs>
        <w:spacing w:before="120" w:after="240" w:line="300" w:lineRule="auto"/>
        <w:ind w:left="380" w:right="-604"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Odpis na zakładowy fundusz świadczeń socjalnych przekazywać w kwotach wyliczonych zgodnie</w:t>
      </w:r>
      <w:r w:rsidR="007534C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z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5 ustawy o zakładowym funduszu świadczeń socjalnych, z uwzględnieniem przepisów rozporządzenia Ministra Pracy i Polityki Społecznej w sprawie sposobu ustalania przeciętnej liczby zatrudnionych w celu naliczania odpisu na zakładowy fundusz świadczeń socjalnych.</w:t>
      </w:r>
    </w:p>
    <w:p w:rsidR="001146A5" w:rsidRPr="004819FF" w:rsidRDefault="00995131" w:rsidP="004819FF">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Kwoty odpisu na Fundusz przekazywać na wyodrębniany rachunek bankowy w terminach określonych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6 ust. 2 ww. ustawy.</w:t>
      </w:r>
    </w:p>
    <w:p w:rsidR="001146A5" w:rsidRPr="004819FF" w:rsidRDefault="00995131" w:rsidP="004819FF">
      <w:pPr>
        <w:pStyle w:val="Bodytext20"/>
        <w:shd w:val="clear" w:color="auto" w:fill="auto"/>
        <w:spacing w:before="120" w:after="240" w:line="300" w:lineRule="auto"/>
        <w:ind w:left="380"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Przekazać należną kwotę 5 095,80 zł na wyodrębniony rachunek bankowy zakładowego fundusz świadczeń socjalnych.</w:t>
      </w:r>
    </w:p>
    <w:p w:rsidR="001146A5" w:rsidRPr="004819FF" w:rsidRDefault="00995131" w:rsidP="004819FF">
      <w:pPr>
        <w:pStyle w:val="Bodytext20"/>
        <w:numPr>
          <w:ilvl w:val="0"/>
          <w:numId w:val="3"/>
        </w:numPr>
        <w:shd w:val="clear" w:color="auto" w:fill="auto"/>
        <w:tabs>
          <w:tab w:val="left" w:pos="375"/>
        </w:tabs>
        <w:spacing w:before="120" w:after="240" w:line="300" w:lineRule="auto"/>
        <w:ind w:left="380" w:right="-462" w:hanging="38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Realizować obowiązki kierownika jednostki w szczególności w zakresie nadzoru nad przestrzeganiem w Teatrze procedur kontroli zarządczej związanych ze zgodnością działalności z przepisami prawa oraz przyjętymi procedurami wewnętrznymi w Księdze Systemu Kontroli Zarządczej, stosownie do wymogów określonych w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4 ust. 5 ustawy o rachunkowości oraz </w:t>
      </w:r>
      <w:r w:rsidR="007534C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53 ust. 1 i 2 ustawy o finansach publicznych. Zgodnie </w:t>
      </w:r>
      <w:r w:rsidRPr="004819FF">
        <w:rPr>
          <w:rFonts w:asciiTheme="minorHAnsi" w:hAnsiTheme="minorHAnsi" w:cstheme="minorHAnsi"/>
          <w:b w:val="0"/>
          <w:sz w:val="22"/>
          <w:szCs w:val="22"/>
          <w:lang w:val="en-US" w:eastAsia="en-US" w:bidi="en-US"/>
        </w:rPr>
        <w:t xml:space="preserve">art. </w:t>
      </w:r>
      <w:r w:rsidRPr="004819FF">
        <w:rPr>
          <w:rFonts w:asciiTheme="minorHAnsi" w:hAnsiTheme="minorHAnsi" w:cstheme="minorHAnsi"/>
          <w:b w:val="0"/>
          <w:sz w:val="22"/>
          <w:szCs w:val="22"/>
        </w:rPr>
        <w:t xml:space="preserve">69 ust. 1 pkt 3 ustawy o finansach publicznych oraz § 7 zarządzenia nr </w:t>
      </w:r>
      <w:r w:rsidRPr="004819FF">
        <w:rPr>
          <w:rFonts w:asciiTheme="minorHAnsi" w:hAnsiTheme="minorHAnsi" w:cstheme="minorHAnsi"/>
          <w:b w:val="0"/>
          <w:sz w:val="22"/>
          <w:szCs w:val="22"/>
          <w:lang w:val="ru-RU" w:eastAsia="ru-RU" w:bidi="ru-RU"/>
        </w:rPr>
        <w:t xml:space="preserve">1613/2011 </w:t>
      </w:r>
      <w:r w:rsidRPr="004819FF">
        <w:rPr>
          <w:rFonts w:asciiTheme="minorHAnsi" w:hAnsiTheme="minorHAnsi" w:cstheme="minorHAnsi"/>
          <w:b w:val="0"/>
          <w:sz w:val="22"/>
          <w:szCs w:val="22"/>
        </w:rPr>
        <w:t>Prezydenta m.st. Warszawy z dnia 11 października 2011 r., zapewnienie funkcjonowania adekwatnej, skutecznej i efektywnej kontroli zarządczej należy do obowiązków kierownika jednostki, której częścią jest bieżąca analiza wydanych</w:t>
      </w:r>
      <w:r w:rsidR="007534C6"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regulacji wewnętrznych i ich dostosowywanie do zmieniających się potrzeb, kontrola finansowa operacji gospodarczych i finansowych oraz kontrola dokumentów związanych z tymi operacjami, skuteczność i efektywność działania i realizacji zadań przez Teatr. Do kierownika jednostki</w:t>
      </w:r>
      <w:r w:rsidR="0010165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 sektora finansów publicznych należy prowadzenie czynności nadzoru w zakresie przestrzegania procedur kontroli zarządczej związanych ze zgodnością działalności z przepisami prawa oraz przyjętymi procedurami wewnętrznymi oraz standardami, używania zasobów w sposób </w:t>
      </w:r>
      <w:r w:rsidR="0010165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oszczędny i przynoszący pożytek oraz ich zabezpieczenie i ochronę, bieżące identyfikowanie </w:t>
      </w:r>
      <w:r w:rsidR="0010165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 xml:space="preserve">i monitorowanie </w:t>
      </w:r>
      <w:proofErr w:type="spellStart"/>
      <w:r w:rsidRPr="004819FF">
        <w:rPr>
          <w:rFonts w:asciiTheme="minorHAnsi" w:hAnsiTheme="minorHAnsi" w:cstheme="minorHAnsi"/>
          <w:b w:val="0"/>
          <w:sz w:val="22"/>
          <w:szCs w:val="22"/>
        </w:rPr>
        <w:t>ryzyk</w:t>
      </w:r>
      <w:proofErr w:type="spellEnd"/>
      <w:r w:rsidRPr="004819FF">
        <w:rPr>
          <w:rFonts w:asciiTheme="minorHAnsi" w:hAnsiTheme="minorHAnsi" w:cstheme="minorHAnsi"/>
          <w:b w:val="0"/>
          <w:sz w:val="22"/>
          <w:szCs w:val="22"/>
        </w:rPr>
        <w:t xml:space="preserve"> związanych z realizacją zadań.</w:t>
      </w:r>
    </w:p>
    <w:p w:rsidR="001146A5" w:rsidRPr="004819FF" w:rsidRDefault="00995131" w:rsidP="004819FF">
      <w:pPr>
        <w:pStyle w:val="Bodytext20"/>
        <w:shd w:val="clear" w:color="auto" w:fill="auto"/>
        <w:spacing w:before="120" w:after="240" w:line="300" w:lineRule="auto"/>
        <w:ind w:right="-320"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 22 ust. 12 Regulaminu organizacyjnego oraz § 41 ust. 1 Zarządzenia oczekuję od Pani w terminie nie dłuższym niż 30 dni od dnia doręczenia niniejszego Wystąpienia pokontrolnego, informacji o sposobie realizacji wniosków pokontrolnych i wykorzystaniu uwag zawartych </w:t>
      </w:r>
      <w:r w:rsidR="00101655" w:rsidRPr="004819FF">
        <w:rPr>
          <w:rFonts w:asciiTheme="minorHAnsi" w:hAnsiTheme="minorHAnsi" w:cstheme="minorHAnsi"/>
          <w:b w:val="0"/>
          <w:sz w:val="22"/>
          <w:szCs w:val="22"/>
        </w:rPr>
        <w:t xml:space="preserve">                  </w:t>
      </w:r>
      <w:r w:rsidRPr="004819FF">
        <w:rPr>
          <w:rFonts w:asciiTheme="minorHAnsi" w:hAnsiTheme="minorHAnsi" w:cstheme="minorHAnsi"/>
          <w:b w:val="0"/>
          <w:sz w:val="22"/>
          <w:szCs w:val="22"/>
        </w:rPr>
        <w:t>w wystąpieniu pokontrolnym lub przyczynach braku realizacji wniosków pokontrolnych lub niewykorzystaniu uwag bądź o innym sposobie usunięcia stwierdzonych nieprawidłowości lub uchybień.</w:t>
      </w:r>
    </w:p>
    <w:p w:rsidR="001146A5" w:rsidRPr="004819FF" w:rsidRDefault="00995131" w:rsidP="004819FF">
      <w:pPr>
        <w:pStyle w:val="Bodytext20"/>
        <w:shd w:val="clear" w:color="auto" w:fill="auto"/>
        <w:spacing w:before="120" w:after="240" w:line="300" w:lineRule="auto"/>
        <w:ind w:right="-37"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 xml:space="preserve">Na podstawie § 41 ust. 1 Zarządzenia zobowiązuję Panią do przekazania kopii ww. informacji Pani Aldonie </w:t>
      </w:r>
      <w:proofErr w:type="spellStart"/>
      <w:r w:rsidRPr="004819FF">
        <w:rPr>
          <w:rFonts w:asciiTheme="minorHAnsi" w:hAnsiTheme="minorHAnsi" w:cstheme="minorHAnsi"/>
          <w:b w:val="0"/>
          <w:sz w:val="22"/>
          <w:szCs w:val="22"/>
        </w:rPr>
        <w:t>Machnowskiej-Góra</w:t>
      </w:r>
      <w:proofErr w:type="spellEnd"/>
      <w:r w:rsidRPr="004819FF">
        <w:rPr>
          <w:rFonts w:asciiTheme="minorHAnsi" w:hAnsiTheme="minorHAnsi" w:cstheme="minorHAnsi"/>
          <w:b w:val="0"/>
          <w:sz w:val="22"/>
          <w:szCs w:val="22"/>
        </w:rPr>
        <w:t xml:space="preserve"> Zastępczyni Prezydenta m.st. Warszawy i Panu Arturowi Jóźwikowi Dyrektorowi Biura Kultury.</w:t>
      </w:r>
    </w:p>
    <w:p w:rsidR="004819FF" w:rsidRPr="0045240A" w:rsidRDefault="004819FF" w:rsidP="004819FF">
      <w:pPr>
        <w:tabs>
          <w:tab w:val="left" w:pos="426"/>
        </w:tabs>
        <w:spacing w:before="120" w:after="240" w:line="300" w:lineRule="auto"/>
        <w:ind w:left="4536"/>
        <w:rPr>
          <w:rFonts w:asciiTheme="minorHAnsi" w:eastAsia="Arial" w:hAnsiTheme="minorHAnsi" w:cstheme="minorHAnsi"/>
          <w:sz w:val="22"/>
          <w:szCs w:val="22"/>
        </w:rPr>
      </w:pPr>
      <w:r w:rsidRPr="0045240A">
        <w:rPr>
          <w:rFonts w:asciiTheme="minorHAnsi" w:eastAsia="Arial" w:hAnsiTheme="minorHAnsi" w:cstheme="minorHAnsi"/>
          <w:sz w:val="22"/>
          <w:szCs w:val="22"/>
        </w:rPr>
        <w:lastRenderedPageBreak/>
        <w:t>PREZYDENT MIASTA STOŁECZNEGO WARSZAWY /-/ Rafał Trzaskowski</w:t>
      </w:r>
    </w:p>
    <w:p w:rsidR="001146A5" w:rsidRPr="004819FF" w:rsidRDefault="001146A5" w:rsidP="004819FF">
      <w:pPr>
        <w:spacing w:before="120" w:after="240" w:line="300" w:lineRule="auto"/>
        <w:rPr>
          <w:rFonts w:asciiTheme="minorHAnsi" w:hAnsiTheme="minorHAnsi" w:cstheme="minorHAnsi"/>
          <w:sz w:val="22"/>
          <w:szCs w:val="22"/>
        </w:rPr>
      </w:pPr>
    </w:p>
    <w:p w:rsidR="001146A5" w:rsidRPr="004819FF" w:rsidRDefault="00995131" w:rsidP="004819FF">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4819FF">
        <w:rPr>
          <w:rStyle w:val="Bodytext22"/>
          <w:rFonts w:asciiTheme="minorHAnsi" w:hAnsiTheme="minorHAnsi" w:cstheme="minorHAnsi"/>
          <w:bCs/>
          <w:sz w:val="22"/>
          <w:szCs w:val="22"/>
        </w:rPr>
        <w:t>Do wiadomości:</w:t>
      </w:r>
    </w:p>
    <w:p w:rsidR="001146A5" w:rsidRPr="004819FF" w:rsidRDefault="00995131" w:rsidP="004819FF">
      <w:pPr>
        <w:pStyle w:val="Bodytext20"/>
        <w:numPr>
          <w:ilvl w:val="0"/>
          <w:numId w:val="5"/>
        </w:numPr>
        <w:shd w:val="clear" w:color="auto" w:fill="auto"/>
        <w:tabs>
          <w:tab w:val="left" w:pos="289"/>
        </w:tabs>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Pani Aldona Machnowska-Góra - Zastępczyni Prezydenta m.st. Warszawy.</w:t>
      </w:r>
    </w:p>
    <w:p w:rsidR="001146A5" w:rsidRPr="004819FF" w:rsidRDefault="00995131" w:rsidP="004819FF">
      <w:pPr>
        <w:pStyle w:val="Bodytext20"/>
        <w:numPr>
          <w:ilvl w:val="0"/>
          <w:numId w:val="5"/>
        </w:numPr>
        <w:shd w:val="clear" w:color="auto" w:fill="auto"/>
        <w:tabs>
          <w:tab w:val="left" w:pos="294"/>
        </w:tabs>
        <w:spacing w:before="120" w:after="240" w:line="300" w:lineRule="auto"/>
        <w:ind w:firstLine="0"/>
        <w:jc w:val="left"/>
        <w:rPr>
          <w:rFonts w:asciiTheme="minorHAnsi" w:hAnsiTheme="minorHAnsi" w:cstheme="minorHAnsi"/>
          <w:b w:val="0"/>
          <w:sz w:val="22"/>
          <w:szCs w:val="22"/>
        </w:rPr>
      </w:pPr>
      <w:r w:rsidRPr="004819FF">
        <w:rPr>
          <w:rFonts w:asciiTheme="minorHAnsi" w:hAnsiTheme="minorHAnsi" w:cstheme="minorHAnsi"/>
          <w:b w:val="0"/>
          <w:sz w:val="22"/>
          <w:szCs w:val="22"/>
        </w:rPr>
        <w:t>Pan Artur Jóźwik - Dyrektor Biura Kultury Urzędu m.st. Warszawy.</w:t>
      </w:r>
    </w:p>
    <w:sectPr w:rsidR="001146A5" w:rsidRPr="004819FF">
      <w:footerReference w:type="default" r:id="rId8"/>
      <w:headerReference w:type="first" r:id="rId9"/>
      <w:footerReference w:type="first" r:id="rId10"/>
      <w:pgSz w:w="11900" w:h="16840"/>
      <w:pgMar w:top="1642" w:right="1536" w:bottom="1856" w:left="147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3F" w:rsidRDefault="00B40F3F">
      <w:r>
        <w:separator/>
      </w:r>
    </w:p>
  </w:endnote>
  <w:endnote w:type="continuationSeparator" w:id="0">
    <w:p w:rsidR="00B40F3F" w:rsidRDefault="00B4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629291"/>
      <w:docPartObj>
        <w:docPartGallery w:val="Page Numbers (Bottom of Page)"/>
        <w:docPartUnique/>
      </w:docPartObj>
    </w:sdtPr>
    <w:sdtEndPr/>
    <w:sdtContent>
      <w:p w:rsidR="00993C11" w:rsidRDefault="00993C11">
        <w:pPr>
          <w:pStyle w:val="Stopka"/>
          <w:jc w:val="right"/>
        </w:pPr>
        <w:r>
          <w:fldChar w:fldCharType="begin"/>
        </w:r>
        <w:r>
          <w:instrText>PAGE   \* MERGEFORMAT</w:instrText>
        </w:r>
        <w:r>
          <w:fldChar w:fldCharType="separate"/>
        </w:r>
        <w:r w:rsidR="00522EE3">
          <w:rPr>
            <w:noProof/>
          </w:rPr>
          <w:t>4</w:t>
        </w:r>
        <w:r>
          <w:fldChar w:fldCharType="end"/>
        </w:r>
      </w:p>
    </w:sdtContent>
  </w:sdt>
  <w:p w:rsidR="001146A5" w:rsidRDefault="001146A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762280"/>
      <w:docPartObj>
        <w:docPartGallery w:val="Page Numbers (Bottom of Page)"/>
        <w:docPartUnique/>
      </w:docPartObj>
    </w:sdtPr>
    <w:sdtEndPr/>
    <w:sdtContent>
      <w:p w:rsidR="00993C11" w:rsidRDefault="00993C11">
        <w:pPr>
          <w:pStyle w:val="Stopka"/>
          <w:jc w:val="right"/>
        </w:pPr>
        <w:r>
          <w:fldChar w:fldCharType="begin"/>
        </w:r>
        <w:r>
          <w:instrText>PAGE   \* MERGEFORMAT</w:instrText>
        </w:r>
        <w:r>
          <w:fldChar w:fldCharType="separate"/>
        </w:r>
        <w:r w:rsidR="00522EE3">
          <w:rPr>
            <w:noProof/>
          </w:rPr>
          <w:t>1</w:t>
        </w:r>
        <w:r>
          <w:fldChar w:fldCharType="end"/>
        </w:r>
      </w:p>
    </w:sdtContent>
  </w:sdt>
  <w:p w:rsidR="00993C11" w:rsidRDefault="00993C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3F" w:rsidRDefault="00B40F3F">
      <w:r>
        <w:separator/>
      </w:r>
    </w:p>
  </w:footnote>
  <w:footnote w:type="continuationSeparator" w:id="0">
    <w:p w:rsidR="00B40F3F" w:rsidRDefault="00B40F3F">
      <w:r>
        <w:continuationSeparator/>
      </w:r>
    </w:p>
  </w:footnote>
  <w:footnote w:id="1">
    <w:p w:rsidR="001146A5" w:rsidRPr="00846266" w:rsidRDefault="00995131" w:rsidP="00522EE3">
      <w:pPr>
        <w:pStyle w:val="Footnote10"/>
        <w:shd w:val="clear" w:color="auto" w:fill="auto"/>
        <w:tabs>
          <w:tab w:val="left" w:pos="86"/>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w zakresie: Prowadzenie spraw organizacyjnych instytucji kultury. Prowadzenie spraw związanych</w:t>
      </w:r>
    </w:p>
    <w:p w:rsidR="001146A5" w:rsidRPr="00846266" w:rsidRDefault="00995131" w:rsidP="00522EE3">
      <w:pPr>
        <w:pStyle w:val="Footnote10"/>
        <w:shd w:val="clear" w:color="auto" w:fill="auto"/>
        <w:spacing w:before="120" w:after="240" w:line="300" w:lineRule="auto"/>
        <w:ind w:right="-1171"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 xml:space="preserve">z zatrudnieniem i wynagrodzeniem pracowników. Prawidłowość prowadzenia gospodarki finansowej instytucji kultury, </w:t>
      </w:r>
      <w:proofErr w:type="spellStart"/>
      <w:r w:rsidRPr="00846266">
        <w:rPr>
          <w:rFonts w:asciiTheme="minorHAnsi" w:hAnsiTheme="minorHAnsi" w:cstheme="minorHAnsi"/>
          <w:sz w:val="22"/>
          <w:szCs w:val="22"/>
        </w:rPr>
        <w:t>gospodarowania»przydzieloną</w:t>
      </w:r>
      <w:proofErr w:type="spellEnd"/>
      <w:r w:rsidRPr="00846266">
        <w:rPr>
          <w:rFonts w:asciiTheme="minorHAnsi" w:hAnsiTheme="minorHAnsi" w:cstheme="minorHAnsi"/>
          <w:sz w:val="22"/>
          <w:szCs w:val="22"/>
        </w:rPr>
        <w:t xml:space="preserve"> i nabytą częścią mienia, w tym środkami otrzymanymi od organizatora na dofinansowanie działalności bieżącej instytucji kultury za okres 01.01.2021 do dnia zakończenia kontroli.</w:t>
      </w:r>
    </w:p>
  </w:footnote>
  <w:footnote w:id="2">
    <w:p w:rsidR="001146A5" w:rsidRPr="00846266" w:rsidRDefault="00995131" w:rsidP="00522EE3">
      <w:pPr>
        <w:pStyle w:val="Footnote10"/>
        <w:shd w:val="clear" w:color="auto" w:fill="auto"/>
        <w:tabs>
          <w:tab w:val="left" w:pos="0"/>
        </w:tabs>
        <w:spacing w:before="120" w:after="240" w:line="300" w:lineRule="auto"/>
        <w:ind w:right="-745"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Pełnomocnictwo nr </w:t>
      </w:r>
      <w:r w:rsidRPr="00846266">
        <w:rPr>
          <w:rFonts w:asciiTheme="minorHAnsi" w:hAnsiTheme="minorHAnsi" w:cstheme="minorHAnsi"/>
          <w:sz w:val="22"/>
          <w:szCs w:val="22"/>
          <w:lang w:val="ru-RU" w:eastAsia="ru-RU" w:bidi="ru-RU"/>
        </w:rPr>
        <w:t xml:space="preserve">3/2022 </w:t>
      </w:r>
      <w:r w:rsidRPr="00846266">
        <w:rPr>
          <w:rFonts w:asciiTheme="minorHAnsi" w:hAnsiTheme="minorHAnsi" w:cstheme="minorHAnsi"/>
          <w:sz w:val="22"/>
          <w:szCs w:val="22"/>
        </w:rPr>
        <w:t>z 12 grudnia 2022 r. udzielone przez panią K</w:t>
      </w:r>
      <w:r w:rsidR="00846266">
        <w:rPr>
          <w:rFonts w:asciiTheme="minorHAnsi" w:hAnsiTheme="minorHAnsi" w:cstheme="minorHAnsi"/>
          <w:sz w:val="22"/>
          <w:szCs w:val="22"/>
        </w:rPr>
        <w:t xml:space="preserve">arolinę Ochab Dyrektorkę Teatru </w:t>
      </w:r>
      <w:r w:rsidRPr="00846266">
        <w:rPr>
          <w:rFonts w:asciiTheme="minorHAnsi" w:hAnsiTheme="minorHAnsi" w:cstheme="minorHAnsi"/>
          <w:sz w:val="22"/>
          <w:szCs w:val="22"/>
        </w:rPr>
        <w:t>Nowego w Warszawie.</w:t>
      </w:r>
    </w:p>
  </w:footnote>
  <w:footnote w:id="3">
    <w:p w:rsidR="001146A5" w:rsidRPr="00846266" w:rsidRDefault="00995131" w:rsidP="00522EE3">
      <w:pPr>
        <w:pStyle w:val="Footnote10"/>
        <w:shd w:val="clear" w:color="auto" w:fill="auto"/>
        <w:tabs>
          <w:tab w:val="left" w:pos="115"/>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Uchwała nr </w:t>
      </w:r>
      <w:r w:rsidRPr="00846266">
        <w:rPr>
          <w:rFonts w:asciiTheme="minorHAnsi" w:hAnsiTheme="minorHAnsi" w:cstheme="minorHAnsi"/>
          <w:sz w:val="22"/>
          <w:szCs w:val="22"/>
          <w:lang w:val="en-US" w:eastAsia="en-US" w:bidi="en-US"/>
        </w:rPr>
        <w:t xml:space="preserve">XXXVIII/992/2012 </w:t>
      </w:r>
      <w:r w:rsidRPr="00846266">
        <w:rPr>
          <w:rFonts w:asciiTheme="minorHAnsi" w:hAnsiTheme="minorHAnsi" w:cstheme="minorHAnsi"/>
          <w:sz w:val="22"/>
          <w:szCs w:val="22"/>
        </w:rPr>
        <w:t>Rady m.st. Warszawy z dnia 20 czerwca 2012 r. w sprawie zmiany nazwy</w:t>
      </w:r>
      <w:r w:rsidR="008237C7" w:rsidRPr="00846266">
        <w:rPr>
          <w:rFonts w:asciiTheme="minorHAnsi" w:hAnsiTheme="minorHAnsi" w:cstheme="minorHAnsi"/>
          <w:sz w:val="22"/>
          <w:szCs w:val="22"/>
        </w:rPr>
        <w:t xml:space="preserve">                                                         </w:t>
      </w:r>
    </w:p>
  </w:footnote>
  <w:footnote w:id="4">
    <w:p w:rsidR="008237C7" w:rsidRPr="00846266" w:rsidRDefault="008237C7" w:rsidP="00522EE3">
      <w:pPr>
        <w:pStyle w:val="Footnote10"/>
        <w:shd w:val="clear" w:color="auto" w:fill="auto"/>
        <w:tabs>
          <w:tab w:val="left" w:pos="110"/>
        </w:tabs>
        <w:spacing w:before="120" w:after="240" w:line="300" w:lineRule="auto"/>
        <w:ind w:firstLine="0"/>
        <w:contextualSpacing/>
        <w:jc w:val="left"/>
        <w:rPr>
          <w:rFonts w:asciiTheme="minorHAnsi" w:hAnsiTheme="minorHAnsi" w:cstheme="minorHAnsi"/>
          <w:sz w:val="22"/>
          <w:szCs w:val="22"/>
          <w:vertAlign w:val="superscript"/>
        </w:rPr>
      </w:pPr>
      <w:r w:rsidRPr="00846266">
        <w:rPr>
          <w:rFonts w:asciiTheme="minorHAnsi" w:hAnsiTheme="minorHAnsi" w:cstheme="minorHAnsi"/>
          <w:sz w:val="22"/>
          <w:szCs w:val="22"/>
        </w:rPr>
        <w:t>i statutu Teatru Nowego</w:t>
      </w:r>
      <w:r w:rsidRPr="00846266">
        <w:rPr>
          <w:rFonts w:asciiTheme="minorHAnsi" w:hAnsiTheme="minorHAnsi" w:cstheme="minorHAnsi"/>
          <w:sz w:val="22"/>
          <w:szCs w:val="22"/>
          <w:vertAlign w:val="superscript"/>
        </w:rPr>
        <w:t xml:space="preserve"> </w:t>
      </w:r>
    </w:p>
    <w:p w:rsidR="001146A5" w:rsidRPr="00846266" w:rsidRDefault="00995131" w:rsidP="00522EE3">
      <w:pPr>
        <w:pStyle w:val="Footnote10"/>
        <w:shd w:val="clear" w:color="auto" w:fill="auto"/>
        <w:tabs>
          <w:tab w:val="left" w:pos="110"/>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obowiązujący w 2021 roku.</w:t>
      </w:r>
    </w:p>
  </w:footnote>
  <w:footnote w:id="5">
    <w:p w:rsidR="001146A5" w:rsidRPr="00846266" w:rsidRDefault="00995131" w:rsidP="00522EE3">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Dz. U. z 2020 r. poz. 194 ze zm.</w:t>
      </w:r>
    </w:p>
  </w:footnote>
  <w:footnote w:id="6">
    <w:p w:rsidR="001146A5" w:rsidRPr="00846266" w:rsidRDefault="00995131" w:rsidP="00522EE3">
      <w:pPr>
        <w:pStyle w:val="Footnote10"/>
        <w:shd w:val="clear" w:color="auto" w:fill="auto"/>
        <w:tabs>
          <w:tab w:val="left" w:pos="115"/>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Dz. U. z 2023 r. poz. 120 </w:t>
      </w:r>
      <w:proofErr w:type="spellStart"/>
      <w:r w:rsidRPr="00846266">
        <w:rPr>
          <w:rFonts w:asciiTheme="minorHAnsi" w:hAnsiTheme="minorHAnsi" w:cstheme="minorHAnsi"/>
          <w:sz w:val="22"/>
          <w:szCs w:val="22"/>
        </w:rPr>
        <w:t>t.j</w:t>
      </w:r>
      <w:proofErr w:type="spellEnd"/>
      <w:r w:rsidRPr="00846266">
        <w:rPr>
          <w:rFonts w:asciiTheme="minorHAnsi" w:hAnsiTheme="minorHAnsi" w:cstheme="minorHAnsi"/>
          <w:sz w:val="22"/>
          <w:szCs w:val="22"/>
        </w:rPr>
        <w:t>.</w:t>
      </w:r>
    </w:p>
  </w:footnote>
  <w:footnote w:id="7">
    <w:p w:rsidR="001146A5" w:rsidRPr="00846266" w:rsidRDefault="00995131" w:rsidP="00522EE3">
      <w:pPr>
        <w:pStyle w:val="Footnote10"/>
        <w:shd w:val="clear" w:color="auto" w:fill="auto"/>
        <w:tabs>
          <w:tab w:val="left" w:pos="0"/>
        </w:tabs>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Konta: 031,032, 033, 034, 035, 038, 092, 093,094, 099,134,136,137, 209, 210, 211, 212, 213, 214, 225, 226, 235, 236, 240, 243, 248, 250, 271, 272,315, 316, 391, 392, 409,510, 520, 551, 645, 647, 652, 660, 702, 712, 732, 742, 752, 753, 754, 755, 756, 757, 758, 759, 762, 763, 764, 765, 767, 772, 790, 791, 801,805, 807, 807, 809, 822, 841, 842, 843, 844, 852, 872.</w:t>
      </w:r>
    </w:p>
  </w:footnote>
  <w:footnote w:id="8">
    <w:p w:rsidR="008237C7" w:rsidRPr="00846266" w:rsidRDefault="00995131" w:rsidP="00522EE3">
      <w:pPr>
        <w:pStyle w:val="Footnote10"/>
        <w:numPr>
          <w:ilvl w:val="0"/>
          <w:numId w:val="1"/>
        </w:numPr>
        <w:shd w:val="clear" w:color="auto" w:fill="auto"/>
        <w:tabs>
          <w:tab w:val="left" w:pos="101"/>
        </w:tabs>
        <w:spacing w:before="120" w:after="240" w:line="300" w:lineRule="auto"/>
        <w:ind w:right="-320"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 xml:space="preserve">Zarządzenie nr </w:t>
      </w:r>
      <w:r w:rsidRPr="00846266">
        <w:rPr>
          <w:rFonts w:asciiTheme="minorHAnsi" w:hAnsiTheme="minorHAnsi" w:cstheme="minorHAnsi"/>
          <w:sz w:val="22"/>
          <w:szCs w:val="22"/>
          <w:lang w:val="ru-RU" w:eastAsia="ru-RU" w:bidi="ru-RU"/>
        </w:rPr>
        <w:t xml:space="preserve">1613/2011 </w:t>
      </w:r>
      <w:r w:rsidRPr="00846266">
        <w:rPr>
          <w:rFonts w:asciiTheme="minorHAnsi" w:hAnsiTheme="minorHAnsi" w:cstheme="minorHAnsi"/>
          <w:sz w:val="22"/>
          <w:szCs w:val="22"/>
        </w:rPr>
        <w:t>Prezydenta m.st. Warszawy z dnia 11 października 2011 r. w sprawie zasad funkcjonowania kontroli zarządczej w mieście stołecznym Warszawie (ze zm.).</w:t>
      </w:r>
    </w:p>
    <w:p w:rsidR="001146A5" w:rsidRPr="009C7058" w:rsidRDefault="008237C7" w:rsidP="00522EE3">
      <w:pPr>
        <w:pStyle w:val="Footnote10"/>
        <w:numPr>
          <w:ilvl w:val="0"/>
          <w:numId w:val="1"/>
        </w:numPr>
        <w:shd w:val="clear" w:color="auto" w:fill="auto"/>
        <w:tabs>
          <w:tab w:val="left" w:pos="101"/>
        </w:tabs>
        <w:spacing w:before="120" w:after="240" w:line="300" w:lineRule="auto"/>
        <w:ind w:right="-320"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Dz. U. z 2022 r., poz. 1634 ze zm.</w:t>
      </w:r>
    </w:p>
  </w:footnote>
  <w:footnote w:id="9">
    <w:p w:rsidR="001146A5" w:rsidRPr="00846266" w:rsidRDefault="001146A5" w:rsidP="00522EE3">
      <w:pPr>
        <w:pStyle w:val="Footnote10"/>
        <w:shd w:val="clear" w:color="auto" w:fill="auto"/>
        <w:tabs>
          <w:tab w:val="left" w:pos="115"/>
        </w:tabs>
        <w:spacing w:before="120" w:after="240" w:line="300" w:lineRule="auto"/>
        <w:ind w:firstLine="0"/>
        <w:contextualSpacing/>
        <w:jc w:val="left"/>
        <w:rPr>
          <w:rFonts w:asciiTheme="minorHAnsi" w:hAnsiTheme="minorHAnsi" w:cstheme="minorHAnsi"/>
          <w:sz w:val="22"/>
          <w:szCs w:val="22"/>
        </w:rPr>
      </w:pPr>
    </w:p>
  </w:footnote>
  <w:footnote w:id="10">
    <w:p w:rsidR="001146A5" w:rsidRPr="00846266" w:rsidRDefault="00995131" w:rsidP="00522EE3">
      <w:pPr>
        <w:pStyle w:val="Footnote10"/>
        <w:shd w:val="clear" w:color="auto" w:fill="auto"/>
        <w:tabs>
          <w:tab w:val="left" w:pos="154"/>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W tym przychody operacyjne z tyt. amortyzacji w kwocie 1514 624,16 zł.</w:t>
      </w:r>
    </w:p>
  </w:footnote>
  <w:footnote w:id="11">
    <w:p w:rsidR="001146A5" w:rsidRPr="00846266" w:rsidRDefault="00995131" w:rsidP="00522EE3">
      <w:pPr>
        <w:pStyle w:val="Footnote10"/>
        <w:shd w:val="clear" w:color="auto" w:fill="auto"/>
        <w:tabs>
          <w:tab w:val="left" w:pos="0"/>
        </w:tabs>
        <w:spacing w:before="120" w:after="240" w:line="300" w:lineRule="auto"/>
        <w:ind w:right="-462"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Ministerstwo Kultury i Dziedzictwa Narodowego kwota 25 000,00 zł. Instytut Francuski w Polsce kwota 6 500,00 zł, Polski Instytut Sztuki Filmowej kwota 5 000,00 zł.</w:t>
      </w:r>
    </w:p>
  </w:footnote>
  <w:footnote w:id="12">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 xml:space="preserve">Zarządzenie nr </w:t>
      </w:r>
      <w:r w:rsidRPr="00846266">
        <w:rPr>
          <w:rFonts w:asciiTheme="minorHAnsi" w:hAnsiTheme="minorHAnsi" w:cstheme="minorHAnsi"/>
          <w:sz w:val="22"/>
          <w:szCs w:val="22"/>
          <w:lang w:val="ru-RU" w:eastAsia="ru-RU" w:bidi="ru-RU"/>
        </w:rPr>
        <w:t xml:space="preserve">6/2019 </w:t>
      </w:r>
      <w:r w:rsidRPr="00846266">
        <w:rPr>
          <w:rFonts w:asciiTheme="minorHAnsi" w:hAnsiTheme="minorHAnsi" w:cstheme="minorHAnsi"/>
          <w:sz w:val="22"/>
          <w:szCs w:val="22"/>
        </w:rPr>
        <w:t xml:space="preserve">Dyrektora Teatru z 4 kwietnia 2019 r. w sprawie </w:t>
      </w:r>
      <w:r w:rsidR="009C7058">
        <w:rPr>
          <w:rFonts w:asciiTheme="minorHAnsi" w:hAnsiTheme="minorHAnsi" w:cstheme="minorHAnsi"/>
          <w:sz w:val="22"/>
          <w:szCs w:val="22"/>
        </w:rPr>
        <w:t xml:space="preserve">zasad udostępniania przestrzeni </w:t>
      </w:r>
      <w:r w:rsidRPr="00846266">
        <w:rPr>
          <w:rFonts w:asciiTheme="minorHAnsi" w:hAnsiTheme="minorHAnsi" w:cstheme="minorHAnsi"/>
          <w:sz w:val="22"/>
          <w:szCs w:val="22"/>
        </w:rPr>
        <w:t xml:space="preserve">Międzynarodowego Centrum Kultury Nowy Teatr oraz ustalania wysokości czynszu za wynajem powierzchni, zmienione Zarządzeniem nr </w:t>
      </w:r>
      <w:r w:rsidRPr="00846266">
        <w:rPr>
          <w:rFonts w:asciiTheme="minorHAnsi" w:hAnsiTheme="minorHAnsi" w:cstheme="minorHAnsi"/>
          <w:sz w:val="22"/>
          <w:szCs w:val="22"/>
          <w:lang w:val="ru-RU" w:eastAsia="ru-RU" w:bidi="ru-RU"/>
        </w:rPr>
        <w:t xml:space="preserve">4/2020 </w:t>
      </w:r>
      <w:r w:rsidRPr="00846266">
        <w:rPr>
          <w:rFonts w:asciiTheme="minorHAnsi" w:hAnsiTheme="minorHAnsi" w:cstheme="minorHAnsi"/>
          <w:sz w:val="22"/>
          <w:szCs w:val="22"/>
        </w:rPr>
        <w:t>Dyrektora z dnia 11 lutego 2020 r.</w:t>
      </w:r>
    </w:p>
  </w:footnote>
  <w:footnote w:id="13">
    <w:p w:rsidR="001146A5" w:rsidRPr="00846266" w:rsidRDefault="00995131" w:rsidP="00522EE3">
      <w:pPr>
        <w:pStyle w:val="Footnote10"/>
        <w:shd w:val="clear" w:color="auto" w:fill="auto"/>
        <w:tabs>
          <w:tab w:val="left" w:pos="168"/>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Umowa nr 5/ADM/04.2021 z dnia 30.04.2021 r. na najem przestrzeni użytkowej we </w:t>
      </w:r>
      <w:proofErr w:type="spellStart"/>
      <w:r w:rsidRPr="00846266">
        <w:rPr>
          <w:rFonts w:asciiTheme="minorHAnsi" w:hAnsiTheme="minorHAnsi" w:cstheme="minorHAnsi"/>
          <w:sz w:val="22"/>
          <w:szCs w:val="22"/>
        </w:rPr>
        <w:t>foyer</w:t>
      </w:r>
      <w:proofErr w:type="spellEnd"/>
      <w:r w:rsidRPr="00846266">
        <w:rPr>
          <w:rFonts w:asciiTheme="minorHAnsi" w:hAnsiTheme="minorHAnsi" w:cstheme="minorHAnsi"/>
          <w:sz w:val="22"/>
          <w:szCs w:val="22"/>
        </w:rPr>
        <w:t xml:space="preserve"> Teatru</w:t>
      </w:r>
    </w:p>
    <w:p w:rsidR="001146A5" w:rsidRPr="00846266" w:rsidRDefault="00995131" w:rsidP="00522EE3">
      <w:pPr>
        <w:pStyle w:val="Footnote10"/>
        <w:shd w:val="clear" w:color="auto" w:fill="auto"/>
        <w:spacing w:before="120" w:after="240" w:line="300" w:lineRule="auto"/>
        <w:ind w:right="-462"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i magazynku w części biurowej oraz umowa nr 5/ADM/05.2021 z dnia 14.05.2021 r. na najem sezonowej kawiarni ogródkowej.</w:t>
      </w:r>
    </w:p>
  </w:footnote>
  <w:footnote w:id="14">
    <w:p w:rsidR="001146A5" w:rsidRPr="00846266" w:rsidRDefault="00995131" w:rsidP="00522EE3">
      <w:pPr>
        <w:pStyle w:val="Footnote10"/>
        <w:shd w:val="clear" w:color="auto" w:fill="auto"/>
        <w:tabs>
          <w:tab w:val="left" w:pos="163"/>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Umowa nr 4/ADM/03.2018 z dnia 30.03.2018 r. na najem przestrzeni użytkowej we </w:t>
      </w:r>
      <w:proofErr w:type="spellStart"/>
      <w:r w:rsidRPr="00846266">
        <w:rPr>
          <w:rFonts w:asciiTheme="minorHAnsi" w:hAnsiTheme="minorHAnsi" w:cstheme="minorHAnsi"/>
          <w:sz w:val="22"/>
          <w:szCs w:val="22"/>
        </w:rPr>
        <w:t>foyer</w:t>
      </w:r>
      <w:proofErr w:type="spellEnd"/>
      <w:r w:rsidRPr="00846266">
        <w:rPr>
          <w:rFonts w:asciiTheme="minorHAnsi" w:hAnsiTheme="minorHAnsi" w:cstheme="minorHAnsi"/>
          <w:sz w:val="22"/>
          <w:szCs w:val="22"/>
        </w:rPr>
        <w:t xml:space="preserve"> Teatru.</w:t>
      </w:r>
    </w:p>
  </w:footnote>
  <w:footnote w:id="15">
    <w:p w:rsidR="001146A5" w:rsidRPr="00846266" w:rsidRDefault="00995131" w:rsidP="00522EE3">
      <w:pPr>
        <w:pStyle w:val="Footnote10"/>
        <w:pBdr>
          <w:top w:val="single" w:sz="4" w:space="1" w:color="auto"/>
        </w:pBdr>
        <w:shd w:val="clear" w:color="auto" w:fill="auto"/>
        <w:tabs>
          <w:tab w:val="left" w:pos="168"/>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Dz.U. z 2022 </w:t>
      </w:r>
      <w:r w:rsidRPr="00846266">
        <w:rPr>
          <w:rStyle w:val="Footnote1Bold"/>
          <w:rFonts w:asciiTheme="minorHAnsi" w:hAnsiTheme="minorHAnsi" w:cstheme="minorHAnsi"/>
          <w:sz w:val="22"/>
          <w:szCs w:val="22"/>
        </w:rPr>
        <w:t xml:space="preserve">r. </w:t>
      </w:r>
      <w:r w:rsidRPr="00846266">
        <w:rPr>
          <w:rFonts w:asciiTheme="minorHAnsi" w:hAnsiTheme="minorHAnsi" w:cstheme="minorHAnsi"/>
          <w:sz w:val="22"/>
          <w:szCs w:val="22"/>
        </w:rPr>
        <w:t>poz. 1510 ze zm.</w:t>
      </w:r>
    </w:p>
  </w:footnote>
  <w:footnote w:id="16">
    <w:p w:rsidR="001146A5" w:rsidRPr="00846266" w:rsidRDefault="00995131" w:rsidP="00522EE3">
      <w:pPr>
        <w:pStyle w:val="Footnote20"/>
        <w:shd w:val="clear" w:color="auto" w:fill="auto"/>
        <w:tabs>
          <w:tab w:val="left" w:pos="7330"/>
        </w:tabs>
        <w:spacing w:before="120" w:after="240" w:line="300" w:lineRule="auto"/>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93C11">
        <w:rPr>
          <w:rFonts w:asciiTheme="minorHAnsi" w:hAnsiTheme="minorHAnsi" w:cstheme="minorHAnsi"/>
          <w:sz w:val="22"/>
          <w:szCs w:val="22"/>
        </w:rPr>
        <w:t xml:space="preserve">  </w:t>
      </w:r>
      <w:proofErr w:type="spellStart"/>
      <w:r w:rsidRPr="00846266">
        <w:rPr>
          <w:rFonts w:asciiTheme="minorHAnsi" w:hAnsiTheme="minorHAnsi" w:cstheme="minorHAnsi"/>
          <w:sz w:val="22"/>
          <w:szCs w:val="22"/>
        </w:rPr>
        <w:t>igo</w:t>
      </w:r>
      <w:proofErr w:type="spellEnd"/>
      <w:r w:rsidRPr="00846266">
        <w:rPr>
          <w:rFonts w:asciiTheme="minorHAnsi" w:hAnsiTheme="minorHAnsi" w:cstheme="minorHAnsi"/>
          <w:sz w:val="22"/>
          <w:szCs w:val="22"/>
        </w:rPr>
        <w:t>).</w:t>
      </w:r>
    </w:p>
  </w:footnote>
  <w:footnote w:id="17">
    <w:p w:rsidR="001146A5" w:rsidRPr="00846266" w:rsidRDefault="00995131" w:rsidP="00522EE3">
      <w:pPr>
        <w:pStyle w:val="Footnote10"/>
        <w:shd w:val="clear" w:color="auto" w:fill="auto"/>
        <w:tabs>
          <w:tab w:val="left" w:pos="5765"/>
          <w:tab w:val="left" w:leader="hyphen" w:pos="6533"/>
        </w:tabs>
        <w:spacing w:before="120" w:after="240" w:line="300" w:lineRule="auto"/>
        <w:ind w:right="-320" w:firstLine="0"/>
        <w:contextualSpacing/>
        <w:jc w:val="left"/>
        <w:rPr>
          <w:rFonts w:asciiTheme="minorHAnsi" w:hAnsiTheme="minorHAnsi" w:cstheme="minorHAnsi"/>
          <w:sz w:val="22"/>
          <w:szCs w:val="22"/>
        </w:rPr>
      </w:pPr>
      <w:r w:rsidRPr="00846266">
        <w:rPr>
          <w:rStyle w:val="Footnote1Italic"/>
          <w:rFonts w:asciiTheme="minorHAnsi" w:hAnsiTheme="minorHAnsi" w:cstheme="minorHAnsi"/>
          <w:sz w:val="22"/>
          <w:szCs w:val="22"/>
          <w:vertAlign w:val="superscript"/>
          <w:lang w:val="pl-PL" w:eastAsia="pl-PL" w:bidi="pl-PL"/>
        </w:rPr>
        <w:t>n</w:t>
      </w:r>
      <w:r w:rsidRPr="00846266">
        <w:rPr>
          <w:rFonts w:asciiTheme="minorHAnsi" w:hAnsiTheme="minorHAnsi" w:cstheme="minorHAnsi"/>
          <w:sz w:val="22"/>
          <w:szCs w:val="22"/>
        </w:rPr>
        <w:t xml:space="preserve"> Zarządzenie nr </w:t>
      </w:r>
      <w:r w:rsidRPr="00846266">
        <w:rPr>
          <w:rFonts w:asciiTheme="minorHAnsi" w:hAnsiTheme="minorHAnsi" w:cstheme="minorHAnsi"/>
          <w:sz w:val="22"/>
          <w:szCs w:val="22"/>
          <w:lang w:val="ru-RU" w:eastAsia="ru-RU" w:bidi="ru-RU"/>
        </w:rPr>
        <w:t xml:space="preserve">21/2015 </w:t>
      </w:r>
      <w:r w:rsidRPr="00846266">
        <w:rPr>
          <w:rFonts w:asciiTheme="minorHAnsi" w:hAnsiTheme="minorHAnsi" w:cstheme="minorHAnsi"/>
          <w:sz w:val="22"/>
          <w:szCs w:val="22"/>
        </w:rPr>
        <w:t xml:space="preserve">z 15 grudnia </w:t>
      </w:r>
      <w:r w:rsidRPr="00846266">
        <w:rPr>
          <w:rFonts w:asciiTheme="minorHAnsi" w:hAnsiTheme="minorHAnsi" w:cstheme="minorHAnsi"/>
          <w:sz w:val="22"/>
          <w:szCs w:val="22"/>
          <w:lang w:val="ru-RU" w:eastAsia="ru-RU" w:bidi="ru-RU"/>
        </w:rPr>
        <w:t xml:space="preserve">20хэ г. иугекюіа </w:t>
      </w:r>
      <w:proofErr w:type="spellStart"/>
      <w:r w:rsidRPr="00846266">
        <w:rPr>
          <w:rFonts w:asciiTheme="minorHAnsi" w:hAnsiTheme="minorHAnsi" w:cstheme="minorHAnsi"/>
          <w:sz w:val="22"/>
          <w:szCs w:val="22"/>
          <w:lang w:val="de-DE" w:eastAsia="de-DE" w:bidi="de-DE"/>
        </w:rPr>
        <w:t>iwwcg</w:t>
      </w:r>
      <w:proofErr w:type="spellEnd"/>
      <w:r w:rsidRPr="00846266">
        <w:rPr>
          <w:rFonts w:asciiTheme="minorHAnsi" w:hAnsiTheme="minorHAnsi" w:cstheme="minorHAnsi"/>
          <w:sz w:val="22"/>
          <w:szCs w:val="22"/>
          <w:lang w:val="de-DE" w:eastAsia="de-DE" w:bidi="de-DE"/>
        </w:rPr>
        <w:t>«</w:t>
      </w:r>
      <w:r w:rsidRPr="00846266">
        <w:rPr>
          <w:rFonts w:asciiTheme="minorHAnsi" w:hAnsiTheme="minorHAnsi" w:cstheme="minorHAnsi"/>
          <w:sz w:val="22"/>
          <w:szCs w:val="22"/>
          <w:lang w:val="de-DE" w:eastAsia="de-DE" w:bidi="de-DE"/>
        </w:rPr>
        <w:tab/>
      </w:r>
      <w:r w:rsidRPr="00846266">
        <w:rPr>
          <w:rFonts w:asciiTheme="minorHAnsi" w:hAnsiTheme="minorHAnsi" w:cstheme="minorHAnsi"/>
          <w:sz w:val="22"/>
          <w:szCs w:val="22"/>
        </w:rPr>
        <w:t xml:space="preserve">.. </w:t>
      </w:r>
      <w:r w:rsidRPr="00846266">
        <w:rPr>
          <w:rFonts w:asciiTheme="minorHAnsi" w:hAnsiTheme="minorHAnsi" w:cstheme="minorHAnsi"/>
          <w:sz w:val="22"/>
          <w:szCs w:val="22"/>
        </w:rPr>
        <w:tab/>
        <w:t>Regulaminu Pracy Nowego</w:t>
      </w:r>
    </w:p>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Teatru (ze zm.)</w:t>
      </w:r>
    </w:p>
  </w:footnote>
  <w:footnote w:id="18">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t>13</w:t>
      </w:r>
      <w:r w:rsidRPr="00846266">
        <w:rPr>
          <w:rFonts w:asciiTheme="minorHAnsi" w:hAnsiTheme="minorHAnsi" w:cstheme="minorHAnsi"/>
          <w:sz w:val="22"/>
          <w:szCs w:val="22"/>
        </w:rPr>
        <w:t xml:space="preserve"> </w:t>
      </w:r>
      <w:r w:rsidRPr="00846266">
        <w:rPr>
          <w:rFonts w:asciiTheme="minorHAnsi" w:hAnsiTheme="minorHAnsi" w:cstheme="minorHAnsi"/>
          <w:sz w:val="22"/>
          <w:szCs w:val="22"/>
          <w:lang w:val="de-DE" w:eastAsia="de-DE" w:bidi="de-DE"/>
        </w:rPr>
        <w:t xml:space="preserve">Dz. </w:t>
      </w:r>
      <w:r w:rsidRPr="00846266">
        <w:rPr>
          <w:rFonts w:asciiTheme="minorHAnsi" w:hAnsiTheme="minorHAnsi" w:cstheme="minorHAnsi"/>
          <w:sz w:val="22"/>
          <w:szCs w:val="22"/>
        </w:rPr>
        <w:t>Urz. MF. z 2009 r. Nr 15, poz. 84.</w:t>
      </w:r>
    </w:p>
  </w:footnote>
  <w:footnote w:id="19">
    <w:p w:rsidR="001146A5" w:rsidRPr="00846266" w:rsidRDefault="00995131" w:rsidP="00522EE3">
      <w:pPr>
        <w:pStyle w:val="Footnote10"/>
        <w:shd w:val="clear" w:color="auto" w:fill="auto"/>
        <w:tabs>
          <w:tab w:val="left" w:pos="158"/>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stanowiska:!</w:t>
      </w:r>
    </w:p>
  </w:footnote>
  <w:footnote w:id="20">
    <w:p w:rsidR="001146A5" w:rsidRPr="00846266" w:rsidRDefault="00995131" w:rsidP="00522EE3">
      <w:pPr>
        <w:pStyle w:val="Footnote10"/>
        <w:shd w:val="clear" w:color="auto" w:fill="auto"/>
        <w:tabs>
          <w:tab w:val="left" w:pos="173"/>
        </w:tabs>
        <w:spacing w:before="120" w:after="240" w:line="300" w:lineRule="auto"/>
        <w:ind w:left="140" w:right="-1171" w:hanging="14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rejestry za 2022 r. Działu Administracji nie zawierały kolumn „źródło finansowania", „czy w umowie zawarta jest klauzula jawności" oraz „projekt/dział"; rejestr za 2021 i 2022 r. Działu Komunikacji nie zawierały kolumn „źródło finansowania", „czy w umowie zawarta jest klauzula jawności" oraz „projekt/dział"; Działu Impresariatu nie posiadał kolumny „czy w umowie zawarta jest klauzula jawności"; rejestr za 2021 r. Działu Międzynarodowego nie posiadał wypełnionych kolumn „okres realizacji umowy", „czy w umowie zawarta jest klauzula jawności" oraz „projekt/dział"; rejestr za 2022 r. Działu Edukacja nie zawierał zaznaczonych odpowiedzi w kolumnie „czy w umowie zawarta jest klauzula jawności"; rejestr za 2021 r. Działu Technicznego od wiersza 10 do 29 nie zawierał wypełnionej kolumny „projekt/dział" i analogicznie w 2022 r. wiersze od 12 do 14 nie zostały wypełnione.</w:t>
      </w:r>
    </w:p>
  </w:footnote>
  <w:footnote w:id="21">
    <w:p w:rsidR="001146A5" w:rsidRPr="00846266" w:rsidRDefault="00995131" w:rsidP="00522EE3">
      <w:pPr>
        <w:pStyle w:val="Footnote10"/>
        <w:shd w:val="clear" w:color="auto" w:fill="auto"/>
        <w:tabs>
          <w:tab w:val="left" w:pos="178"/>
        </w:tabs>
        <w:spacing w:before="120" w:after="240" w:line="300" w:lineRule="auto"/>
        <w:ind w:left="140" w:right="-604" w:hanging="14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Działy Administracji, Edukacji, Literacki, Komunikacji, Produkcji, Międzynarodowy, Techniczny stosowały niejednolite zasady numeracji rozpoczynając nadawanie nowych numerów z początkiem miesiąca; dział Impresariatu poprzedzał oznaczeniem roku kalendarzowego nadanie numeru porządkowego umowy</w:t>
      </w:r>
    </w:p>
  </w:footnote>
  <w:footnote w:id="22">
    <w:p w:rsidR="001146A5" w:rsidRPr="00846266" w:rsidRDefault="00995131" w:rsidP="00522EE3">
      <w:pPr>
        <w:pStyle w:val="Footnote10"/>
        <w:shd w:val="clear" w:color="auto" w:fill="auto"/>
        <w:tabs>
          <w:tab w:val="left" w:pos="173"/>
        </w:tabs>
        <w:spacing w:before="120" w:after="240" w:line="300" w:lineRule="auto"/>
        <w:ind w:left="140" w:right="-745" w:hanging="14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np. w pozycji 6 w miesiącu czerwcu 2021 r., widnieje umowa o numerze 2/T/06.2021/MG/Zlec, natomiast brak jest umowy z numerem 1.</w:t>
      </w:r>
    </w:p>
  </w:footnote>
  <w:footnote w:id="23">
    <w:p w:rsidR="001146A5" w:rsidRPr="00846266" w:rsidRDefault="00995131" w:rsidP="00522EE3">
      <w:pPr>
        <w:pStyle w:val="Footnote10"/>
        <w:shd w:val="clear" w:color="auto" w:fill="auto"/>
        <w:tabs>
          <w:tab w:val="left" w:pos="173"/>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W sprawie „Instrukcji obiegu i kontroli dokumentów", „Zasad postępowania z majątkiem rzeczowym Teatru"</w:t>
      </w:r>
    </w:p>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oraz „Instrukcji dotycząca gospodarki pieniężnej Teatru".</w:t>
      </w:r>
    </w:p>
  </w:footnote>
  <w:footnote w:id="24">
    <w:p w:rsidR="001146A5" w:rsidRPr="00846266" w:rsidRDefault="00995131" w:rsidP="00522EE3">
      <w:pPr>
        <w:pStyle w:val="Footnote10"/>
        <w:shd w:val="clear" w:color="auto" w:fill="auto"/>
        <w:tabs>
          <w:tab w:val="left" w:pos="168"/>
        </w:tabs>
        <w:spacing w:before="120" w:after="240" w:line="300" w:lineRule="auto"/>
        <w:ind w:right="-178"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umowa o dzieło wraz z przeniesieniem praw autorskich majątkowych nr l/L/08/2021 z 09.08.2021 r.</w:t>
      </w:r>
    </w:p>
  </w:footnote>
  <w:footnote w:id="25">
    <w:p w:rsidR="001146A5" w:rsidRPr="00846266" w:rsidRDefault="00995131" w:rsidP="00522EE3">
      <w:pPr>
        <w:pStyle w:val="Footnote10"/>
        <w:shd w:val="clear" w:color="auto" w:fill="auto"/>
        <w:tabs>
          <w:tab w:val="left" w:pos="178"/>
        </w:tabs>
        <w:spacing w:before="120" w:after="240" w:line="300" w:lineRule="auto"/>
        <w:ind w:right="-604"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Faktury z 2021 r. nr </w:t>
      </w:r>
      <w:r w:rsidRPr="00846266">
        <w:rPr>
          <w:rFonts w:asciiTheme="minorHAnsi" w:hAnsiTheme="minorHAnsi" w:cstheme="minorHAnsi"/>
          <w:sz w:val="22"/>
          <w:szCs w:val="22"/>
          <w:lang w:val="en-US" w:eastAsia="en-US" w:bidi="en-US"/>
        </w:rPr>
        <w:t xml:space="preserve">21-FVS//3/003 </w:t>
      </w:r>
      <w:r w:rsidRPr="00846266">
        <w:rPr>
          <w:rFonts w:asciiTheme="minorHAnsi" w:hAnsiTheme="minorHAnsi" w:cstheme="minorHAnsi"/>
          <w:sz w:val="22"/>
          <w:szCs w:val="22"/>
        </w:rPr>
        <w:t>oraz z 2022 r.nr: F/0000157/01/2022, f/222013392525, KR2022/614.</w:t>
      </w:r>
    </w:p>
  </w:footnote>
  <w:footnote w:id="26">
    <w:p w:rsidR="001146A5" w:rsidRPr="00846266" w:rsidRDefault="00995131" w:rsidP="00522EE3">
      <w:pPr>
        <w:pStyle w:val="Footnote10"/>
        <w:shd w:val="clear" w:color="auto" w:fill="auto"/>
        <w:tabs>
          <w:tab w:val="left" w:pos="173"/>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Faktury z 2021 r. nr f/005/05/2021, f/006/05/2021, f/004/05/2021, f/2180112766 oraz z 2022 </w:t>
      </w:r>
      <w:r w:rsidRPr="00846266">
        <w:rPr>
          <w:rFonts w:asciiTheme="minorHAnsi" w:hAnsiTheme="minorHAnsi" w:cstheme="minorHAnsi"/>
          <w:sz w:val="22"/>
          <w:szCs w:val="22"/>
          <w:lang w:val="ru-RU" w:eastAsia="ru-RU" w:bidi="ru-RU"/>
        </w:rPr>
        <w:t xml:space="preserve">г. </w:t>
      </w:r>
      <w:r w:rsidRPr="00846266">
        <w:rPr>
          <w:rFonts w:asciiTheme="minorHAnsi" w:hAnsiTheme="minorHAnsi" w:cstheme="minorHAnsi"/>
          <w:sz w:val="22"/>
          <w:szCs w:val="22"/>
        </w:rPr>
        <w:t>A2/1/2022.</w:t>
      </w:r>
    </w:p>
  </w:footnote>
  <w:footnote w:id="27">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faktury z 2021 r. nr faktury f/07/01/21 (2 dni przed wpływem dokumentu do Teatru), f/3/04/2021 (11 dni), f/154/06/2021 (2 dni), </w:t>
      </w:r>
      <w:r w:rsidRPr="00846266">
        <w:rPr>
          <w:rStyle w:val="Footnote1Italic"/>
          <w:rFonts w:asciiTheme="minorHAnsi" w:hAnsiTheme="minorHAnsi" w:cstheme="minorHAnsi"/>
          <w:sz w:val="22"/>
          <w:szCs w:val="22"/>
          <w:lang w:val="pl-PL" w:eastAsia="pl-PL" w:bidi="pl-PL"/>
        </w:rPr>
        <w:t>ON</w:t>
      </w:r>
      <w:r w:rsidRPr="00846266">
        <w:rPr>
          <w:rStyle w:val="Footnote1Italic"/>
          <w:rFonts w:asciiTheme="minorHAnsi" w:hAnsiTheme="minorHAnsi" w:cstheme="minorHAnsi"/>
          <w:sz w:val="22"/>
          <w:szCs w:val="22"/>
        </w:rPr>
        <w:t>/202</w:t>
      </w:r>
      <w:r w:rsidRPr="00846266">
        <w:rPr>
          <w:rFonts w:asciiTheme="minorHAnsi" w:hAnsiTheme="minorHAnsi" w:cstheme="minorHAnsi"/>
          <w:sz w:val="22"/>
          <w:szCs w:val="22"/>
          <w:lang w:val="ru-RU" w:eastAsia="ru-RU" w:bidi="ru-RU"/>
        </w:rPr>
        <w:t>1/08/083</w:t>
      </w:r>
      <w:r w:rsidRPr="00846266">
        <w:rPr>
          <w:rFonts w:asciiTheme="minorHAnsi" w:hAnsiTheme="minorHAnsi" w:cstheme="minorHAnsi"/>
          <w:sz w:val="22"/>
          <w:szCs w:val="22"/>
        </w:rPr>
        <w:t xml:space="preserve">180 (1 dzień), f/21004443/FA/00003 (1 dzień), f/540/2021 (1 dzień), f/21120011 (4 dni) oraz 2 faktury z 2022 r. FS313293/22/MEPL1/04 (4 dni), </w:t>
      </w:r>
      <w:r w:rsidRPr="00846266">
        <w:rPr>
          <w:rFonts w:asciiTheme="minorHAnsi" w:hAnsiTheme="minorHAnsi" w:cstheme="minorHAnsi"/>
          <w:sz w:val="22"/>
          <w:szCs w:val="22"/>
          <w:lang w:val="en-US" w:eastAsia="en-US" w:bidi="en-US"/>
        </w:rPr>
        <w:t xml:space="preserve">FS-436/04/22/VA </w:t>
      </w:r>
      <w:r w:rsidRPr="00846266">
        <w:rPr>
          <w:rFonts w:asciiTheme="minorHAnsi" w:hAnsiTheme="minorHAnsi" w:cstheme="minorHAnsi"/>
          <w:sz w:val="22"/>
          <w:szCs w:val="22"/>
        </w:rPr>
        <w:t>(1 dzień).</w:t>
      </w:r>
    </w:p>
  </w:footnote>
  <w:footnote w:id="28">
    <w:p w:rsidR="001146A5" w:rsidRPr="00846266" w:rsidRDefault="00995131" w:rsidP="00522EE3">
      <w:pPr>
        <w:pStyle w:val="Footnote10"/>
        <w:shd w:val="clear" w:color="auto" w:fill="auto"/>
        <w:tabs>
          <w:tab w:val="left" w:pos="178"/>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Faktura z 2021 r. nr FS-115/21/WS/07.</w:t>
      </w:r>
    </w:p>
  </w:footnote>
  <w:footnote w:id="29">
    <w:p w:rsidR="001146A5" w:rsidRPr="00846266" w:rsidRDefault="00995131" w:rsidP="00522EE3">
      <w:pPr>
        <w:pStyle w:val="Footnote10"/>
        <w:shd w:val="clear" w:color="auto" w:fill="auto"/>
        <w:tabs>
          <w:tab w:val="left" w:pos="0"/>
        </w:tabs>
        <w:spacing w:before="120" w:after="240" w:line="300" w:lineRule="auto"/>
        <w:ind w:right="-3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faktury z 2021 r.: f/008/01/2021, </w:t>
      </w:r>
      <w:r w:rsidRPr="00846266">
        <w:rPr>
          <w:rFonts w:asciiTheme="minorHAnsi" w:hAnsiTheme="minorHAnsi" w:cstheme="minorHAnsi"/>
          <w:sz w:val="22"/>
          <w:szCs w:val="22"/>
          <w:lang w:val="en-US" w:eastAsia="en-US" w:bidi="en-US"/>
        </w:rPr>
        <w:t xml:space="preserve">21-FVS//3/003, </w:t>
      </w:r>
      <w:r w:rsidRPr="00846266">
        <w:rPr>
          <w:rFonts w:asciiTheme="minorHAnsi" w:hAnsiTheme="minorHAnsi" w:cstheme="minorHAnsi"/>
          <w:sz w:val="22"/>
          <w:szCs w:val="22"/>
        </w:rPr>
        <w:t xml:space="preserve">f/005/05/2021, f/006/05/2021, f/004/05/2021, FS20210500453, HER05/07/21/0007, f/43073-794-07-21, f/34/12/2021 oraz faktury z 2022 r.: </w:t>
      </w:r>
      <w:r w:rsidRPr="00846266">
        <w:rPr>
          <w:rFonts w:asciiTheme="minorHAnsi" w:hAnsiTheme="minorHAnsi" w:cstheme="minorHAnsi"/>
          <w:sz w:val="22"/>
          <w:szCs w:val="22"/>
          <w:lang w:val="en-US" w:eastAsia="en-US" w:bidi="en-US"/>
        </w:rPr>
        <w:t xml:space="preserve">FVS/6/03/2022, </w:t>
      </w:r>
      <w:r w:rsidRPr="00846266">
        <w:rPr>
          <w:rFonts w:asciiTheme="minorHAnsi" w:hAnsiTheme="minorHAnsi" w:cstheme="minorHAnsi"/>
          <w:sz w:val="22"/>
          <w:szCs w:val="22"/>
        </w:rPr>
        <w:t>f/05/03/2022;</w:t>
      </w:r>
    </w:p>
  </w:footnote>
  <w:footnote w:id="30">
    <w:p w:rsidR="001146A5" w:rsidRPr="00846266" w:rsidRDefault="00995131" w:rsidP="00522EE3">
      <w:pPr>
        <w:pStyle w:val="Footnote10"/>
        <w:shd w:val="clear" w:color="auto" w:fill="auto"/>
        <w:tabs>
          <w:tab w:val="left" w:pos="0"/>
        </w:tabs>
        <w:spacing w:before="120" w:after="240" w:line="300" w:lineRule="auto"/>
        <w:ind w:right="-1171"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Faktury nr: f/125/FVS/BUK/01/2021 (15 dni po dokonaniu zapłaty), f/15/2012/00004199 (18 dni), Al/1/2021 (18 dni), F21020286 (2 dni), f/3/04/2021 (1 dzień), f/42/2021 (19 dni), CW/2021/08/083180 (4 dni), f/1/09/2021 (12 dni), f/21004443/FA/00003 (13 </w:t>
      </w:r>
      <w:proofErr w:type="spellStart"/>
      <w:r w:rsidRPr="00846266">
        <w:rPr>
          <w:rFonts w:asciiTheme="minorHAnsi" w:hAnsiTheme="minorHAnsi" w:cstheme="minorHAnsi"/>
          <w:sz w:val="22"/>
          <w:szCs w:val="22"/>
        </w:rPr>
        <w:t>dniO</w:t>
      </w:r>
      <w:proofErr w:type="spellEnd"/>
      <w:r w:rsidRPr="00846266">
        <w:rPr>
          <w:rFonts w:asciiTheme="minorHAnsi" w:hAnsiTheme="minorHAnsi" w:cstheme="minorHAnsi"/>
          <w:sz w:val="22"/>
          <w:szCs w:val="22"/>
        </w:rPr>
        <w:t xml:space="preserve">, f/540/2021 (8 dni), T/07/10/2021 (3 dni), </w:t>
      </w:r>
      <w:r w:rsidRPr="00846266">
        <w:rPr>
          <w:rFonts w:asciiTheme="minorHAnsi" w:hAnsiTheme="minorHAnsi" w:cstheme="minorHAnsi"/>
          <w:sz w:val="22"/>
          <w:szCs w:val="22"/>
          <w:lang w:val="en-US" w:eastAsia="en-US" w:bidi="en-US"/>
        </w:rPr>
        <w:t xml:space="preserve">FV21/8/2021 </w:t>
      </w:r>
      <w:r w:rsidRPr="00846266">
        <w:rPr>
          <w:rFonts w:asciiTheme="minorHAnsi" w:hAnsiTheme="minorHAnsi" w:cstheme="minorHAnsi"/>
          <w:sz w:val="22"/>
          <w:szCs w:val="22"/>
        </w:rPr>
        <w:t xml:space="preserve">(2 dni), </w:t>
      </w:r>
      <w:r w:rsidRPr="00846266">
        <w:rPr>
          <w:rFonts w:asciiTheme="minorHAnsi" w:hAnsiTheme="minorHAnsi" w:cstheme="minorHAnsi"/>
          <w:sz w:val="22"/>
          <w:szCs w:val="22"/>
          <w:lang w:val="en-US" w:eastAsia="en-US" w:bidi="en-US"/>
        </w:rPr>
        <w:t xml:space="preserve">f/7928/21/TL/FVS </w:t>
      </w:r>
      <w:r w:rsidRPr="00846266">
        <w:rPr>
          <w:rFonts w:asciiTheme="minorHAnsi" w:hAnsiTheme="minorHAnsi" w:cstheme="minorHAnsi"/>
          <w:sz w:val="22"/>
          <w:szCs w:val="22"/>
        </w:rPr>
        <w:t xml:space="preserve">(2 dni), FS00044/12/21 (16 dni), f/21120011 (15 dni), F000035/22/01-03 (27 dni), A2/1/2022 (18 dni), </w:t>
      </w:r>
      <w:r w:rsidRPr="00846266">
        <w:rPr>
          <w:rFonts w:asciiTheme="minorHAnsi" w:hAnsiTheme="minorHAnsi" w:cstheme="minorHAnsi"/>
          <w:sz w:val="22"/>
          <w:szCs w:val="22"/>
          <w:lang w:val="en-US" w:eastAsia="en-US" w:bidi="en-US"/>
        </w:rPr>
        <w:t xml:space="preserve">f/220000013/RD </w:t>
      </w:r>
      <w:r w:rsidRPr="00846266">
        <w:rPr>
          <w:rFonts w:asciiTheme="minorHAnsi" w:hAnsiTheme="minorHAnsi" w:cstheme="minorHAnsi"/>
          <w:sz w:val="22"/>
          <w:szCs w:val="22"/>
        </w:rPr>
        <w:t xml:space="preserve">(17 dni), F/0000157/01/2022 (19 dni), f/222013392525 (13 dni), KR2022/614 (13 dni), f/22010588396039 (5 dni), F/22/03/000319 (13 dni), </w:t>
      </w:r>
      <w:r w:rsidRPr="00846266">
        <w:rPr>
          <w:rFonts w:asciiTheme="minorHAnsi" w:hAnsiTheme="minorHAnsi" w:cstheme="minorHAnsi"/>
          <w:sz w:val="22"/>
          <w:szCs w:val="22"/>
          <w:lang w:val="en-US" w:eastAsia="en-US" w:bidi="en-US"/>
        </w:rPr>
        <w:t xml:space="preserve">FS-436/04/22/VA </w:t>
      </w:r>
      <w:r w:rsidRPr="00846266">
        <w:rPr>
          <w:rFonts w:asciiTheme="minorHAnsi" w:hAnsiTheme="minorHAnsi" w:cstheme="minorHAnsi"/>
          <w:sz w:val="22"/>
          <w:szCs w:val="22"/>
        </w:rPr>
        <w:t>(1 dzień).</w:t>
      </w:r>
    </w:p>
  </w:footnote>
  <w:footnote w:id="31">
    <w:p w:rsidR="001146A5" w:rsidRPr="00846266" w:rsidRDefault="00995131" w:rsidP="00522EE3">
      <w:pPr>
        <w:pStyle w:val="Footnote10"/>
        <w:shd w:val="clear" w:color="auto" w:fill="auto"/>
        <w:tabs>
          <w:tab w:val="left" w:pos="173"/>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z wyłączeniem faktur nr: f/2021/2/V/46, f/3/04/2021, f/11/04/2021.</w:t>
      </w:r>
    </w:p>
  </w:footnote>
  <w:footnote w:id="32">
    <w:p w:rsidR="001146A5" w:rsidRPr="00846266" w:rsidRDefault="00995131" w:rsidP="00522EE3">
      <w:pPr>
        <w:pStyle w:val="Footnote10"/>
        <w:shd w:val="clear" w:color="auto" w:fill="auto"/>
        <w:tabs>
          <w:tab w:val="left" w:pos="163"/>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rozporządzenie Ministra Finansów z dnia 10 grudnia 2015 r. w sprawie wynagrodzenia płatników</w:t>
      </w:r>
    </w:p>
    <w:p w:rsidR="001146A5" w:rsidRPr="00846266" w:rsidRDefault="00995131" w:rsidP="00522EE3">
      <w:pPr>
        <w:pStyle w:val="Footnote10"/>
        <w:shd w:val="clear" w:color="auto" w:fill="auto"/>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i inkasentów pobierających podatki na rzecz budżetu państwa (Dz. U. z 2015 r. poz. 2154) - w brzmieniu na 31 grudnia 2021 r.</w:t>
      </w:r>
    </w:p>
  </w:footnote>
  <w:footnote w:id="33">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Umowa o współpracy wraz z umową najmu przestrzeni użytkowej nr 4/ADM/03.2018 z 30 marca 2018 r., ze zmianami, w tym aneks nr 8 z 24 października 2020 r.</w:t>
      </w:r>
    </w:p>
  </w:footnote>
  <w:footnote w:id="34">
    <w:p w:rsidR="001146A5" w:rsidRPr="00846266" w:rsidRDefault="00995131" w:rsidP="00522EE3">
      <w:pPr>
        <w:pStyle w:val="Footnote10"/>
        <w:shd w:val="clear" w:color="auto" w:fill="auto"/>
        <w:tabs>
          <w:tab w:val="left" w:pos="168"/>
        </w:tabs>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Umowa o współpracy wraz z umową najmu przestrzeni użytkowej nr 5/ADM/04.2021 z 30 kwietnia 2021 r.</w:t>
      </w:r>
    </w:p>
  </w:footnote>
  <w:footnote w:id="35">
    <w:p w:rsidR="001146A5" w:rsidRPr="00846266" w:rsidRDefault="00995131" w:rsidP="00522EE3">
      <w:pPr>
        <w:pStyle w:val="Footnote10"/>
        <w:shd w:val="clear" w:color="auto" w:fill="auto"/>
        <w:tabs>
          <w:tab w:val="left" w:pos="173"/>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Umowa najmu i umowa o współpracy nr 5/ADM/05.2021 z dnia 14.05.2021 r.</w:t>
      </w:r>
    </w:p>
  </w:footnote>
  <w:footnote w:id="36">
    <w:p w:rsidR="001146A5" w:rsidRPr="00846266" w:rsidRDefault="00995131" w:rsidP="00522EE3">
      <w:pPr>
        <w:pStyle w:val="Footnote10"/>
        <w:shd w:val="clear" w:color="auto" w:fill="auto"/>
        <w:tabs>
          <w:tab w:val="left" w:pos="0"/>
        </w:tabs>
        <w:spacing w:before="120" w:after="240" w:line="300" w:lineRule="auto"/>
        <w:ind w:right="-745"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Uchwała nr </w:t>
      </w:r>
      <w:r w:rsidRPr="00846266">
        <w:rPr>
          <w:rFonts w:asciiTheme="minorHAnsi" w:hAnsiTheme="minorHAnsi" w:cstheme="minorHAnsi"/>
          <w:sz w:val="22"/>
          <w:szCs w:val="22"/>
          <w:lang w:val="en-US" w:eastAsia="en-US" w:bidi="en-US"/>
        </w:rPr>
        <w:t xml:space="preserve">XXXIX/1211/2020 </w:t>
      </w:r>
      <w:r w:rsidRPr="00846266">
        <w:rPr>
          <w:rFonts w:asciiTheme="minorHAnsi" w:hAnsiTheme="minorHAnsi" w:cstheme="minorHAnsi"/>
          <w:sz w:val="22"/>
          <w:szCs w:val="22"/>
        </w:rPr>
        <w:t xml:space="preserve">Rady m.st. Warszawy z 19 listopada 2020 r. w sprawie określenia wysokości stawek podatku od nieruchomości na 2021 rok; Uchwała nr </w:t>
      </w:r>
      <w:r w:rsidRPr="00846266">
        <w:rPr>
          <w:rFonts w:asciiTheme="minorHAnsi" w:hAnsiTheme="minorHAnsi" w:cstheme="minorHAnsi"/>
          <w:sz w:val="22"/>
          <w:szCs w:val="22"/>
          <w:lang w:val="en-US" w:eastAsia="en-US" w:bidi="en-US"/>
        </w:rPr>
        <w:t xml:space="preserve">LVI/1751/2021 </w:t>
      </w:r>
      <w:r w:rsidRPr="00846266">
        <w:rPr>
          <w:rFonts w:asciiTheme="minorHAnsi" w:hAnsiTheme="minorHAnsi" w:cstheme="minorHAnsi"/>
          <w:sz w:val="22"/>
          <w:szCs w:val="22"/>
        </w:rPr>
        <w:t>Rady m.st. Warszawy</w:t>
      </w:r>
    </w:p>
    <w:p w:rsidR="001146A5" w:rsidRPr="00846266" w:rsidRDefault="00995131" w:rsidP="00522EE3">
      <w:pPr>
        <w:pStyle w:val="Footnote10"/>
        <w:shd w:val="clear" w:color="auto" w:fill="auto"/>
        <w:spacing w:before="120" w:after="240" w:line="300" w:lineRule="auto"/>
        <w:ind w:right="-462"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z 18 listopada 2021 r. w sprawie określenia wysokości stawek podatku od nieruchomości na 2022 rok.</w:t>
      </w:r>
    </w:p>
  </w:footnote>
  <w:footnote w:id="37">
    <w:p w:rsidR="001146A5" w:rsidRPr="00846266" w:rsidRDefault="00995131" w:rsidP="00522EE3">
      <w:pPr>
        <w:pStyle w:val="Footnote10"/>
        <w:shd w:val="clear" w:color="auto" w:fill="auto"/>
        <w:tabs>
          <w:tab w:val="left" w:pos="0"/>
        </w:tabs>
        <w:spacing w:before="120" w:after="240" w:line="300" w:lineRule="auto"/>
        <w:ind w:right="-604"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Decyzją nr </w:t>
      </w:r>
      <w:r w:rsidRPr="00846266">
        <w:rPr>
          <w:rFonts w:asciiTheme="minorHAnsi" w:hAnsiTheme="minorHAnsi" w:cstheme="minorHAnsi"/>
          <w:sz w:val="22"/>
          <w:szCs w:val="22"/>
          <w:lang w:val="ru-RU" w:eastAsia="ru-RU" w:bidi="ru-RU"/>
        </w:rPr>
        <w:t xml:space="preserve">1053/2008 </w:t>
      </w:r>
      <w:r w:rsidRPr="00846266">
        <w:rPr>
          <w:rFonts w:asciiTheme="minorHAnsi" w:hAnsiTheme="minorHAnsi" w:cstheme="minorHAnsi"/>
          <w:sz w:val="22"/>
          <w:szCs w:val="22"/>
        </w:rPr>
        <w:t xml:space="preserve">z 8 sierpnia 2008 r. wpisano nieruchomość do rejestru zabytków nieruchomych województwa mazowieckiego, natomiast w deklaracji ZDN-2 wskazano decyzję nr </w:t>
      </w:r>
      <w:r w:rsidRPr="00846266">
        <w:rPr>
          <w:rFonts w:asciiTheme="minorHAnsi" w:hAnsiTheme="minorHAnsi" w:cstheme="minorHAnsi"/>
          <w:sz w:val="22"/>
          <w:szCs w:val="22"/>
          <w:lang w:val="ru-RU" w:eastAsia="ru-RU" w:bidi="ru-RU"/>
        </w:rPr>
        <w:t>10520/2008.</w:t>
      </w:r>
    </w:p>
  </w:footnote>
  <w:footnote w:id="38">
    <w:p w:rsidR="001146A5" w:rsidRPr="00846266" w:rsidRDefault="00995131" w:rsidP="00522EE3">
      <w:pPr>
        <w:pStyle w:val="Footnote10"/>
        <w:shd w:val="clear" w:color="auto" w:fill="auto"/>
        <w:tabs>
          <w:tab w:val="left" w:pos="0"/>
        </w:tabs>
        <w:spacing w:before="120" w:after="240" w:line="300" w:lineRule="auto"/>
        <w:ind w:right="-745"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Szerokie orzecznictwo w sprawie, w tym: Wyrok Naczelnego Sądu Administracyjnego z 19 kwietnia 2018 r. sygn. akt II FSK </w:t>
      </w:r>
      <w:r w:rsidRPr="00846266">
        <w:rPr>
          <w:rFonts w:asciiTheme="minorHAnsi" w:hAnsiTheme="minorHAnsi" w:cstheme="minorHAnsi"/>
          <w:sz w:val="22"/>
          <w:szCs w:val="22"/>
          <w:lang w:val="ru-RU" w:eastAsia="ru-RU" w:bidi="ru-RU"/>
        </w:rPr>
        <w:t xml:space="preserve">558/16; </w:t>
      </w:r>
      <w:r w:rsidRPr="00846266">
        <w:rPr>
          <w:rFonts w:asciiTheme="minorHAnsi" w:hAnsiTheme="minorHAnsi" w:cstheme="minorHAnsi"/>
          <w:sz w:val="22"/>
          <w:szCs w:val="22"/>
        </w:rPr>
        <w:t xml:space="preserve">Naczelnego Sądu Administracyjnego z 11 października 2017 r. sygn. </w:t>
      </w:r>
      <w:r w:rsidRPr="00846266">
        <w:rPr>
          <w:rFonts w:asciiTheme="minorHAnsi" w:hAnsiTheme="minorHAnsi" w:cstheme="minorHAnsi"/>
          <w:sz w:val="22"/>
          <w:szCs w:val="22"/>
          <w:lang w:val="de-DE" w:eastAsia="de-DE" w:bidi="de-DE"/>
        </w:rPr>
        <w:t xml:space="preserve">Akt </w:t>
      </w:r>
      <w:r w:rsidRPr="00846266">
        <w:rPr>
          <w:rFonts w:asciiTheme="minorHAnsi" w:hAnsiTheme="minorHAnsi" w:cstheme="minorHAnsi"/>
          <w:sz w:val="22"/>
          <w:szCs w:val="22"/>
        </w:rPr>
        <w:t xml:space="preserve">II FSK </w:t>
      </w:r>
      <w:r w:rsidRPr="00846266">
        <w:rPr>
          <w:rFonts w:asciiTheme="minorHAnsi" w:hAnsiTheme="minorHAnsi" w:cstheme="minorHAnsi"/>
          <w:sz w:val="22"/>
          <w:szCs w:val="22"/>
          <w:lang w:val="ru-RU" w:eastAsia="ru-RU" w:bidi="ru-RU"/>
        </w:rPr>
        <w:t xml:space="preserve">2394/15; </w:t>
      </w:r>
      <w:r w:rsidRPr="00846266">
        <w:rPr>
          <w:rFonts w:asciiTheme="minorHAnsi" w:hAnsiTheme="minorHAnsi" w:cstheme="minorHAnsi"/>
          <w:sz w:val="22"/>
          <w:szCs w:val="22"/>
        </w:rPr>
        <w:t xml:space="preserve">Wojewódzkiego Sądu Administracyjnego w Łodzi z 12 lutego 2020 r., sygn. akt </w:t>
      </w:r>
      <w:r w:rsidRPr="00846266">
        <w:rPr>
          <w:rStyle w:val="Footnote1Bold"/>
          <w:rFonts w:asciiTheme="minorHAnsi" w:hAnsiTheme="minorHAnsi" w:cstheme="minorHAnsi"/>
          <w:sz w:val="22"/>
          <w:szCs w:val="22"/>
        </w:rPr>
        <w:t xml:space="preserve">I </w:t>
      </w:r>
      <w:r w:rsidRPr="00846266">
        <w:rPr>
          <w:rFonts w:asciiTheme="minorHAnsi" w:hAnsiTheme="minorHAnsi" w:cstheme="minorHAnsi"/>
          <w:sz w:val="22"/>
          <w:szCs w:val="22"/>
        </w:rPr>
        <w:t>SA/</w:t>
      </w:r>
      <w:proofErr w:type="spellStart"/>
      <w:r w:rsidRPr="00846266">
        <w:rPr>
          <w:rFonts w:asciiTheme="minorHAnsi" w:hAnsiTheme="minorHAnsi" w:cstheme="minorHAnsi"/>
          <w:sz w:val="22"/>
          <w:szCs w:val="22"/>
        </w:rPr>
        <w:t>Łd</w:t>
      </w:r>
      <w:proofErr w:type="spellEnd"/>
      <w:r w:rsidRPr="00846266">
        <w:rPr>
          <w:rFonts w:asciiTheme="minorHAnsi" w:hAnsiTheme="minorHAnsi" w:cstheme="minorHAnsi"/>
          <w:sz w:val="22"/>
          <w:szCs w:val="22"/>
        </w:rPr>
        <w:t>/695/19.</w:t>
      </w:r>
    </w:p>
  </w:footnote>
  <w:footnote w:id="39">
    <w:p w:rsidR="001146A5" w:rsidRPr="00846266" w:rsidRDefault="00995131" w:rsidP="00522EE3">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Dz. U. z 2023 r. poz. 70 </w:t>
      </w:r>
      <w:proofErr w:type="spellStart"/>
      <w:r w:rsidRPr="00846266">
        <w:rPr>
          <w:rFonts w:asciiTheme="minorHAnsi" w:hAnsiTheme="minorHAnsi" w:cstheme="minorHAnsi"/>
          <w:sz w:val="22"/>
          <w:szCs w:val="22"/>
        </w:rPr>
        <w:t>t.j</w:t>
      </w:r>
      <w:proofErr w:type="spellEnd"/>
      <w:r w:rsidRPr="00846266">
        <w:rPr>
          <w:rFonts w:asciiTheme="minorHAnsi" w:hAnsiTheme="minorHAnsi" w:cstheme="minorHAnsi"/>
          <w:sz w:val="22"/>
          <w:szCs w:val="22"/>
        </w:rPr>
        <w:t>.</w:t>
      </w:r>
    </w:p>
  </w:footnote>
  <w:footnote w:id="40">
    <w:p w:rsidR="001146A5" w:rsidRPr="00846266" w:rsidRDefault="00995131" w:rsidP="00522EE3">
      <w:pPr>
        <w:pStyle w:val="Footnote10"/>
        <w:shd w:val="clear" w:color="auto" w:fill="auto"/>
        <w:tabs>
          <w:tab w:val="left" w:pos="0"/>
        </w:tabs>
        <w:spacing w:before="120" w:after="240" w:line="300" w:lineRule="auto"/>
        <w:ind w:right="-1171"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Załącznik nr 1 określał zasady udzielania zamówień publicznych w tym zamówień, których wartość nie przekraczała kwoty 130 000 zł; załącznik nr 2 określał organizację, tryb i zakres obowiązków członków Komisji przetargowej; załącznik nr 3 określał zasady udzielania zamówień na dostawy i usługi z zakresu działalności kulturalnej.</w:t>
      </w:r>
    </w:p>
  </w:footnote>
  <w:footnote w:id="41">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2 postępowania unieważniono z powodu braku ofert.</w:t>
      </w:r>
    </w:p>
  </w:footnote>
  <w:footnote w:id="42">
    <w:p w:rsidR="001146A5" w:rsidRPr="00846266" w:rsidRDefault="00995131" w:rsidP="00522EE3">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Dz. U. z 2022 r. poz. 1710 ze zm.</w:t>
      </w:r>
    </w:p>
  </w:footnote>
  <w:footnote w:id="43">
    <w:p w:rsidR="001146A5" w:rsidRPr="00846266" w:rsidRDefault="00995131" w:rsidP="00522EE3">
      <w:pPr>
        <w:pStyle w:val="Footnote10"/>
        <w:shd w:val="clear" w:color="auto" w:fill="auto"/>
        <w:tabs>
          <w:tab w:val="left" w:pos="0"/>
        </w:tabs>
        <w:spacing w:before="120" w:after="240" w:line="300" w:lineRule="auto"/>
        <w:ind w:right="-604"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Znak sprawy ZP/PN/1/10/2021 „Dostawa fabrycznie nowej konsolety do sterowania oświetleniem scenicznym" oraz znak ZP/PN/1/12/2021 „Usługa rezerwacji, sprzedaży i dostawy biletów lotniczych na przewozy pasażerskie dla potrzeb Nowego Teatru w Warszawie".</w:t>
      </w:r>
    </w:p>
  </w:footnote>
  <w:footnote w:id="44">
    <w:p w:rsidR="001146A5" w:rsidRPr="00846266" w:rsidRDefault="00995131" w:rsidP="00522EE3">
      <w:pPr>
        <w:pStyle w:val="Footnote10"/>
        <w:shd w:val="clear" w:color="auto" w:fill="auto"/>
        <w:tabs>
          <w:tab w:val="left" w:pos="0"/>
        </w:tabs>
        <w:spacing w:before="120" w:after="240" w:line="300" w:lineRule="auto"/>
        <w:ind w:right="-745"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Zakup kamery; usługa: dostawa, demontaż i utylizację uszkodzonych kompresorów mocy biernej; zakup laptopa; usługa: renowacja parkietów drewnianych; wynajem mieszkania dla artystów projektu.</w:t>
      </w:r>
    </w:p>
  </w:footnote>
  <w:footnote w:id="45">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rozporządzenie Ministra Pracy i Polityki Społecznej z dnia 29 stycznia 2013 r. w sprawie należności przysługujących pracownikowi zatrudnionemu w państwowej lub samorządowej jednostce sfery budżetowej z tytułu podróży służbowej (Dz. U. z 2013 r., poz. 167 ze zm.); rozporządzenie Ministra Infrastruktury z dnia 25 marca 2002 r. w sprawie warunków ustalania oraz sposobu dokonywania zwrotu kosztów używania do celów służbowych samochodów osobowych, motocykli i motorowerów niebędących własnością pracodawcy (Dz. U. z 2002 r.. Nr 27, poz. 271 ze zm.).</w:t>
      </w:r>
    </w:p>
  </w:footnote>
  <w:footnote w:id="46">
    <w:p w:rsidR="001146A5" w:rsidRPr="00846266" w:rsidRDefault="00995131" w:rsidP="00522EE3">
      <w:pPr>
        <w:pStyle w:val="Footnote10"/>
        <w:shd w:val="clear" w:color="auto" w:fill="auto"/>
        <w:tabs>
          <w:tab w:val="left" w:pos="0"/>
        </w:tabs>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bilety na przejazd pociągiem zakupiono przez Internet, koszt dla jednej osoby 255,00 zł ujęto bezpośrednio w koszty działalności Teatru.</w:t>
      </w:r>
    </w:p>
  </w:footnote>
  <w:footnote w:id="47">
    <w:p w:rsidR="001146A5" w:rsidRPr="00846266" w:rsidRDefault="00995131" w:rsidP="00522EE3">
      <w:pPr>
        <w:pStyle w:val="Footnote10"/>
        <w:shd w:val="clear" w:color="auto" w:fill="auto"/>
        <w:tabs>
          <w:tab w:val="left" w:pos="0"/>
        </w:tabs>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Rozporządzenie Ministra Finansów z dnia 31 marca 2022 r. w sprawie określenia innych terminów wypełniania obowiązków w zakresie ewidencji oraz w zakresie sporządzenia, zatwierdzenia, udostępnienia i przekazania do właściwego rejestru, jednostki lub organu sprawozdań lub informacji (Dz. U. z 2021 r. poz. 1832 ze zm.)</w:t>
      </w:r>
    </w:p>
  </w:footnote>
  <w:footnote w:id="48">
    <w:p w:rsidR="001146A5" w:rsidRPr="00846266" w:rsidRDefault="00995131" w:rsidP="00522EE3">
      <w:pPr>
        <w:pStyle w:val="Footnote10"/>
        <w:shd w:val="clear" w:color="auto" w:fill="auto"/>
        <w:tabs>
          <w:tab w:val="left" w:pos="0"/>
        </w:tabs>
        <w:spacing w:before="120" w:after="240" w:line="300" w:lineRule="auto"/>
        <w:ind w:right="-178"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Kwoty wynikające z sald kont: 100,101,130,133,134-1,134-2,134-3,134-4,134-5,134-6,134-7,134-8, 134-9,134-10, 135, 137, 138,139-2-1.</w:t>
      </w:r>
    </w:p>
  </w:footnote>
  <w:footnote w:id="49">
    <w:p w:rsidR="001146A5" w:rsidRPr="00846266" w:rsidRDefault="00995131" w:rsidP="00522EE3">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Kwoty wynikające z kont: 221-5,220-3.</w:t>
      </w:r>
    </w:p>
  </w:footnote>
  <w:footnote w:id="50">
    <w:p w:rsidR="001146A5" w:rsidRPr="00846266" w:rsidRDefault="00995131" w:rsidP="00522EE3">
      <w:pPr>
        <w:pStyle w:val="Footnote10"/>
        <w:shd w:val="clear" w:color="auto" w:fill="auto"/>
        <w:tabs>
          <w:tab w:val="left" w:pos="0"/>
        </w:tabs>
        <w:spacing w:before="120" w:after="240" w:line="300" w:lineRule="auto"/>
        <w:ind w:right="-745"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Rozporządzenie Ministra Finansów, Funduszy i Polityki Reg</w:t>
      </w:r>
      <w:r w:rsidR="00937A18" w:rsidRPr="00846266">
        <w:rPr>
          <w:rFonts w:asciiTheme="minorHAnsi" w:hAnsiTheme="minorHAnsi" w:cstheme="minorHAnsi"/>
          <w:sz w:val="22"/>
          <w:szCs w:val="22"/>
        </w:rPr>
        <w:t xml:space="preserve">ionalnej z dnia 17 grudnia 2020 </w:t>
      </w:r>
      <w:r w:rsidRPr="00846266">
        <w:rPr>
          <w:rFonts w:asciiTheme="minorHAnsi" w:hAnsiTheme="minorHAnsi" w:cstheme="minorHAnsi"/>
          <w:sz w:val="22"/>
          <w:szCs w:val="22"/>
        </w:rPr>
        <w:t xml:space="preserve">r. w sprawie sprawozdań jednostek sektora finansów publicznych w zakresie operacji finansowych </w:t>
      </w:r>
      <w:r w:rsidRPr="00846266">
        <w:rPr>
          <w:rFonts w:asciiTheme="minorHAnsi" w:hAnsiTheme="minorHAnsi" w:cstheme="minorHAnsi"/>
          <w:sz w:val="22"/>
          <w:szCs w:val="22"/>
          <w:lang w:val="de-DE" w:eastAsia="de-DE" w:bidi="de-DE"/>
        </w:rPr>
        <w:t xml:space="preserve">(Dz. </w:t>
      </w:r>
      <w:r w:rsidRPr="00846266">
        <w:rPr>
          <w:rFonts w:asciiTheme="minorHAnsi" w:hAnsiTheme="minorHAnsi" w:cstheme="minorHAnsi"/>
          <w:sz w:val="22"/>
          <w:szCs w:val="22"/>
        </w:rPr>
        <w:t>J.2020 r.</w:t>
      </w:r>
      <w:r w:rsidR="00937A18" w:rsidRPr="00846266">
        <w:rPr>
          <w:rFonts w:asciiTheme="minorHAnsi" w:hAnsiTheme="minorHAnsi" w:cstheme="minorHAnsi"/>
          <w:sz w:val="22"/>
          <w:szCs w:val="22"/>
        </w:rPr>
        <w:t xml:space="preserve">     </w:t>
      </w:r>
      <w:r w:rsidRPr="00846266">
        <w:rPr>
          <w:rFonts w:asciiTheme="minorHAnsi" w:hAnsiTheme="minorHAnsi" w:cstheme="minorHAnsi"/>
          <w:sz w:val="22"/>
          <w:szCs w:val="22"/>
        </w:rPr>
        <w:t xml:space="preserve"> poz. 2396)</w:t>
      </w:r>
    </w:p>
  </w:footnote>
  <w:footnote w:id="51">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 xml:space="preserve">Zarządzenie Nr </w:t>
      </w:r>
      <w:r w:rsidRPr="00846266">
        <w:rPr>
          <w:rFonts w:asciiTheme="minorHAnsi" w:hAnsiTheme="minorHAnsi" w:cstheme="minorHAnsi"/>
          <w:sz w:val="22"/>
          <w:szCs w:val="22"/>
          <w:lang w:val="ru-RU" w:eastAsia="ru-RU" w:bidi="ru-RU"/>
        </w:rPr>
        <w:t xml:space="preserve">132/2020 </w:t>
      </w:r>
      <w:r w:rsidRPr="00846266">
        <w:rPr>
          <w:rFonts w:asciiTheme="minorHAnsi" w:hAnsiTheme="minorHAnsi" w:cstheme="minorHAnsi"/>
          <w:sz w:val="22"/>
          <w:szCs w:val="22"/>
        </w:rPr>
        <w:t>Prezydenta m.st. Warszawy z dnia 5 lutego 2020 r. w sprawie zasad obiegu oraz kontroli sprawozdań budżetowych, sprawozdań w zakresie operacji finansowych i sprawozdań finansowych w Urzędzie m.st. Warszawy i jednostkach organizacyjnych m.st. Warszawy.</w:t>
      </w:r>
    </w:p>
  </w:footnote>
  <w:footnote w:id="52">
    <w:p w:rsidR="001146A5" w:rsidRPr="00846266" w:rsidRDefault="00995131" w:rsidP="00522EE3">
      <w:pPr>
        <w:pStyle w:val="Footnote10"/>
        <w:shd w:val="clear" w:color="auto" w:fill="auto"/>
        <w:tabs>
          <w:tab w:val="left" w:pos="0"/>
        </w:tabs>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Sprawozdanie opatrzone kwalifikowanym podpisem elektronicznym przez Zastępca Dyrektora 19 kwietnia 2022 r., tj. 5 dni po terminie, przez Główną księgową 20 kwietnia 2022 r. tj., 6 dni po terminie).</w:t>
      </w:r>
    </w:p>
  </w:footnote>
  <w:footnote w:id="53">
    <w:p w:rsidR="001146A5" w:rsidRPr="00846266" w:rsidRDefault="00995131" w:rsidP="00522EE3">
      <w:pPr>
        <w:pStyle w:val="Footnote10"/>
        <w:shd w:val="clear" w:color="auto" w:fill="auto"/>
        <w:tabs>
          <w:tab w:val="left" w:pos="168"/>
        </w:tabs>
        <w:spacing w:before="120" w:after="240" w:line="300" w:lineRule="auto"/>
        <w:ind w:right="-604"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ab/>
        <w:t xml:space="preserve">Zarządzenie nr </w:t>
      </w:r>
      <w:r w:rsidRPr="00846266">
        <w:rPr>
          <w:rFonts w:asciiTheme="minorHAnsi" w:hAnsiTheme="minorHAnsi" w:cstheme="minorHAnsi"/>
          <w:sz w:val="22"/>
          <w:szCs w:val="22"/>
          <w:lang w:val="ru-RU" w:eastAsia="ru-RU" w:bidi="ru-RU"/>
        </w:rPr>
        <w:t xml:space="preserve">16/2019 </w:t>
      </w:r>
      <w:r w:rsidRPr="00846266">
        <w:rPr>
          <w:rFonts w:asciiTheme="minorHAnsi" w:hAnsiTheme="minorHAnsi" w:cstheme="minorHAnsi"/>
          <w:sz w:val="22"/>
          <w:szCs w:val="22"/>
        </w:rPr>
        <w:t>Dyrektor Teatru z 8 sierpnia 2019 r. w sprawie przeprowadzenia inwentaryzacji.</w:t>
      </w:r>
    </w:p>
  </w:footnote>
  <w:footnote w:id="54">
    <w:p w:rsidR="001146A5" w:rsidRPr="00846266" w:rsidRDefault="00995131" w:rsidP="00522EE3">
      <w:pPr>
        <w:pStyle w:val="Footnote10"/>
        <w:shd w:val="clear" w:color="auto" w:fill="auto"/>
        <w:spacing w:before="120" w:after="240" w:line="300" w:lineRule="auto"/>
        <w:ind w:right="-887"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t>34</w:t>
      </w:r>
      <w:r w:rsidRPr="00846266">
        <w:rPr>
          <w:rFonts w:asciiTheme="minorHAnsi" w:hAnsiTheme="minorHAnsi" w:cstheme="minorHAnsi"/>
          <w:sz w:val="22"/>
          <w:szCs w:val="22"/>
        </w:rPr>
        <w:t xml:space="preserve"> Niedobory materiałów w: Magazynie Kostiumów 444,35 zł, Pracowni oświetleniowa 16 230,48 zł. Pracowni Audio 86 639,11 zł, Pracowni </w:t>
      </w:r>
      <w:r w:rsidRPr="00846266">
        <w:rPr>
          <w:rFonts w:asciiTheme="minorHAnsi" w:hAnsiTheme="minorHAnsi" w:cstheme="minorHAnsi"/>
          <w:sz w:val="22"/>
          <w:szCs w:val="22"/>
          <w:lang w:val="en-US" w:eastAsia="en-US" w:bidi="en-US"/>
        </w:rPr>
        <w:t xml:space="preserve">Video </w:t>
      </w:r>
      <w:r w:rsidRPr="00846266">
        <w:rPr>
          <w:rFonts w:asciiTheme="minorHAnsi" w:hAnsiTheme="minorHAnsi" w:cstheme="minorHAnsi"/>
          <w:sz w:val="22"/>
          <w:szCs w:val="22"/>
        </w:rPr>
        <w:t xml:space="preserve">11105,18 zł, MAD.10/16 (wyposażenie budynków) 37 911,18 zł, Wydawnictwie 2 003,78 zł, </w:t>
      </w:r>
      <w:proofErr w:type="spellStart"/>
      <w:r w:rsidRPr="00846266">
        <w:rPr>
          <w:rFonts w:asciiTheme="minorHAnsi" w:hAnsiTheme="minorHAnsi" w:cstheme="minorHAnsi"/>
          <w:sz w:val="22"/>
          <w:szCs w:val="22"/>
        </w:rPr>
        <w:t>Scenorek</w:t>
      </w:r>
      <w:proofErr w:type="spellEnd"/>
      <w:r w:rsidRPr="00846266">
        <w:rPr>
          <w:rFonts w:asciiTheme="minorHAnsi" w:hAnsiTheme="minorHAnsi" w:cstheme="minorHAnsi"/>
          <w:sz w:val="22"/>
          <w:szCs w:val="22"/>
        </w:rPr>
        <w:t xml:space="preserve"> 2 075,56 zł, Księgarni NT 968,97 zł, Komisie 1106,85 zł,</w:t>
      </w:r>
    </w:p>
  </w:footnote>
  <w:footnote w:id="55">
    <w:p w:rsidR="001146A5" w:rsidRPr="00846266" w:rsidRDefault="00995131" w:rsidP="00522EE3">
      <w:pPr>
        <w:pStyle w:val="Footnote10"/>
        <w:shd w:val="clear" w:color="auto" w:fill="auto"/>
        <w:spacing w:before="120" w:after="240" w:line="300" w:lineRule="auto"/>
        <w:ind w:right="-604"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t>ss</w:t>
      </w:r>
      <w:r w:rsidRPr="00846266">
        <w:rPr>
          <w:rFonts w:asciiTheme="minorHAnsi" w:hAnsiTheme="minorHAnsi" w:cstheme="minorHAnsi"/>
          <w:sz w:val="22"/>
          <w:szCs w:val="22"/>
        </w:rPr>
        <w:t xml:space="preserve"> Nadwyżki materiałów w: MAD.10/16 (wyposażenie budynków) 3 272,75 zł, Wydawnictwie 14 265,57 zł, </w:t>
      </w:r>
      <w:proofErr w:type="spellStart"/>
      <w:r w:rsidRPr="00846266">
        <w:rPr>
          <w:rFonts w:asciiTheme="minorHAnsi" w:hAnsiTheme="minorHAnsi" w:cstheme="minorHAnsi"/>
          <w:sz w:val="22"/>
          <w:szCs w:val="22"/>
        </w:rPr>
        <w:t>Scenorek</w:t>
      </w:r>
      <w:proofErr w:type="spellEnd"/>
      <w:r w:rsidRPr="00846266">
        <w:rPr>
          <w:rFonts w:asciiTheme="minorHAnsi" w:hAnsiTheme="minorHAnsi" w:cstheme="minorHAnsi"/>
          <w:sz w:val="22"/>
          <w:szCs w:val="22"/>
        </w:rPr>
        <w:t xml:space="preserve"> 186,18 zł, Księgarni NT 457,39 zł, Komisie 300,90 zł.</w:t>
      </w:r>
    </w:p>
  </w:footnote>
  <w:footnote w:id="56">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Ewidencja środków trwałych oraz wartości niematerialnych i prawnych w roku 2019 wartość 7 163 383,97 zł, a obroty aktywnych kont analitycznych wartość 7 247 660,12 zł;</w:t>
      </w:r>
    </w:p>
  </w:footnote>
  <w:footnote w:id="57">
    <w:p w:rsidR="001146A5" w:rsidRPr="00846266" w:rsidRDefault="00995131" w:rsidP="00522EE3">
      <w:pPr>
        <w:pStyle w:val="Footnote10"/>
        <w:shd w:val="clear" w:color="auto" w:fill="auto"/>
        <w:tabs>
          <w:tab w:val="left" w:pos="0"/>
        </w:tabs>
        <w:spacing w:before="120" w:after="240" w:line="300" w:lineRule="auto"/>
        <w:ind w:right="-1029"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009C7058">
        <w:rPr>
          <w:rFonts w:asciiTheme="minorHAnsi" w:hAnsiTheme="minorHAnsi" w:cstheme="minorHAnsi"/>
          <w:sz w:val="22"/>
          <w:szCs w:val="22"/>
        </w:rPr>
        <w:t xml:space="preserve"> </w:t>
      </w:r>
      <w:r w:rsidRPr="00846266">
        <w:rPr>
          <w:rFonts w:asciiTheme="minorHAnsi" w:hAnsiTheme="minorHAnsi" w:cstheme="minorHAnsi"/>
          <w:sz w:val="22"/>
          <w:szCs w:val="22"/>
        </w:rPr>
        <w:t>Ewidencja środków trwałych oraz wartości niematerialnych i prawnych w roku 2019 wartość 5 678 889,27 zł, a obroty aktywnych kont analitycznych wartość 5 798 103,72 zł;</w:t>
      </w:r>
    </w:p>
  </w:footnote>
  <w:footnote w:id="58">
    <w:p w:rsidR="001146A5" w:rsidRPr="009C7058" w:rsidRDefault="00995131" w:rsidP="00522EE3">
      <w:pPr>
        <w:pStyle w:val="Footnote30"/>
        <w:pBdr>
          <w:top w:val="single" w:sz="4" w:space="1" w:color="auto"/>
        </w:pBdr>
        <w:shd w:val="clear" w:color="auto" w:fill="auto"/>
        <w:tabs>
          <w:tab w:val="left" w:pos="173"/>
        </w:tabs>
        <w:spacing w:before="120" w:after="240" w:line="300" w:lineRule="auto"/>
        <w:contextualSpacing/>
        <w:jc w:val="left"/>
        <w:rPr>
          <w:rFonts w:asciiTheme="minorHAnsi" w:hAnsiTheme="minorHAnsi" w:cstheme="minorHAnsi"/>
          <w:b w:val="0"/>
          <w:sz w:val="22"/>
          <w:szCs w:val="22"/>
        </w:rPr>
      </w:pPr>
      <w:r w:rsidRPr="009C7058">
        <w:rPr>
          <w:rFonts w:asciiTheme="minorHAnsi" w:hAnsiTheme="minorHAnsi" w:cstheme="minorHAnsi"/>
          <w:b w:val="0"/>
          <w:sz w:val="22"/>
          <w:szCs w:val="22"/>
          <w:vertAlign w:val="superscript"/>
        </w:rPr>
        <w:footnoteRef/>
      </w:r>
      <w:r w:rsidRPr="009C7058">
        <w:rPr>
          <w:rFonts w:asciiTheme="minorHAnsi" w:hAnsiTheme="minorHAnsi" w:cstheme="minorHAnsi"/>
          <w:b w:val="0"/>
          <w:sz w:val="22"/>
          <w:szCs w:val="22"/>
        </w:rPr>
        <w:tab/>
        <w:t>Dz. U. z 2009 r. Nr 43 poz. 349.</w:t>
      </w:r>
    </w:p>
  </w:footnote>
  <w:footnote w:id="59">
    <w:p w:rsidR="001146A5" w:rsidRPr="009C7058" w:rsidRDefault="00995131" w:rsidP="00522EE3">
      <w:pPr>
        <w:pStyle w:val="Footnote30"/>
        <w:shd w:val="clear" w:color="auto" w:fill="auto"/>
        <w:tabs>
          <w:tab w:val="left" w:pos="178"/>
        </w:tabs>
        <w:spacing w:before="120" w:after="240" w:line="300" w:lineRule="auto"/>
        <w:contextualSpacing/>
        <w:jc w:val="left"/>
        <w:rPr>
          <w:rFonts w:asciiTheme="minorHAnsi" w:hAnsiTheme="minorHAnsi" w:cstheme="minorHAnsi"/>
          <w:b w:val="0"/>
          <w:sz w:val="22"/>
          <w:szCs w:val="22"/>
        </w:rPr>
      </w:pPr>
      <w:r w:rsidRPr="009C7058">
        <w:rPr>
          <w:rFonts w:asciiTheme="minorHAnsi" w:hAnsiTheme="minorHAnsi" w:cstheme="minorHAnsi"/>
          <w:b w:val="0"/>
          <w:sz w:val="22"/>
          <w:szCs w:val="22"/>
          <w:vertAlign w:val="superscript"/>
        </w:rPr>
        <w:footnoteRef/>
      </w:r>
      <w:r w:rsidRPr="009C7058">
        <w:rPr>
          <w:rFonts w:asciiTheme="minorHAnsi" w:hAnsiTheme="minorHAnsi" w:cstheme="minorHAnsi"/>
          <w:b w:val="0"/>
          <w:sz w:val="22"/>
          <w:szCs w:val="22"/>
        </w:rPr>
        <w:tab/>
        <w:t>Dz. U. z 2022 poz. 923 ze zm.</w:t>
      </w:r>
    </w:p>
  </w:footnote>
  <w:footnote w:id="60">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 xml:space="preserve">~ </w:t>
      </w:r>
      <w:proofErr w:type="spellStart"/>
      <w:r w:rsidRPr="00846266">
        <w:rPr>
          <w:rFonts w:asciiTheme="minorHAnsi" w:hAnsiTheme="minorHAnsi" w:cstheme="minorHAnsi"/>
          <w:sz w:val="22"/>
          <w:szCs w:val="22"/>
        </w:rPr>
        <w:t>osoDy</w:t>
      </w:r>
      <w:proofErr w:type="spellEnd"/>
      <w:r w:rsidRPr="00846266">
        <w:rPr>
          <w:rFonts w:asciiTheme="minorHAnsi" w:hAnsiTheme="minorHAnsi" w:cstheme="minorHAnsi"/>
          <w:sz w:val="22"/>
          <w:szCs w:val="22"/>
        </w:rPr>
        <w:t xml:space="preserve"> odpowiedzialne za poszczególne projekty oraz zarządzające </w:t>
      </w:r>
      <w:r w:rsidRPr="00846266">
        <w:rPr>
          <w:rFonts w:asciiTheme="minorHAnsi" w:hAnsiTheme="minorHAnsi" w:cstheme="minorHAnsi"/>
          <w:sz w:val="22"/>
          <w:szCs w:val="22"/>
          <w:lang w:val="ru-RU" w:eastAsia="ru-RU" w:bidi="ru-RU"/>
        </w:rPr>
        <w:t xml:space="preserve">копкгеіпут гугукіет </w:t>
      </w:r>
      <w:proofErr w:type="spellStart"/>
      <w:r w:rsidRPr="00846266">
        <w:rPr>
          <w:rFonts w:asciiTheme="minorHAnsi" w:hAnsiTheme="minorHAnsi" w:cstheme="minorHAnsi"/>
          <w:sz w:val="22"/>
          <w:szCs w:val="22"/>
        </w:rPr>
        <w:t>ziueiuyi^uwanym</w:t>
      </w:r>
      <w:proofErr w:type="spellEnd"/>
    </w:p>
  </w:footnote>
  <w:footnote w:id="61">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rPr>
        <w:t>w danej komórce organizacyjne</w:t>
      </w:r>
    </w:p>
  </w:footnote>
  <w:footnote w:id="62">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 xml:space="preserve"> Audyt prawny - Prawnik, audyt merytoryczny - Dyrektor Teatru.</w:t>
      </w:r>
    </w:p>
  </w:footnote>
  <w:footnote w:id="63">
    <w:p w:rsidR="001146A5" w:rsidRPr="00846266" w:rsidRDefault="00995131" w:rsidP="00522EE3">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846266">
        <w:rPr>
          <w:rFonts w:asciiTheme="minorHAnsi" w:hAnsiTheme="minorHAnsi" w:cstheme="minorHAnsi"/>
          <w:sz w:val="22"/>
          <w:szCs w:val="22"/>
          <w:vertAlign w:val="superscript"/>
        </w:rPr>
        <w:footnoteRef/>
      </w:r>
      <w:r w:rsidRPr="00846266">
        <w:rPr>
          <w:rFonts w:asciiTheme="minorHAnsi" w:hAnsiTheme="minorHAnsi" w:cstheme="minorHAnsi"/>
          <w:sz w:val="22"/>
          <w:szCs w:val="22"/>
        </w:rPr>
        <w:t xml:space="preserve"> Wyrok WSA w Łodzi z 6 maja 2021 </w:t>
      </w:r>
      <w:r w:rsidRPr="00846266">
        <w:rPr>
          <w:rFonts w:asciiTheme="minorHAnsi" w:hAnsiTheme="minorHAnsi" w:cstheme="minorHAnsi"/>
          <w:sz w:val="22"/>
          <w:szCs w:val="22"/>
          <w:lang w:val="ru-RU" w:eastAsia="ru-RU" w:bidi="ru-RU"/>
        </w:rPr>
        <w:t xml:space="preserve">г. </w:t>
      </w:r>
      <w:r w:rsidRPr="00846266">
        <w:rPr>
          <w:rFonts w:asciiTheme="minorHAnsi" w:hAnsiTheme="minorHAnsi" w:cstheme="minorHAnsi"/>
          <w:sz w:val="22"/>
          <w:szCs w:val="22"/>
        </w:rPr>
        <w:t>II SA/</w:t>
      </w:r>
      <w:proofErr w:type="spellStart"/>
      <w:r w:rsidRPr="00846266">
        <w:rPr>
          <w:rFonts w:asciiTheme="minorHAnsi" w:hAnsiTheme="minorHAnsi" w:cstheme="minorHAnsi"/>
          <w:sz w:val="22"/>
          <w:szCs w:val="22"/>
        </w:rPr>
        <w:t>Łd</w:t>
      </w:r>
      <w:proofErr w:type="spellEnd"/>
      <w:r w:rsidRPr="00846266">
        <w:rPr>
          <w:rFonts w:asciiTheme="minorHAnsi" w:hAnsiTheme="minorHAnsi" w:cstheme="minorHAnsi"/>
          <w:sz w:val="22"/>
          <w:szCs w:val="22"/>
        </w:rPr>
        <w:t xml:space="preserve"> </w:t>
      </w:r>
      <w:r w:rsidRPr="00846266">
        <w:rPr>
          <w:rFonts w:asciiTheme="minorHAnsi" w:hAnsiTheme="minorHAnsi" w:cstheme="minorHAnsi"/>
          <w:sz w:val="22"/>
          <w:szCs w:val="22"/>
          <w:lang w:val="ru-RU" w:eastAsia="ru-RU" w:bidi="ru-RU"/>
        </w:rPr>
        <w:t>674/20.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6C5" w:rsidRPr="005E06C5" w:rsidRDefault="004819FF" w:rsidP="005E06C5">
    <w:pPr>
      <w:pStyle w:val="Nagwek"/>
    </w:pPr>
    <w:r>
      <w:rPr>
        <w:noProof/>
        <w:lang w:bidi="ar-SA"/>
      </w:rPr>
      <w:drawing>
        <wp:inline distT="0" distB="0" distL="0" distR="0" wp14:anchorId="02C4D9A1" wp14:editId="54DDA72A">
          <wp:extent cx="5546090" cy="1041726"/>
          <wp:effectExtent l="0" t="0" r="0" b="6350"/>
          <wp:docPr id="5" name="Obraz 5"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6090" cy="10417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A4E19"/>
    <w:multiLevelType w:val="multilevel"/>
    <w:tmpl w:val="D5A2394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F44DA9"/>
    <w:multiLevelType w:val="multilevel"/>
    <w:tmpl w:val="3348A7DC"/>
    <w:lvl w:ilvl="0">
      <w:start w:val="8"/>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E54FC1"/>
    <w:multiLevelType w:val="multilevel"/>
    <w:tmpl w:val="A6C8C152"/>
    <w:lvl w:ilvl="0">
      <w:start w:val="9"/>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DD4D97"/>
    <w:multiLevelType w:val="multilevel"/>
    <w:tmpl w:val="D6C6FE26"/>
    <w:lvl w:ilvl="0">
      <w:start w:val="1"/>
      <w:numFmt w:val="bullet"/>
      <w:lvlText w:val="-"/>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922B1F"/>
    <w:multiLevelType w:val="multilevel"/>
    <w:tmpl w:val="FEEE73A2"/>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6A5"/>
    <w:rsid w:val="000B5D52"/>
    <w:rsid w:val="00101655"/>
    <w:rsid w:val="001146A5"/>
    <w:rsid w:val="0012087E"/>
    <w:rsid w:val="00224B61"/>
    <w:rsid w:val="00240FFF"/>
    <w:rsid w:val="00373FD0"/>
    <w:rsid w:val="0047346B"/>
    <w:rsid w:val="004819FF"/>
    <w:rsid w:val="004A5440"/>
    <w:rsid w:val="004F2095"/>
    <w:rsid w:val="004F2FC9"/>
    <w:rsid w:val="00522EE3"/>
    <w:rsid w:val="005E06C5"/>
    <w:rsid w:val="006E337A"/>
    <w:rsid w:val="007534C6"/>
    <w:rsid w:val="007A2B34"/>
    <w:rsid w:val="008237C7"/>
    <w:rsid w:val="008333AA"/>
    <w:rsid w:val="00846266"/>
    <w:rsid w:val="00937A18"/>
    <w:rsid w:val="00993C11"/>
    <w:rsid w:val="00995131"/>
    <w:rsid w:val="009C4180"/>
    <w:rsid w:val="009C7058"/>
    <w:rsid w:val="009D62AD"/>
    <w:rsid w:val="009F0DFA"/>
    <w:rsid w:val="00A02219"/>
    <w:rsid w:val="00A41041"/>
    <w:rsid w:val="00A73CD4"/>
    <w:rsid w:val="00AA0FD7"/>
    <w:rsid w:val="00AC67E3"/>
    <w:rsid w:val="00B00280"/>
    <w:rsid w:val="00B12EC4"/>
    <w:rsid w:val="00B40F3F"/>
    <w:rsid w:val="00C105B9"/>
    <w:rsid w:val="00C30086"/>
    <w:rsid w:val="00C320BF"/>
    <w:rsid w:val="00CE69EA"/>
    <w:rsid w:val="00D575A5"/>
    <w:rsid w:val="00DE0EF7"/>
    <w:rsid w:val="00E1127D"/>
    <w:rsid w:val="00EC19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8C5F12"/>
  <w15:docId w15:val="{0CA912FA-F85F-48EA-B186-0FD2C2D7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4819F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Footnote1Bold">
    <w:name w:val="Footnote|1 + Bold"/>
    <w:basedOn w:val="Footnote1"/>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Footnote2">
    <w:name w:val="Footnote|2_"/>
    <w:basedOn w:val="Domylnaczcionkaakapitu"/>
    <w:link w:val="Footnote20"/>
    <w:rPr>
      <w:rFonts w:ascii="Arial" w:eastAsia="Arial" w:hAnsi="Arial" w:cs="Arial"/>
      <w:b/>
      <w:bCs/>
      <w:i w:val="0"/>
      <w:iCs w:val="0"/>
      <w:smallCaps w:val="0"/>
      <w:strike w:val="0"/>
      <w:sz w:val="16"/>
      <w:szCs w:val="16"/>
      <w:u w:val="none"/>
    </w:rPr>
  </w:style>
  <w:style w:type="character" w:customStyle="1" w:styleId="Footnote1Italic">
    <w:name w:val="Footnote|1 + Italic"/>
    <w:basedOn w:val="Footnote1"/>
    <w:semiHidden/>
    <w:unhideWhenUsed/>
    <w:rPr>
      <w:rFonts w:ascii="Arial" w:eastAsia="Arial" w:hAnsi="Arial" w:cs="Arial"/>
      <w:b w:val="0"/>
      <w:bCs w:val="0"/>
      <w:i/>
      <w:iCs/>
      <w:smallCaps w:val="0"/>
      <w:strike w:val="0"/>
      <w:color w:val="000000"/>
      <w:spacing w:val="0"/>
      <w:w w:val="100"/>
      <w:position w:val="0"/>
      <w:sz w:val="17"/>
      <w:szCs w:val="17"/>
      <w:u w:val="none"/>
      <w:lang w:val="ru-RU" w:eastAsia="ru-RU" w:bidi="ru-RU"/>
    </w:rPr>
  </w:style>
  <w:style w:type="character" w:customStyle="1" w:styleId="Footnote3">
    <w:name w:val="Footnote|3_"/>
    <w:basedOn w:val="Domylnaczcionkaakapitu"/>
    <w:link w:val="Footnote30"/>
    <w:rPr>
      <w:rFonts w:ascii="Arial" w:eastAsia="Arial" w:hAnsi="Arial" w:cs="Arial"/>
      <w:b/>
      <w:bCs/>
      <w:i w:val="0"/>
      <w:iCs w:val="0"/>
      <w:smallCaps w:val="0"/>
      <w:strike w:val="0"/>
      <w:sz w:val="17"/>
      <w:szCs w:val="17"/>
      <w:u w:val="none"/>
    </w:rPr>
  </w:style>
  <w:style w:type="character" w:customStyle="1" w:styleId="Bodytext2Exact">
    <w:name w:val="Body text|2 Exact"/>
    <w:basedOn w:val="Domylnaczcionkaakapitu"/>
    <w:semiHidden/>
    <w:unhideWhenUsed/>
    <w:rPr>
      <w:rFonts w:ascii="Arial" w:eastAsia="Arial" w:hAnsi="Arial" w:cs="Arial"/>
      <w:b/>
      <w:bCs/>
      <w:i w:val="0"/>
      <w:iCs w:val="0"/>
      <w:smallCaps w:val="0"/>
      <w:strike w:val="0"/>
      <w:sz w:val="17"/>
      <w:szCs w:val="17"/>
      <w:u w:val="none"/>
    </w:rPr>
  </w:style>
  <w:style w:type="character" w:customStyle="1" w:styleId="Bodytext2NotBoldExact">
    <w:name w:val="Body text|2 + Not Bold Exact"/>
    <w:basedOn w:val="Bodytext2"/>
    <w:semiHidden/>
    <w:unhideWhenUsed/>
    <w:rPr>
      <w:rFonts w:ascii="Arial" w:eastAsia="Arial" w:hAnsi="Arial" w:cs="Arial"/>
      <w:b/>
      <w:bCs/>
      <w:i w:val="0"/>
      <w:iCs w:val="0"/>
      <w:smallCaps w:val="0"/>
      <w:strike w:val="0"/>
      <w:sz w:val="17"/>
      <w:szCs w:val="17"/>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6"/>
      <w:szCs w:val="16"/>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Bodytext21">
    <w:name w:val="Body text|2"/>
    <w:basedOn w:val="Bodytext2"/>
    <w:semiHidden/>
    <w:unhideWhenUsed/>
    <w:rPr>
      <w:rFonts w:ascii="Arial" w:eastAsia="Arial" w:hAnsi="Arial" w:cs="Arial"/>
      <w:b/>
      <w:bCs/>
      <w:i w:val="0"/>
      <w:iCs w:val="0"/>
      <w:smallCaps w:val="0"/>
      <w:strike w:val="0"/>
      <w:color w:val="475874"/>
      <w:spacing w:val="0"/>
      <w:w w:val="100"/>
      <w:position w:val="0"/>
      <w:sz w:val="17"/>
      <w:szCs w:val="17"/>
      <w:u w:val="none"/>
      <w:lang w:val="pl-PL" w:eastAsia="pl-PL" w:bidi="pl-PL"/>
    </w:rPr>
  </w:style>
  <w:style w:type="character" w:customStyle="1" w:styleId="Bodytext295ptItalicScaling75">
    <w:name w:val="Body text|2 + 9.5 pt;Italic;Scaling 75%"/>
    <w:basedOn w:val="Bodytext2"/>
    <w:semiHidden/>
    <w:unhideWhenUsed/>
    <w:rPr>
      <w:rFonts w:ascii="Arial" w:eastAsia="Arial" w:hAnsi="Arial" w:cs="Arial"/>
      <w:b/>
      <w:bCs/>
      <w:i/>
      <w:iCs/>
      <w:smallCaps w:val="0"/>
      <w:strike w:val="0"/>
      <w:color w:val="475874"/>
      <w:spacing w:val="0"/>
      <w:w w:val="75"/>
      <w:position w:val="0"/>
      <w:sz w:val="19"/>
      <w:szCs w:val="19"/>
      <w:u w:val="none"/>
      <w:lang w:val="pl-PL" w:eastAsia="pl-PL" w:bidi="pl-PL"/>
    </w:rPr>
  </w:style>
  <w:style w:type="character" w:customStyle="1" w:styleId="Headerorfooter1">
    <w:name w:val="Header or footer|1_"/>
    <w:basedOn w:val="Domylnaczcionkaakapitu"/>
    <w:link w:val="Headerorfooter10"/>
    <w:rPr>
      <w:b/>
      <w:bCs/>
      <w:i w:val="0"/>
      <w:iCs w:val="0"/>
      <w:smallCaps w:val="0"/>
      <w:strike w:val="0"/>
      <w:sz w:val="21"/>
      <w:szCs w:val="21"/>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95ptItalicScaling750">
    <w:name w:val="Body text|2 + 9.5 pt;Italic;Scaling 75%"/>
    <w:basedOn w:val="Bodytext2"/>
    <w:semiHidden/>
    <w:unhideWhenUsed/>
    <w:rPr>
      <w:rFonts w:ascii="Arial" w:eastAsia="Arial" w:hAnsi="Arial" w:cs="Arial"/>
      <w:b/>
      <w:bCs/>
      <w:i/>
      <w:iCs/>
      <w:smallCaps w:val="0"/>
      <w:strike w:val="0"/>
      <w:color w:val="000000"/>
      <w:spacing w:val="0"/>
      <w:w w:val="75"/>
      <w:position w:val="0"/>
      <w:sz w:val="19"/>
      <w:szCs w:val="19"/>
      <w:u w:val="none"/>
      <w:lang w:val="pl-PL" w:eastAsia="pl-PL" w:bidi="pl-PL"/>
    </w:rPr>
  </w:style>
  <w:style w:type="character" w:customStyle="1" w:styleId="Picturecaption1">
    <w:name w:val="Picture caption|1_"/>
    <w:basedOn w:val="Domylnaczcionkaakapitu"/>
    <w:link w:val="Picturecaption10"/>
    <w:rPr>
      <w:rFonts w:ascii="Arial" w:eastAsia="Arial" w:hAnsi="Arial" w:cs="Arial"/>
      <w:b w:val="0"/>
      <w:bCs w:val="0"/>
      <w:i w:val="0"/>
      <w:iCs w:val="0"/>
      <w:smallCaps w:val="0"/>
      <w:strike w:val="0"/>
      <w:sz w:val="17"/>
      <w:szCs w:val="17"/>
      <w:u w:val="none"/>
    </w:rPr>
  </w:style>
  <w:style w:type="character" w:customStyle="1" w:styleId="Picturecaption11">
    <w:name w:val="Picture caption|1"/>
    <w:basedOn w:val="Picturecaption1"/>
    <w:semiHidden/>
    <w:unhideWhenUsed/>
    <w:rPr>
      <w:rFonts w:ascii="Arial" w:eastAsia="Arial" w:hAnsi="Arial" w:cs="Arial"/>
      <w:b w:val="0"/>
      <w:bCs w:val="0"/>
      <w:i w:val="0"/>
      <w:iCs w:val="0"/>
      <w:smallCaps w:val="0"/>
      <w:strike w:val="0"/>
      <w:color w:val="BF655F"/>
      <w:spacing w:val="0"/>
      <w:w w:val="100"/>
      <w:position w:val="0"/>
      <w:sz w:val="17"/>
      <w:szCs w:val="17"/>
      <w:u w:val="none"/>
      <w:lang w:val="pl-PL" w:eastAsia="pl-PL" w:bidi="pl-PL"/>
    </w:rPr>
  </w:style>
  <w:style w:type="character" w:customStyle="1" w:styleId="Bodytext22">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235" w:lineRule="exact"/>
      <w:ind w:hanging="220"/>
      <w:jc w:val="both"/>
    </w:pPr>
    <w:rPr>
      <w:rFonts w:ascii="Arial" w:eastAsia="Arial" w:hAnsi="Arial" w:cs="Arial"/>
      <w:sz w:val="17"/>
      <w:szCs w:val="17"/>
    </w:rPr>
  </w:style>
  <w:style w:type="paragraph" w:customStyle="1" w:styleId="Footnote20">
    <w:name w:val="Footnote|2"/>
    <w:basedOn w:val="Normalny"/>
    <w:link w:val="Footnote2"/>
    <w:pPr>
      <w:shd w:val="clear" w:color="auto" w:fill="FFFFFF"/>
      <w:spacing w:line="178" w:lineRule="exact"/>
      <w:jc w:val="both"/>
    </w:pPr>
    <w:rPr>
      <w:rFonts w:ascii="Arial" w:eastAsia="Arial" w:hAnsi="Arial" w:cs="Arial"/>
      <w:b/>
      <w:bCs/>
      <w:sz w:val="16"/>
      <w:szCs w:val="16"/>
    </w:rPr>
  </w:style>
  <w:style w:type="paragraph" w:customStyle="1" w:styleId="Footnote30">
    <w:name w:val="Footnote|3"/>
    <w:basedOn w:val="Normalny"/>
    <w:link w:val="Footnote3"/>
    <w:pPr>
      <w:shd w:val="clear" w:color="auto" w:fill="FFFFFF"/>
      <w:spacing w:line="190" w:lineRule="exact"/>
      <w:jc w:val="both"/>
    </w:pPr>
    <w:rPr>
      <w:rFonts w:ascii="Arial" w:eastAsia="Arial" w:hAnsi="Arial" w:cs="Arial"/>
      <w:b/>
      <w:bCs/>
      <w:sz w:val="17"/>
      <w:szCs w:val="17"/>
    </w:rPr>
  </w:style>
  <w:style w:type="paragraph" w:customStyle="1" w:styleId="Bodytext20">
    <w:name w:val="Body text|2"/>
    <w:basedOn w:val="Normalny"/>
    <w:link w:val="Bodytext2"/>
    <w:qFormat/>
    <w:pPr>
      <w:shd w:val="clear" w:color="auto" w:fill="FFFFFF"/>
      <w:spacing w:before="480" w:after="120" w:line="212" w:lineRule="exact"/>
      <w:ind w:hanging="420"/>
      <w:jc w:val="right"/>
    </w:pPr>
    <w:rPr>
      <w:rFonts w:ascii="Arial" w:eastAsia="Arial" w:hAnsi="Arial" w:cs="Arial"/>
      <w:b/>
      <w:bCs/>
      <w:sz w:val="17"/>
      <w:szCs w:val="17"/>
    </w:rPr>
  </w:style>
  <w:style w:type="paragraph" w:customStyle="1" w:styleId="Heading110">
    <w:name w:val="Heading #1|1"/>
    <w:basedOn w:val="Normalny"/>
    <w:link w:val="Heading11"/>
    <w:qFormat/>
    <w:pPr>
      <w:shd w:val="clear" w:color="auto" w:fill="FFFFFF"/>
      <w:spacing w:line="246" w:lineRule="exact"/>
      <w:outlineLvl w:val="0"/>
    </w:pPr>
    <w:rPr>
      <w:rFonts w:ascii="Arial" w:eastAsia="Arial" w:hAnsi="Arial" w:cs="Arial"/>
      <w:b/>
      <w:bCs/>
      <w:sz w:val="22"/>
      <w:szCs w:val="22"/>
    </w:rPr>
  </w:style>
  <w:style w:type="paragraph" w:customStyle="1" w:styleId="Bodytext30">
    <w:name w:val="Body text|3"/>
    <w:basedOn w:val="Normalny"/>
    <w:link w:val="Bodytext3"/>
    <w:pPr>
      <w:shd w:val="clear" w:color="auto" w:fill="FFFFFF"/>
      <w:spacing w:after="480" w:line="163" w:lineRule="exact"/>
    </w:pPr>
    <w:rPr>
      <w:rFonts w:ascii="Arial" w:eastAsia="Arial" w:hAnsi="Arial" w:cs="Arial"/>
      <w:b/>
      <w:bCs/>
      <w:sz w:val="16"/>
      <w:szCs w:val="16"/>
    </w:rPr>
  </w:style>
  <w:style w:type="paragraph" w:customStyle="1" w:styleId="Headerorfooter10">
    <w:name w:val="Header or footer|1"/>
    <w:basedOn w:val="Normalny"/>
    <w:link w:val="Headerorfooter1"/>
    <w:qFormat/>
    <w:pPr>
      <w:shd w:val="clear" w:color="auto" w:fill="FFFFFF"/>
      <w:spacing w:line="232" w:lineRule="exact"/>
    </w:pPr>
    <w:rPr>
      <w:b/>
      <w:bCs/>
      <w:sz w:val="21"/>
      <w:szCs w:val="21"/>
      <w:lang w:val="ru-RU" w:eastAsia="ru-RU" w:bidi="ru-RU"/>
    </w:rPr>
  </w:style>
  <w:style w:type="paragraph" w:customStyle="1" w:styleId="Picturecaption10">
    <w:name w:val="Picture caption|1"/>
    <w:basedOn w:val="Normalny"/>
    <w:link w:val="Picturecaption1"/>
    <w:qFormat/>
    <w:pPr>
      <w:shd w:val="clear" w:color="auto" w:fill="FFFFFF"/>
      <w:spacing w:line="190" w:lineRule="exact"/>
      <w:jc w:val="center"/>
    </w:pPr>
    <w:rPr>
      <w:rFonts w:ascii="Arial" w:eastAsia="Arial" w:hAnsi="Arial" w:cs="Arial"/>
      <w:sz w:val="17"/>
      <w:szCs w:val="17"/>
    </w:rPr>
  </w:style>
  <w:style w:type="paragraph" w:styleId="Nagwek">
    <w:name w:val="header"/>
    <w:basedOn w:val="Normalny"/>
    <w:link w:val="NagwekZnak"/>
    <w:uiPriority w:val="99"/>
    <w:unhideWhenUsed/>
    <w:rsid w:val="005E06C5"/>
    <w:pPr>
      <w:tabs>
        <w:tab w:val="center" w:pos="4536"/>
        <w:tab w:val="right" w:pos="9072"/>
      </w:tabs>
    </w:pPr>
  </w:style>
  <w:style w:type="character" w:customStyle="1" w:styleId="NagwekZnak">
    <w:name w:val="Nagłówek Znak"/>
    <w:basedOn w:val="Domylnaczcionkaakapitu"/>
    <w:link w:val="Nagwek"/>
    <w:uiPriority w:val="99"/>
    <w:rsid w:val="005E06C5"/>
    <w:rPr>
      <w:color w:val="000000"/>
    </w:rPr>
  </w:style>
  <w:style w:type="paragraph" w:styleId="Stopka">
    <w:name w:val="footer"/>
    <w:basedOn w:val="Normalny"/>
    <w:link w:val="StopkaZnak"/>
    <w:uiPriority w:val="99"/>
    <w:unhideWhenUsed/>
    <w:rsid w:val="005E06C5"/>
    <w:pPr>
      <w:tabs>
        <w:tab w:val="center" w:pos="4536"/>
        <w:tab w:val="right" w:pos="9072"/>
      </w:tabs>
    </w:pPr>
  </w:style>
  <w:style w:type="character" w:customStyle="1" w:styleId="StopkaZnak">
    <w:name w:val="Stopka Znak"/>
    <w:basedOn w:val="Domylnaczcionkaakapitu"/>
    <w:link w:val="Stopka"/>
    <w:uiPriority w:val="99"/>
    <w:rsid w:val="005E06C5"/>
    <w:rPr>
      <w:color w:val="000000"/>
    </w:rPr>
  </w:style>
  <w:style w:type="character" w:customStyle="1" w:styleId="Nagwek1Znak">
    <w:name w:val="Nagłówek 1 Znak"/>
    <w:basedOn w:val="Domylnaczcionkaakapitu"/>
    <w:link w:val="Nagwek1"/>
    <w:uiPriority w:val="9"/>
    <w:rsid w:val="004819F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2105-96C9-4FD9-B5EC-ACB0C6A3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23</Pages>
  <Words>7806</Words>
  <Characters>46840</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00206BFA04F1230504182201</vt:lpstr>
    </vt:vector>
  </TitlesOfParts>
  <Company>Urzad Miasta</Company>
  <LinksUpToDate>false</LinksUpToDate>
  <CharactersWithSpaces>54537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
  <cp:keywords/>
  <cp:lastModifiedBy>Nalazek Izabela (KW)</cp:lastModifiedBy>
  <cp:revision>31</cp:revision>
  <dcterms:created xsi:type="dcterms:W3CDTF">2023-05-05T08:05:00Z</dcterms:created>
  <dcterms:modified xsi:type="dcterms:W3CDTF">2024-04-30T10:29:00Z</dcterms:modified>
</cp:coreProperties>
</file>