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left="6372"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Warszawa, </w:t>
      </w:r>
      <w:r w:rsidR="000E2EF3"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>8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 </w:t>
      </w:r>
      <w:r w:rsidRPr="00CE6F58">
        <w:rPr>
          <w:rFonts w:asciiTheme="minorHAnsi" w:hAnsiTheme="minorHAnsi" w:cstheme="minorHAnsi"/>
          <w:sz w:val="22"/>
          <w:szCs w:val="22"/>
        </w:rPr>
        <w:t>lipca 2022 r.</w:t>
      </w:r>
    </w:p>
    <w:p w:rsidR="008F4866" w:rsidRPr="00CE6F58" w:rsidRDefault="005A779E" w:rsidP="00CE6F58">
      <w:pPr>
        <w:pStyle w:val="Bodytext4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znak sprawy: KW-WGF.1712.13.2022.GSK</w:t>
      </w:r>
    </w:p>
    <w:p w:rsidR="008F4866" w:rsidRPr="00CE6F58" w:rsidRDefault="005A779E" w:rsidP="004F43E3">
      <w:pPr>
        <w:pStyle w:val="Bodytext40"/>
        <w:shd w:val="clear" w:color="auto" w:fill="auto"/>
        <w:spacing w:before="240" w:after="680" w:line="300" w:lineRule="auto"/>
        <w:ind w:left="4859"/>
        <w:contextualSpacing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Pan</w:t>
      </w:r>
    </w:p>
    <w:p w:rsidR="000E2EF3" w:rsidRPr="00CE6F58" w:rsidRDefault="005A779E" w:rsidP="004F43E3">
      <w:pPr>
        <w:pStyle w:val="Bodytext40"/>
        <w:shd w:val="clear" w:color="auto" w:fill="auto"/>
        <w:spacing w:before="240" w:after="680" w:line="300" w:lineRule="auto"/>
        <w:ind w:left="4859" w:right="1060"/>
        <w:contextualSpacing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Norbert Szczepański </w:t>
      </w:r>
    </w:p>
    <w:p w:rsidR="008F4866" w:rsidRPr="00CE6F58" w:rsidRDefault="005A779E" w:rsidP="004F43E3">
      <w:pPr>
        <w:pStyle w:val="Bodytext40"/>
        <w:shd w:val="clear" w:color="auto" w:fill="auto"/>
        <w:spacing w:before="240" w:after="680" w:line="300" w:lineRule="auto"/>
        <w:ind w:left="4859" w:right="1060"/>
        <w:contextualSpacing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Burmistrz</w:t>
      </w:r>
    </w:p>
    <w:p w:rsidR="008F4866" w:rsidRPr="00CE6F58" w:rsidRDefault="005A779E" w:rsidP="004F43E3">
      <w:pPr>
        <w:pStyle w:val="Bodytext40"/>
        <w:shd w:val="clear" w:color="auto" w:fill="auto"/>
        <w:spacing w:before="240" w:after="680" w:line="300" w:lineRule="auto"/>
        <w:ind w:left="4859"/>
        <w:contextualSpacing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Dzielnicy Wawer m.st. Warszawy</w:t>
      </w:r>
    </w:p>
    <w:p w:rsidR="008F4866" w:rsidRPr="00CE6F58" w:rsidRDefault="005A779E" w:rsidP="0065238B">
      <w:pPr>
        <w:pStyle w:val="Nagwek1"/>
        <w:spacing w:before="120" w:after="240" w:line="300" w:lineRule="auto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E6F58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CE6F58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 (dalej: Regulamin organizacyjny), w związku z kontrolą przeprowadzoną przez Biuro Kontroli Urzędu m.st. Warszawy w Urzędzie Dzielnicy Wawer m.st. Warszawy w okresie od 2 marca do 22 kwietnia 2022 r. w zakresie „Prawidłowość ujmowania w księgach rachunkowych należności oraz prowadzenie postępowań przy umarzaniu z urzędu należności m.st. Warszawy o charakterze cywilnoprawnym", której wyniki zostały przedstawione w protokole kontroli podpisanym 5 maja 2022 r., stosownie do § 39 ust. 1 i 2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Panu Burmistrzowi wystąpienie pokontrolne.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Dzielnica Wawer (dalej: Dzielnica) jest jednostką pomocniczą m.st. Warszawy, o której mowa w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F58">
        <w:rPr>
          <w:rFonts w:asciiTheme="minorHAnsi" w:hAnsiTheme="minorHAnsi" w:cstheme="minorHAnsi"/>
          <w:sz w:val="22"/>
          <w:szCs w:val="22"/>
        </w:rPr>
        <w:t>5 ust. 1 ustawy z dnia 15 marca 2002 r. o ustroju miasta stołecznego Warszawy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CE6F58">
        <w:rPr>
          <w:rFonts w:asciiTheme="minorHAnsi" w:hAnsiTheme="minorHAnsi" w:cstheme="minorHAnsi"/>
          <w:sz w:val="22"/>
          <w:szCs w:val="22"/>
        </w:rPr>
        <w:t xml:space="preserve">, stanowiącą organizacyjnie wyodrębnioną część Urzędu m.st. Warszawy. Dzielnica działa na podstawie statutu stanowiącego załącznik nr 13 do uchwały nr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LXX/2182/2010 </w:t>
      </w:r>
      <w:r w:rsidRPr="00CE6F58">
        <w:rPr>
          <w:rFonts w:asciiTheme="minorHAnsi" w:hAnsiTheme="minorHAnsi" w:cstheme="minorHAnsi"/>
          <w:sz w:val="22"/>
          <w:szCs w:val="22"/>
        </w:rPr>
        <w:t>Rady Miasta Stołecznego Warszawy z dnia 14 stycznia 2010 r.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CE6F58">
        <w:rPr>
          <w:rFonts w:asciiTheme="minorHAnsi" w:hAnsiTheme="minorHAnsi" w:cstheme="minorHAnsi"/>
          <w:sz w:val="22"/>
          <w:szCs w:val="22"/>
        </w:rPr>
        <w:t xml:space="preserve"> Nadzór nad działalnością jednostki spr</w:t>
      </w:r>
      <w:bookmarkStart w:id="0" w:name="_GoBack"/>
      <w:bookmarkEnd w:id="0"/>
      <w:r w:rsidRPr="00CE6F58">
        <w:rPr>
          <w:rFonts w:asciiTheme="minorHAnsi" w:hAnsiTheme="minorHAnsi" w:cstheme="minorHAnsi"/>
          <w:sz w:val="22"/>
          <w:szCs w:val="22"/>
        </w:rPr>
        <w:t>awuje Prezydent m.st. Warszawy oraz Rada Miasta Stołecznego Warszawy.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Dzielnica stosuje zasady rachunkowości stosownie do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3222/2012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 13 sierpnia 2012 r. w sprawie przyjętych zasad rachunkowości w Urzędzie m.st. Warszawy (ze zm.)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CE6F58">
        <w:rPr>
          <w:rFonts w:asciiTheme="minorHAnsi" w:hAnsiTheme="minorHAnsi" w:cstheme="minorHAnsi"/>
          <w:sz w:val="22"/>
          <w:szCs w:val="22"/>
        </w:rPr>
        <w:t xml:space="preserve"> oraz prowadzi księgi rachunkowe w oparciu o wewnętrznie określony wykaz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>zbiorów danych tworzących księgi rachunkowe na informatycznych nośnikach danych, z określeniem ich struktury, wzajemnych powiązań oraz funkcji, opisem systemu przetwarzania danych, opisem systemu informatycznego, zawierającego wykaz programów wraz z określeniem wersji</w:t>
      </w:r>
      <w:r w:rsidR="000E2EF3" w:rsidRPr="00CE6F58">
        <w:rPr>
          <w:rFonts w:asciiTheme="minorHAnsi" w:hAnsiTheme="minorHAnsi" w:cstheme="minorHAnsi"/>
          <w:sz w:val="22"/>
          <w:szCs w:val="22"/>
        </w:rPr>
        <w:t xml:space="preserve"> </w:t>
      </w:r>
      <w:r w:rsidRPr="00CE6F58">
        <w:rPr>
          <w:rFonts w:asciiTheme="minorHAnsi" w:hAnsiTheme="minorHAnsi" w:cstheme="minorHAnsi"/>
          <w:sz w:val="22"/>
          <w:szCs w:val="22"/>
        </w:rPr>
        <w:t>oprogramowania i daty rozpoczęcia jego eksploatacji oraz ustalony plan kont analitycznych i przyjęte zasady ich budowania w systemie informatycznym; określono metody ochrony danych księgowych, w tym metody zabezpieczenia dostępu do danych, systemu ich przetwarzania i archiwizacji.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Wewnętrzną organizację oraz podział zadań pomiędzy poszczególne wewnętrzne komórki organizacyjne Dzielnicy określa Regulamin organizacyjny wprowadzony Zarządzeniem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24/2019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 9 stycznia 2019 r.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CE6F58">
        <w:rPr>
          <w:rFonts w:asciiTheme="minorHAnsi" w:hAnsiTheme="minorHAnsi" w:cstheme="minorHAnsi"/>
          <w:sz w:val="22"/>
          <w:szCs w:val="22"/>
        </w:rPr>
        <w:t xml:space="preserve"> Komórkami realizującymi czynności z zakresu zadań związanych z ustalaniem oraz windykacją należności jest Wydział Budżetowo-Księgowy, Wydział Nieruchomości, Wydział Inwestycji, Wydział Ochrony Środowiska, Wydział Prawny i Kadr. Zgodnie z wyjaśnieniem Głównej Księgowej: „Organizacja (..) w zakresie ustalenia komórek wyznaczonych do realizacji zadań związanych z przedmiotem kontroli - wynosi 4 osoby (w przeliczeniu na etaty), 1 osoba odpowiedzialna za dokonywanie dekretacji, oraz 3 osoby odpowiedzialne za prowadzenie ewidencji należności (przypisy należności, kwalifikowanie wpłat, naliczanie odsetek), podejmowanie czynności windykacyjnych, oraz prowadzenie spraw w zakresie udzielania ulg i umorzeń na podstawie uchwały oraz innych pełnomocnictw".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Ustalono, że w 2021 roku Dzielnica uzyskała dochody w łącznej kwocie 13 546 660,27 zł, w tym dochody z tytułu należności od czynności mających charakter cywilnoprawny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CE6F58">
        <w:rPr>
          <w:rFonts w:asciiTheme="minorHAnsi" w:hAnsiTheme="minorHAnsi" w:cstheme="minorHAnsi"/>
          <w:sz w:val="22"/>
          <w:szCs w:val="22"/>
        </w:rPr>
        <w:t xml:space="preserve"> wynosiły 5 237 467,39 zł. Na dzień 31 grudnia 2021 r. należności Dzielnicy ogółem wynosiły 34 227 994,72 zł, w tym kwota 25 232 764,16 zł stanowił należności od czynności mających charakter cywilnoprawny.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Na dzień 1 stycznia 2021 r. 676 dłużników posiadało zaległości płatnicze wobec Dzielnicy na łączną kwotę 15 041 653,69 zł, w tym 14 dłużników posiadało zaległości z tytułu naliczonych kar umownych na łączną kwotę 13 535 401,28 zł.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Zgodnie z „Wykazami zaległości" prowadzonymi w podziale na tytuły zadłużenia, na dzień 31 grudnia 2021 r. pozostawało 402 dłużników, którzy posiadali zaległości płatnicze na łączną kwotę 15 011820,92 zł, w tym: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z tytułu naliczonych kar umownych zaległości posiadało 14 dłużników na łączną kwotę 13 535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>050,00 zł (okres powstania zaległości powyżej 6 miesięcy),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tytułu użytkowania wieczystego zaległości posiadało 120 dłużników na łączną kwotę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left="400" w:right="520"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327 473,53 zł wraz z odsetkami w kwocie 171 125,35 zł (okres powstania zaległości powyżej 6 miesięcy),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tytułu opłaty za przekształcenie zaległości posiadało 6 dłużników na łączną kwotę 101 237,10 zł wraz z odsetkami w kwocie 44 942,35 zł (okres powstania zaległości powyżej 6 miesięcy),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tytułu opłaty „uwłaszczeniowej" zaległości posiadało 136 dłużników na łączną kwotę 17 114,03 zł wraz z odsetkami w kwocie 1 372,06 zł (okres powstania zaległości powyżej 6 miesięcy),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tytułu opłaty za dzierżawę zaległości posiadało 126 dłużników na łączną kwotę 1 030 946,26 zł wraz z odsetkami w kwocie 324 288,53 zł.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Próbą kontrolną w zakresie prowadzenia windykacji należności cywilnoprawnych objęto dokumentację dłużników posiadających wg stanu na 31 grudnia 2021 r. roku zaległości: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tytułu naliczonych kar umownych w związku z wypowiedzeniem 3 wykonawcom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CE6F58">
        <w:rPr>
          <w:rFonts w:asciiTheme="minorHAnsi" w:hAnsiTheme="minorHAnsi" w:cstheme="minorHAnsi"/>
          <w:sz w:val="22"/>
          <w:szCs w:val="22"/>
        </w:rPr>
        <w:t xml:space="preserve"> umów - łączna kwota zadłużenia (należność główna) 4 281 408,50 zł,</w:t>
      </w:r>
    </w:p>
    <w:p w:rsidR="008F4866" w:rsidRPr="00CE6F58" w:rsidRDefault="005A779E" w:rsidP="00CE6F58">
      <w:pPr>
        <w:pStyle w:val="Bodytext20"/>
        <w:numPr>
          <w:ilvl w:val="0"/>
          <w:numId w:val="1"/>
        </w:numPr>
        <w:shd w:val="clear" w:color="auto" w:fill="auto"/>
        <w:tabs>
          <w:tab w:val="left" w:pos="349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z tytułu dzierżawy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 </w:t>
      </w:r>
      <w:r w:rsidRPr="00CE6F58">
        <w:rPr>
          <w:rFonts w:asciiTheme="minorHAnsi" w:hAnsiTheme="minorHAnsi" w:cstheme="minorHAnsi"/>
          <w:sz w:val="22"/>
          <w:szCs w:val="22"/>
        </w:rPr>
        <w:t>bezumownego korzystania z gruntów 6 podmiotów - łączna kwota zadłużenia wraz z odsetkami 801 619,87 zł.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W zakresie dochodzenia należności od kontrahentów, którym Dzielnica wypowiedziała umowę z winy wykonawcy, ustalono, że w przypadku 2 kontrahentów, po przeprowadzeniu postępowania w oparciu o wytyczne określone w załączniku do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1618/2017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 3 października 2017 r.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CE6F58">
        <w:rPr>
          <w:rFonts w:asciiTheme="minorHAnsi" w:hAnsiTheme="minorHAnsi" w:cstheme="minorHAnsi"/>
          <w:sz w:val="22"/>
          <w:szCs w:val="22"/>
        </w:rPr>
        <w:t>, sprawy zostały skierowane na drogę postępowania sądowego. Według stanu na dzień przeprowadzania kontroli, w 1 przypadku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CE6F58">
        <w:rPr>
          <w:rFonts w:asciiTheme="minorHAnsi" w:hAnsiTheme="minorHAnsi" w:cstheme="minorHAnsi"/>
          <w:sz w:val="22"/>
          <w:szCs w:val="22"/>
        </w:rPr>
        <w:t xml:space="preserve"> po niekorzystnym dla Miasta Warszawy rozstrzygnięciu przez sąd, złożona została przez Biuro Prawne Urzędu m.st. Warszawy apelacja od wyroku (sprawa w toku). W kolejnym przypadku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CE6F58">
        <w:rPr>
          <w:rFonts w:asciiTheme="minorHAnsi" w:hAnsiTheme="minorHAnsi" w:cstheme="minorHAnsi"/>
          <w:sz w:val="22"/>
          <w:szCs w:val="22"/>
        </w:rPr>
        <w:t>, po uzyskaniu Nakazu zapłaty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CE6F58">
        <w:rPr>
          <w:rFonts w:asciiTheme="minorHAnsi" w:hAnsiTheme="minorHAnsi" w:cstheme="minorHAnsi"/>
          <w:sz w:val="22"/>
          <w:szCs w:val="22"/>
        </w:rPr>
        <w:t>, pozwany złożył sprzeciw od Nakazu zapłaty, zatem i w tym przypadku sprawa jest w toku.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lastRenderedPageBreak/>
        <w:t>W zakresie prowadzenia spraw związanych z dochodzeniem należności z tytułu umów dzierżawy/ bezumownego korzystania z gruntów ustalono, iż w przypadku kontrahenta [podmiot prawa handlowego)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CE6F58">
        <w:rPr>
          <w:rFonts w:asciiTheme="minorHAnsi" w:hAnsiTheme="minorHAnsi" w:cstheme="minorHAnsi"/>
          <w:sz w:val="22"/>
          <w:szCs w:val="22"/>
        </w:rPr>
        <w:t xml:space="preserve">, którego zaległości powstały za okresy rozliczeniowe styczeń - maj 2004 roku, od 2012 roku Dzielnica nie podjęła działań w celu dochodzenia należności. Na podstawie postanowienia sądu z października 2011 roku, komornik sądowy w marcu 2012 roku wszczął postępowanie egzekucyjne, natomiast w czerwcu 2012 roku ustalił brak majątku bądź innych źródeł dochodów dłużnika, z których można prowadzi egzekucję. W sprawie wyjaśniono: „Dzielnica Wawer opracowuje dokumentację pod kątem przygotowania materiałów do komornika w sprawie odzyskania należności od dłużnika (..)". Wskazać należy, że stosownie do § 3 załącznika do ww. zarządzenia „Windykacja winna się odbywać terminowo, aby nie dopuścić do przedawnienia należności", natomiast Dzielnica nie udokumentowała, iż podjęto czynności aby przerwać bieg przedawnienia roszczenia, stosownie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CE6F58">
        <w:rPr>
          <w:rFonts w:asciiTheme="minorHAnsi" w:hAnsiTheme="minorHAnsi" w:cstheme="minorHAnsi"/>
          <w:sz w:val="22"/>
          <w:szCs w:val="22"/>
        </w:rPr>
        <w:t>123 ustawy z dnia 23 kwietnia 1964 r. Kodeks cywilny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CE6F58">
        <w:rPr>
          <w:rFonts w:asciiTheme="minorHAnsi" w:hAnsiTheme="minorHAnsi" w:cstheme="minorHAnsi"/>
          <w:sz w:val="22"/>
          <w:szCs w:val="22"/>
        </w:rPr>
        <w:t xml:space="preserve">, mając na względzie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F58">
        <w:rPr>
          <w:rFonts w:asciiTheme="minorHAnsi" w:hAnsiTheme="minorHAnsi" w:cstheme="minorHAnsi"/>
          <w:sz w:val="22"/>
          <w:szCs w:val="22"/>
        </w:rPr>
        <w:t xml:space="preserve">125 Kodeksu cywilnego. Nie podjęto również czynności w oparciu o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F58">
        <w:rPr>
          <w:rFonts w:asciiTheme="minorHAnsi" w:hAnsiTheme="minorHAnsi" w:cstheme="minorHAnsi"/>
          <w:sz w:val="22"/>
          <w:szCs w:val="22"/>
        </w:rPr>
        <w:t>299 ustawy z dnia 15 września 2000 r. Kodeks spółek handlowych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CE6F58">
        <w:rPr>
          <w:rFonts w:asciiTheme="minorHAnsi" w:hAnsiTheme="minorHAnsi" w:cstheme="minorHAnsi"/>
          <w:sz w:val="22"/>
          <w:szCs w:val="22"/>
        </w:rPr>
        <w:t>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Wobec dłużnika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CE6F58">
        <w:rPr>
          <w:rFonts w:asciiTheme="minorHAnsi" w:hAnsiTheme="minorHAnsi" w:cstheme="minorHAnsi"/>
          <w:sz w:val="22"/>
          <w:szCs w:val="22"/>
        </w:rPr>
        <w:t xml:space="preserve"> [podmiot prawa handlowego], którego zaległości biegną od 2016 roku, po uzyskaniu wyroku sądu, prowadzona jest obecnie egzekucja komornicza.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 przypadku kolejnego dłużnika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CE6F58">
        <w:rPr>
          <w:rFonts w:asciiTheme="minorHAnsi" w:hAnsiTheme="minorHAnsi" w:cstheme="minorHAnsi"/>
          <w:sz w:val="22"/>
          <w:szCs w:val="22"/>
        </w:rPr>
        <w:t xml:space="preserve"> [podmiot prawa handlowego], po skierowaniu do dłużnika w maju 2021 roku wezwania do zapłaty, dokonał on częściowej spłaty zadłużenia; do marca 2022 roku wpłacono 24 250,82 zł.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Dłużnik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CE6F58">
        <w:rPr>
          <w:rFonts w:asciiTheme="minorHAnsi" w:hAnsiTheme="minorHAnsi" w:cstheme="minorHAnsi"/>
          <w:sz w:val="22"/>
          <w:szCs w:val="22"/>
        </w:rPr>
        <w:t xml:space="preserve"> [osoba fizyczna prowadząca działalność gospodarczą] złożył do Dzielnicy pismo z wypowiedzeniem umowy dzierżawy z uwagi na trudną sytuację materialną oraz wniosek o umorzenie zadłużenia wraz z odsetkami. Wniosek, zgodnie z § 8 pkt 2 lit. a) uchwały nr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LXXXIX/2643/2010 </w:t>
      </w:r>
      <w:r w:rsidRPr="00CE6F58">
        <w:rPr>
          <w:rFonts w:asciiTheme="minorHAnsi" w:hAnsiTheme="minorHAnsi" w:cstheme="minorHAnsi"/>
          <w:sz w:val="22"/>
          <w:szCs w:val="22"/>
        </w:rPr>
        <w:t>Rady m.st. Warszawy z dnia 9 września 2010 r.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CE6F58">
        <w:rPr>
          <w:rFonts w:asciiTheme="minorHAnsi" w:hAnsiTheme="minorHAnsi" w:cstheme="minorHAnsi"/>
          <w:sz w:val="22"/>
          <w:szCs w:val="22"/>
        </w:rPr>
        <w:t xml:space="preserve"> został przekazany do Biura Długu i Restrukturyzacji Wierzytelności Urzędu m.st. Warszawy. W grudniu 2021 roku poinformowano wnioskodawcę, że z uwagi na niedostarczenie koniecznych dokumentów, wniosek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>pozostawia się bez rozpatrzenia.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W przypadku prowadzenia przez Dzielnicę postępowań windykacyjnych wobec 2 dłużników [osoby fizyczne], ustalono, że w obu przypadkach istnieje ryzyko nieuzyskania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 </w:t>
      </w:r>
      <w:r w:rsidRPr="00CE6F58">
        <w:rPr>
          <w:rFonts w:asciiTheme="minorHAnsi" w:hAnsiTheme="minorHAnsi" w:cstheme="minorHAnsi"/>
          <w:sz w:val="22"/>
          <w:szCs w:val="22"/>
        </w:rPr>
        <w:t>przedawnienia roszczeń.</w:t>
      </w:r>
    </w:p>
    <w:p w:rsidR="008F4866" w:rsidRPr="00CE6F58" w:rsidRDefault="005A779E" w:rsidP="00CE6F58">
      <w:pPr>
        <w:pStyle w:val="Bodytext20"/>
        <w:shd w:val="clear" w:color="auto" w:fill="auto"/>
        <w:tabs>
          <w:tab w:val="left" w:pos="747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 wyniku postanowienia sądu o oddaleniu w 2008 roku wniosku F</w:t>
      </w:r>
      <w:r w:rsidRPr="00CE6F58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CE6F58">
        <w:rPr>
          <w:rFonts w:asciiTheme="minorHAnsi" w:hAnsiTheme="minorHAnsi" w:cstheme="minorHAnsi"/>
          <w:sz w:val="22"/>
          <w:szCs w:val="22"/>
        </w:rPr>
        <w:t>isiedzenie</w:t>
      </w:r>
      <w:proofErr w:type="spellEnd"/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działki, w czerwcu 2010 roku został złożony przeciwko dłużnikowi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CE6F58">
        <w:rPr>
          <w:rFonts w:asciiTheme="minorHAnsi" w:hAnsiTheme="minorHAnsi" w:cstheme="minorHAnsi"/>
          <w:sz w:val="22"/>
          <w:szCs w:val="22"/>
        </w:rPr>
        <w:t xml:space="preserve"> pozew o wydanie nieruchomości oraz zapłatę kwoty zadłużenia za bezumowne korzystanie z gruntu. Z akt sprawy wynika, że w 2014 roku córka dłużników złożyła wniosek do sądu o stwierdzenie zasiedzenia przedmiotowej nieruchomości. Postanowieniem z lutego 2017 roku sąd oddalił wniosek Dzielnicy o wydanie nieruchomości, z uwagi na prowadzone postępowanie o zasiedzenie nieruchomości. Z uzasadnienia sądu wynika, iż bieg postępowania w przedmiotowej sprawie zależny jest od wyniku postępowania o zasiedzenie, a to postępowanie nie zostało zakończone. Zgodnie ze złożonymi wyjaśnieniami:</w:t>
      </w:r>
      <w:r w:rsidR="005B68BA">
        <w:rPr>
          <w:rFonts w:asciiTheme="minorHAnsi" w:hAnsiTheme="minorHAnsi" w:cstheme="minorHAnsi"/>
          <w:sz w:val="22"/>
          <w:szCs w:val="22"/>
        </w:rPr>
        <w:t xml:space="preserve"> </w:t>
      </w:r>
      <w:r w:rsidRPr="00CE6F58">
        <w:rPr>
          <w:rFonts w:asciiTheme="minorHAnsi" w:hAnsiTheme="minorHAnsi" w:cstheme="minorHAnsi"/>
          <w:sz w:val="22"/>
          <w:szCs w:val="22"/>
        </w:rPr>
        <w:t>„(..) W dniu 12.04.2022 r. planowane jest wydanie wyroku w sprawie o zasiedzenie". Zauważyć należy, że działania Dzielnicy w tej sprawie były opieszałe, wskutek czego nie doprowadzono do wydania nieruchomości przez korzystających.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 przypadku kolejnego dłużnika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CE6F58">
        <w:rPr>
          <w:rFonts w:asciiTheme="minorHAnsi" w:hAnsiTheme="minorHAnsi" w:cstheme="minorHAnsi"/>
          <w:sz w:val="22"/>
          <w:szCs w:val="22"/>
        </w:rPr>
        <w:t xml:space="preserve">, w aktach sprawy znajduje się wyrok sądu z września 2011 roku o zapłatę należności oraz wydanie nieruchomości, jak również Postanowienie z kwietnia 2016 roku o umorzeniu egzekucji komorniczej w przedmiocie świadczenia pieniężnego z mocy 823 </w:t>
      </w:r>
      <w:proofErr w:type="spellStart"/>
      <w:r w:rsidRPr="00CE6F58">
        <w:rPr>
          <w:rFonts w:asciiTheme="minorHAnsi" w:hAnsiTheme="minorHAnsi" w:cstheme="minorHAnsi"/>
          <w:sz w:val="22"/>
          <w:szCs w:val="22"/>
        </w:rPr>
        <w:t>kpc</w:t>
      </w:r>
      <w:proofErr w:type="spellEnd"/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CE6F58">
        <w:rPr>
          <w:rFonts w:asciiTheme="minorHAnsi" w:hAnsiTheme="minorHAnsi" w:cstheme="minorHAnsi"/>
          <w:sz w:val="22"/>
          <w:szCs w:val="22"/>
        </w:rPr>
        <w:t xml:space="preserve"> tj. faktu, że wierzyciel w ciągu roku nie dokonał czynności potrzebnych do dalszego prowadzenia postępowania. Zgodnie z wydaną opinią przez Radcę Prawnego Wydziału Prawnego i Kadr dla Dzielnicy przedawnienie roszczenia nastąpi z dniem 31 grudnia 2024 r. Również w tym przypadku należy ocenić, że wskutek nie podejmowania czynności przez Dzielnicę, zachodzi ryzyko przedawnienia roszczenia.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 2021 roku Dzielnica dokonała odpisu przedawnionych należności na łączną kwotę 40418,58 zł, w tym wobec 1 podmiotu należności z tytułu dzierżawy gruntu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CE6F58">
        <w:rPr>
          <w:rFonts w:asciiTheme="minorHAnsi" w:hAnsiTheme="minorHAnsi" w:cstheme="minorHAnsi"/>
          <w:sz w:val="22"/>
          <w:szCs w:val="22"/>
        </w:rPr>
        <w:t xml:space="preserve"> oraz wobec 2 osób fizycznych należności za użytkowanie wieczyste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CE6F58">
        <w:rPr>
          <w:rFonts w:asciiTheme="minorHAnsi" w:hAnsiTheme="minorHAnsi" w:cstheme="minorHAnsi"/>
          <w:sz w:val="22"/>
          <w:szCs w:val="22"/>
        </w:rPr>
        <w:t>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W prowadzonym „Rejestrze wniosków o udzielenie ulgi" ujęto łącznie 12 spraw związanych z udzieleniem ulg w spłacie należności cywilnoprawnych, w tym 8 w związku z wnioskami złożonymi przez osoby fizyczne, 3 wnioski złożone zostały przez podmioty gospodarcze, natomiast 1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 xml:space="preserve">postępowanie prowadzono z urzędu, działając na podstawie § 3 pkt 2 uchwały nr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LXXXIX/2643/2010 </w:t>
      </w:r>
      <w:r w:rsidRPr="00CE6F58">
        <w:rPr>
          <w:rFonts w:asciiTheme="minorHAnsi" w:hAnsiTheme="minorHAnsi" w:cstheme="minorHAnsi"/>
          <w:sz w:val="22"/>
          <w:szCs w:val="22"/>
        </w:rPr>
        <w:t>Rady m.st. Warszawy z dnia 9 września 2010 r.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Ustalono, że pozytywnie rozpatrzonych zostało łącznie 6 wniosków, w związku z czym zawarto umowy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CE6F58">
        <w:rPr>
          <w:rFonts w:asciiTheme="minorHAnsi" w:hAnsiTheme="minorHAnsi" w:cstheme="minorHAnsi"/>
          <w:sz w:val="22"/>
          <w:szCs w:val="22"/>
        </w:rPr>
        <w:t xml:space="preserve"> ustalająca zasady i warunki spłaty zadłużenia; pozostawiono bez rozpatrzenia 5 wniosków ze względu na nieuzupełnienie przez wnioskodawców braków formalnych.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Dzielnica zwróciła się we wrześniu 2021 roku z wnioskiem do Biura Długu i Restrukturyzacji Wierzytelności m.st. Warszawy o umorzenie z urzędu zaległości z tytułu pierwszej opłaty oraz opłaty rocznej wraz z należnymi odsetkami za użytkowanie wieczyste nieruchomości gruntowej, na łączną kwotę 392 380,16 zł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CE6F58">
        <w:rPr>
          <w:rFonts w:asciiTheme="minorHAnsi" w:hAnsiTheme="minorHAnsi" w:cstheme="minorHAnsi"/>
          <w:sz w:val="22"/>
          <w:szCs w:val="22"/>
        </w:rPr>
        <w:t>, w związku z wykreśleniem dłużnika (podmiot gospodarczy) z Krajowego Rejestru Sądowego (KRS) przy jednoczesnym braku majątku, z którego można by egzekwować należność, a odpowiedzialność z tytułu należności nie przechodzi z mocy prawa na osoby trzecie.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Na podstawie dokumentacji sprawy ustalono, że Dzielnica w 2013 roku podjęła kroki prawne celem otrzymania kwoty roszczenia, zgłaszając - na podstawie uzyskanego nakazu zapłaty - roszczenie Syndykowi masy upadłościowej zadłużonego podmiotu gospodarczego. Postępowanie upadłościowe zakończone zostało 15 września 2015 r.</w:t>
      </w:r>
      <w:r w:rsidRPr="00CE6F58">
        <w:rPr>
          <w:rFonts w:asciiTheme="minorHAnsi" w:hAnsiTheme="minorHAnsi" w:cstheme="minorHAnsi"/>
          <w:sz w:val="22"/>
          <w:szCs w:val="22"/>
          <w:vertAlign w:val="subscript"/>
        </w:rPr>
        <w:t>;</w:t>
      </w:r>
      <w:r w:rsidRPr="00CE6F58">
        <w:rPr>
          <w:rFonts w:asciiTheme="minorHAnsi" w:hAnsiTheme="minorHAnsi" w:cstheme="minorHAnsi"/>
          <w:sz w:val="22"/>
          <w:szCs w:val="22"/>
        </w:rPr>
        <w:t xml:space="preserve"> a przedmiotowe wierzytelności m.st. Warszawy zaliczone zostały do grupy IV. Postanowieniem z 9 marca 2016 r. sąd uchylił nakaz zapłaty uzyskany przez m.st. Warszawa i umorzył prowadzone postępowanie o zapłatę.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Z wyjaśnień złożonych w sprawie przekazania wniosku o umorzenie wierzytelności z urzędu do Biura Długu i Restrukturyzacji Wierzytelności po 5 latach od podjęcia informacji o bezskuteczności roszczenia wynika, że należność ujawniono w wyniku przygotowywania dokumentów do archiwizacji. Ocenić należy, że działania Dzielnicy w tej sprawie mogą wskazywać na brak pełnej staranności w realizacji nałożonych na komórki merytoryczne Dzielnicy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CE6F58">
        <w:rPr>
          <w:rFonts w:asciiTheme="minorHAnsi" w:hAnsiTheme="minorHAnsi" w:cstheme="minorHAnsi"/>
          <w:sz w:val="22"/>
          <w:szCs w:val="22"/>
        </w:rPr>
        <w:t xml:space="preserve"> obowiązków określonych w Regulaminie organizacyjnym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6"/>
      </w:r>
      <w:r w:rsidRPr="00CE6F58">
        <w:rPr>
          <w:rFonts w:asciiTheme="minorHAnsi" w:hAnsiTheme="minorHAnsi" w:cstheme="minorHAnsi"/>
          <w:sz w:val="22"/>
          <w:szCs w:val="22"/>
        </w:rPr>
        <w:t xml:space="preserve">, w szczególności w zakresie przepływu informacji oraz analizy danych o stanie zadłużenia z tytułu pierwszej opłaty oraz opłaty rocznej za użytkowanie wieczyste nieruchomości gruntowej. Wskazać należy, że zgodnie z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F58">
        <w:rPr>
          <w:rFonts w:asciiTheme="minorHAnsi" w:hAnsiTheme="minorHAnsi" w:cstheme="minorHAnsi"/>
          <w:sz w:val="22"/>
          <w:szCs w:val="22"/>
        </w:rPr>
        <w:t xml:space="preserve">26 ust. 1 pkt 3 ustawy z dnia 29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>września 1994 r. o rachunkowości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7"/>
      </w:r>
      <w:r w:rsidRPr="00CE6F58">
        <w:rPr>
          <w:rFonts w:asciiTheme="minorHAnsi" w:hAnsiTheme="minorHAnsi" w:cstheme="minorHAnsi"/>
          <w:sz w:val="22"/>
          <w:szCs w:val="22"/>
        </w:rPr>
        <w:t xml:space="preserve"> jednostki są obowiązane na ostatni dzień każdego roku obrotowego dokonać inwentaryzacji należności spornych i wątpliwych drogą porównania danych ksiąg rachunkowych z odpowiednimi dokumentami, tj. pozostającymi w komórce merytorycznej, odpowiedzialnej na prowadzenie spraw związanych z użytkowaniem wieczystym nieruchomości gruntowej. Zatem uzgadnianie sald dłużników winno być impulsem do podjęcia działań w celu bieżącego wyjaśniania spraw powstałych zaległości. Dodatkowo należy wskazać, że stosownie do postanowień Regulaminów windykacji należności m.st. Warszawy w Urzędzie m.st. Warszawy, w tym w urzędach dzielnic m.st. Warszawy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8"/>
      </w:r>
      <w:r w:rsidRPr="00CE6F58">
        <w:rPr>
          <w:rFonts w:asciiTheme="minorHAnsi" w:hAnsiTheme="minorHAnsi" w:cstheme="minorHAnsi"/>
          <w:sz w:val="22"/>
          <w:szCs w:val="22"/>
        </w:rPr>
        <w:t xml:space="preserve">: „Windykacja winna się odbywać terminowo, aby nie dopuścić do przedawnienia należności". Ponadto stosownie do postanowień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1613/2011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 11 października 2011 r.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29"/>
      </w:r>
      <w:r w:rsidRPr="00CE6F58">
        <w:rPr>
          <w:rFonts w:asciiTheme="minorHAnsi" w:hAnsiTheme="minorHAnsi" w:cstheme="minorHAnsi"/>
          <w:sz w:val="22"/>
          <w:szCs w:val="22"/>
        </w:rPr>
        <w:t>, Dzielnica winna zapewnić realizację celów kontroli zarządczej, w tym określonych w § 4 pkt 1-2 oraz 5-6</w:t>
      </w:r>
      <w:r w:rsidRPr="00CE6F58">
        <w:rPr>
          <w:rFonts w:asciiTheme="minorHAnsi" w:hAnsiTheme="minorHAnsi" w:cstheme="minorHAnsi"/>
          <w:sz w:val="22"/>
          <w:szCs w:val="22"/>
          <w:vertAlign w:val="superscript"/>
        </w:rPr>
        <w:footnoteReference w:id="30"/>
      </w:r>
      <w:r w:rsidRPr="00CE6F58">
        <w:rPr>
          <w:rFonts w:asciiTheme="minorHAnsi" w:hAnsiTheme="minorHAnsi" w:cstheme="minorHAnsi"/>
          <w:sz w:val="22"/>
          <w:szCs w:val="22"/>
        </w:rPr>
        <w:t>, natomiast w ww. opisanym przypadku doszło do zaburzenia skutecznej realizacji tych celów, co finalnie skutkowało powstaniem zaległości oraz wydłużonym czasem przekazania wniosku o umorzenie wierzytelności zgodnie z właściwością.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Ustalono, że należności dochodzone na drodze postępowania sądowego ewidencjonowane były na wyodrębnionym koncie księgowym. Odsetki w przypadku należności, co do których udzielono ulg, naliczane są do dnia złożenia wniosku, a spłatę ewidencjonowano na analitycznym koncie dłużnika.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W przypadku pozostałych nieuregulowanych należności cywilnoprawnych odsetki są naliczane i ujmowane raz na kwartał w księgach rachunkowych pod datą ostatniego dnia kwartału.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8F4866" w:rsidRPr="00CE6F58" w:rsidRDefault="005A779E" w:rsidP="005B68BA">
      <w:pPr>
        <w:pStyle w:val="Bodytext20"/>
        <w:numPr>
          <w:ilvl w:val="0"/>
          <w:numId w:val="2"/>
        </w:numPr>
        <w:shd w:val="clear" w:color="auto" w:fill="auto"/>
        <w:tabs>
          <w:tab w:val="left" w:pos="284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Dołożyć staranności w zakresie dochowania terminów dla prowadzonych poszczególnych etapów postępowań windykacyjnych zaległych należności, stosownie do postanowień określonych w załączniku do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1618/2017 </w:t>
      </w:r>
      <w:r w:rsidRPr="00CE6F58">
        <w:rPr>
          <w:rFonts w:asciiTheme="minorHAnsi" w:hAnsiTheme="minorHAnsi" w:cstheme="minorHAnsi"/>
          <w:sz w:val="22"/>
          <w:szCs w:val="22"/>
        </w:rPr>
        <w:t>Prezydenta m.st. Warszawy z dnia</w:t>
      </w:r>
      <w:r w:rsidR="00CE6F58">
        <w:rPr>
          <w:rFonts w:asciiTheme="minorHAnsi" w:hAnsiTheme="minorHAnsi" w:cstheme="minorHAnsi"/>
          <w:sz w:val="22"/>
          <w:szCs w:val="22"/>
        </w:rPr>
        <w:t xml:space="preserve"> </w:t>
      </w:r>
      <w:r w:rsidRPr="00CE6F58">
        <w:rPr>
          <w:rFonts w:asciiTheme="minorHAnsi" w:hAnsiTheme="minorHAnsi" w:cstheme="minorHAnsi"/>
          <w:sz w:val="22"/>
          <w:szCs w:val="22"/>
        </w:rPr>
        <w:t xml:space="preserve">3 października 2017 r. w sprawie wprowadzenia Regulaminu windykacji należności m.st. Warszawy w Urzędzie m.st. Warszawy, w tym w urzędach dzielnic m.st. Warszawy (ze zm.), w </w:t>
      </w:r>
      <w:r w:rsidRPr="00CE6F58">
        <w:rPr>
          <w:rFonts w:asciiTheme="minorHAnsi" w:hAnsiTheme="minorHAnsi" w:cstheme="minorHAnsi"/>
          <w:sz w:val="22"/>
          <w:szCs w:val="22"/>
        </w:rPr>
        <w:lastRenderedPageBreak/>
        <w:t>szczególności mając na względzie właściwego zabezpieczenia interesów m.st. Warszawy w zakresie odzyskiwania należności.</w:t>
      </w:r>
    </w:p>
    <w:p w:rsidR="008F4866" w:rsidRPr="005B68BA" w:rsidRDefault="005A779E" w:rsidP="005B68BA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Uwzględniając </w:t>
      </w:r>
      <w:r w:rsidRPr="00CE6F5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F58">
        <w:rPr>
          <w:rFonts w:asciiTheme="minorHAnsi" w:hAnsiTheme="minorHAnsi" w:cstheme="minorHAnsi"/>
          <w:sz w:val="22"/>
          <w:szCs w:val="22"/>
        </w:rPr>
        <w:t>35b ustawy o rachunkowości, dołożyć staranności w prowadzeniu na bieżąco spraw związanych z dokonywaniem odpisywania z ksiąg rachunkowych należności osób prawnych, które zostały wykreślone z właściwego rejestru osób prawnych przy jednoczesnym braku majątku, z którego można by egzekwować należność, a odpowiedzialność z tytułu należności nie przechodzi z mocy prawa na osoby trzecie, które zgodnie z definicją określoną</w:t>
      </w:r>
      <w:r w:rsidR="005B68BA">
        <w:rPr>
          <w:rFonts w:asciiTheme="minorHAnsi" w:hAnsiTheme="minorHAnsi" w:cstheme="minorHAnsi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sz w:val="22"/>
          <w:szCs w:val="22"/>
        </w:rPr>
        <w:t xml:space="preserve">w </w:t>
      </w:r>
      <w:r w:rsidRPr="005B68B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5B68BA">
        <w:rPr>
          <w:rFonts w:asciiTheme="minorHAnsi" w:hAnsiTheme="minorHAnsi" w:cstheme="minorHAnsi"/>
          <w:sz w:val="22"/>
          <w:szCs w:val="22"/>
        </w:rPr>
        <w:t>3 ust. 1 pkt 12 ustawy o rachunkowości, nie stanowią aktywów jednostki.</w:t>
      </w:r>
    </w:p>
    <w:p w:rsidR="008F4866" w:rsidRPr="005B68BA" w:rsidRDefault="005A779E" w:rsidP="005B68BA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</w:tabs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Mając na uwadze postanowienia § 7 pkt 1 i pkt 5 - 6, § 8 pkt 1 -2 i pkt 4, w związku z § 4 pkt 1-2, pkt 5-6 zarządzenia nr </w:t>
      </w:r>
      <w:r w:rsidRPr="00CE6F5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1613/2011 </w:t>
      </w:r>
      <w:r w:rsidRPr="00CE6F58">
        <w:rPr>
          <w:rFonts w:asciiTheme="minorHAnsi" w:hAnsiTheme="minorHAnsi" w:cstheme="minorHAnsi"/>
          <w:sz w:val="22"/>
          <w:szCs w:val="22"/>
        </w:rPr>
        <w:t>Prezydenta m.s.t. Warszawy z dnia 11 października 2011 r.</w:t>
      </w:r>
      <w:r w:rsidR="005B68BA">
        <w:rPr>
          <w:rFonts w:asciiTheme="minorHAnsi" w:hAnsiTheme="minorHAnsi" w:cstheme="minorHAnsi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sz w:val="22"/>
          <w:szCs w:val="22"/>
        </w:rPr>
        <w:t>w sprawie zasad funkcjonowania kontroli zarządczej w mieście stołecznym Warszawie (ze zm.) przyjąć skuteczne rozwiązania organizacyjne w Dzielnicy, celem zapobieżeniu powstawaniu przedawnień należności. Zwiększyć efektywność współpracy pomiędzy komórkami organizacyjnymi realizującymi zadania z obszaru objętego kontrolą.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Burmistrza w terminie nie dłuższym niż 30 dni od dnia doręczenia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CE6F58" w:rsidRPr="00CE6F58" w:rsidRDefault="00CE6F58" w:rsidP="00CE6F58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CE6F58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CE6F58" w:rsidRPr="00CE6F58" w:rsidRDefault="00CE6F58" w:rsidP="00CE6F58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CE6F58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8F4866" w:rsidRPr="00CE6F58" w:rsidRDefault="005A779E" w:rsidP="00CE6F58">
      <w:pPr>
        <w:pStyle w:val="Bodytext20"/>
        <w:shd w:val="clear" w:color="auto" w:fill="auto"/>
        <w:spacing w:before="120" w:after="240" w:line="300" w:lineRule="auto"/>
        <w:ind w:left="420" w:hanging="420"/>
        <w:rPr>
          <w:rFonts w:asciiTheme="minorHAnsi" w:hAnsiTheme="minorHAnsi" w:cstheme="minorHAnsi"/>
          <w:sz w:val="22"/>
          <w:szCs w:val="22"/>
        </w:rPr>
      </w:pPr>
      <w:r w:rsidRPr="00CE6F58">
        <w:rPr>
          <w:rFonts w:asciiTheme="minorHAnsi" w:hAnsiTheme="minorHAnsi" w:cstheme="minorHAnsi"/>
          <w:sz w:val="22"/>
          <w:szCs w:val="22"/>
        </w:rPr>
        <w:t xml:space="preserve">Pan Mirosław </w:t>
      </w:r>
      <w:r w:rsidR="001D736A" w:rsidRPr="00CE6F58">
        <w:rPr>
          <w:rFonts w:asciiTheme="minorHAnsi" w:hAnsiTheme="minorHAnsi" w:cstheme="minorHAnsi"/>
          <w:sz w:val="22"/>
          <w:szCs w:val="22"/>
        </w:rPr>
        <w:t>Czekaj - Skarbnik m.st. Warszaw</w:t>
      </w:r>
    </w:p>
    <w:sectPr w:rsidR="008F4866" w:rsidRPr="00CE6F58" w:rsidSect="00FA6A8E">
      <w:footerReference w:type="default" r:id="rId7"/>
      <w:headerReference w:type="first" r:id="rId8"/>
      <w:footerReference w:type="first" r:id="rId9"/>
      <w:pgSz w:w="11900" w:h="16840"/>
      <w:pgMar w:top="1165" w:right="1450" w:bottom="1721" w:left="159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79E" w:rsidRDefault="005A779E">
      <w:r>
        <w:separator/>
      </w:r>
    </w:p>
  </w:endnote>
  <w:endnote w:type="continuationSeparator" w:id="0">
    <w:p w:rsidR="005A779E" w:rsidRDefault="005A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269035"/>
      <w:docPartObj>
        <w:docPartGallery w:val="Page Numbers (Bottom of Page)"/>
        <w:docPartUnique/>
      </w:docPartObj>
    </w:sdtPr>
    <w:sdtEndPr/>
    <w:sdtContent>
      <w:p w:rsidR="00CE6F58" w:rsidRDefault="00CE6F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D1C">
          <w:rPr>
            <w:noProof/>
          </w:rPr>
          <w:t>4</w:t>
        </w:r>
        <w:r>
          <w:fldChar w:fldCharType="end"/>
        </w:r>
      </w:p>
    </w:sdtContent>
  </w:sdt>
  <w:p w:rsidR="008F4866" w:rsidRDefault="008F486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2044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05D1C" w:rsidRPr="00C05D1C" w:rsidRDefault="00C05D1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05D1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05D1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05D1C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C05D1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05D1C" w:rsidRDefault="00C05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79E" w:rsidRDefault="005A779E">
      <w:r>
        <w:separator/>
      </w:r>
    </w:p>
  </w:footnote>
  <w:footnote w:type="continuationSeparator" w:id="0">
    <w:p w:rsidR="005A779E" w:rsidRDefault="005A779E">
      <w:r>
        <w:continuationSeparator/>
      </w:r>
    </w:p>
  </w:footnote>
  <w:footnote w:id="1">
    <w:p w:rsidR="008F4866" w:rsidRPr="005B68BA" w:rsidRDefault="005A779E" w:rsidP="00C05D1C">
      <w:pPr>
        <w:pStyle w:val="Footnote10"/>
        <w:pBdr>
          <w:top w:val="single" w:sz="4" w:space="1" w:color="auto"/>
        </w:pBdr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Dz. U. z 2018 r. poz. 1817.</w:t>
      </w:r>
    </w:p>
  </w:footnote>
  <w:footnote w:id="2">
    <w:p w:rsidR="008F4866" w:rsidRPr="005B68BA" w:rsidRDefault="005A779E" w:rsidP="00C05D1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58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LXX/2182/2010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Rady m.st. Warszawy z dnia 14 stycznia 2010 r. w sprawie nadania statutów dzielnicom miasta stołecznego Warszawy (ze zm.).</w:t>
      </w:r>
    </w:p>
  </w:footnote>
  <w:footnote w:id="3">
    <w:p w:rsidR="008F4866" w:rsidRPr="005B68BA" w:rsidRDefault="005A779E" w:rsidP="00C05D1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Załączniki nr 3 i nr 5.</w:t>
      </w:r>
    </w:p>
  </w:footnote>
  <w:footnote w:id="4">
    <w:p w:rsidR="008F4866" w:rsidRPr="005B68BA" w:rsidRDefault="005A779E" w:rsidP="00C05D1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24/2019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Prezydenta m.st. Warszawy z dnia 9 stycznia 2019 r. w sprawie nadania wewnętrznego regulaminu organizacyjnego Urzędu Dzielnicy Wawer Miasta Stołecznego Warszawy w Urzędzie Miasta Stołecznego Warszawy.</w:t>
      </w:r>
    </w:p>
  </w:footnote>
  <w:footnote w:id="5">
    <w:p w:rsidR="008F4866" w:rsidRPr="005B68BA" w:rsidRDefault="005A779E" w:rsidP="00C05D1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kategoria: „Transport i łączność -Drogi publiczne", „Gospodarka mieszkaniowa - Gospodarowanie gruntami</w:t>
      </w:r>
    </w:p>
  </w:footnote>
  <w:footnote w:id="6">
    <w:p w:rsidR="008F4866" w:rsidRPr="005B68BA" w:rsidRDefault="005A779E" w:rsidP="00C05D1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88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</w:rPr>
        <w:t>i nieruchomościami (najem, dzierżawa, użytkowanie wieczyste nieruchomości, przekształcenie prawa wieczystego w prawo własności), „Administracja publiczna- różne wpływ/'</w:t>
      </w:r>
    </w:p>
  </w:footnote>
  <w:footnote w:id="7">
    <w:p w:rsidR="008F4866" w:rsidRPr="005B68BA" w:rsidRDefault="005A779E" w:rsidP="00C05D1C">
      <w:pPr>
        <w:pStyle w:val="Footnote1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 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1618/2017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3 października 2017 r. w sprawie</w:t>
      </w:r>
    </w:p>
  </w:footnote>
  <w:footnote w:id="8">
    <w:p w:rsidR="008F4866" w:rsidRPr="005B68BA" w:rsidRDefault="005A779E" w:rsidP="00C05D1C">
      <w:pPr>
        <w:pStyle w:val="Footnote10"/>
        <w:shd w:val="clear" w:color="auto" w:fill="auto"/>
        <w:spacing w:before="120" w:after="240" w:line="300" w:lineRule="auto"/>
        <w:ind w:right="96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wprowadzenia Regulaminu windykacji należności m.st. Warszawy w Urzędzie m.st. Warszawy, w tym w urzędach dzielnic m.st. Warszawy (ze zm.) </w:t>
      </w:r>
      <w:r w:rsidRPr="005B68BA">
        <w:rPr>
          <w:rStyle w:val="Footnote17ptNotBold"/>
          <w:rFonts w:asciiTheme="minorHAnsi" w:hAnsiTheme="minorHAnsi" w:cstheme="minorHAnsi"/>
          <w:sz w:val="22"/>
          <w:szCs w:val="22"/>
        </w:rPr>
        <w:t>s</w:t>
      </w:r>
    </w:p>
  </w:footnote>
  <w:footnote w:id="9">
    <w:p w:rsidR="008F4866" w:rsidRPr="005B68BA" w:rsidRDefault="005A779E" w:rsidP="00C05D1C">
      <w:pPr>
        <w:pStyle w:val="Footnote2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B68BA">
        <w:rPr>
          <w:rFonts w:asciiTheme="minorHAnsi" w:hAnsiTheme="minorHAnsi" w:cstheme="minorHAnsi"/>
          <w:sz w:val="22"/>
          <w:szCs w:val="22"/>
        </w:rPr>
        <w:footnoteRef/>
      </w:r>
    </w:p>
  </w:footnote>
  <w:footnote w:id="10">
    <w:p w:rsidR="008F4866" w:rsidRPr="005B68BA" w:rsidRDefault="005A779E" w:rsidP="00C05D1C">
      <w:pPr>
        <w:pStyle w:val="Footnote1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  <w:lang w:val="de-DE" w:eastAsia="de-DE" w:bidi="de-DE"/>
        </w:rPr>
        <w:t>1Ü</w:t>
      </w:r>
      <w:r w:rsidRPr="005B68BA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kwoty nieuregulowania przez </w:t>
      </w:r>
      <w:proofErr w:type="spellStart"/>
      <w:r w:rsidRPr="005B68BA">
        <w:rPr>
          <w:rFonts w:asciiTheme="minorHAnsi" w:hAnsiTheme="minorHAnsi" w:cstheme="minorHAnsi"/>
          <w:b w:val="0"/>
          <w:sz w:val="22"/>
          <w:szCs w:val="22"/>
        </w:rPr>
        <w:t>wyKonawu</w:t>
      </w:r>
      <w:proofErr w:type="spellEnd"/>
      <w:r w:rsidRPr="005B68BA">
        <w:rPr>
          <w:rFonts w:asciiTheme="minorHAnsi" w:hAnsiTheme="minorHAnsi" w:cstheme="minorHAnsi"/>
          <w:b w:val="0"/>
          <w:sz w:val="22"/>
          <w:szCs w:val="22"/>
        </w:rPr>
        <w:t>; należności wobec podwykonawcy zadania.</w:t>
      </w:r>
    </w:p>
  </w:footnote>
  <w:footnote w:id="11">
    <w:p w:rsidR="008F4866" w:rsidRPr="005B68BA" w:rsidRDefault="005A779E" w:rsidP="00C05D1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Konto wymiarowe 674, kwota zadłużenia wraz z odsetkami na 31 grudnia 2021 r. wynosiła 30 193,74 zł.</w:t>
      </w:r>
    </w:p>
  </w:footnote>
  <w:footnote w:id="12">
    <w:p w:rsidR="008F4866" w:rsidRPr="005B68BA" w:rsidRDefault="005A779E" w:rsidP="00C05D1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Dz. U. z 2020 r. poz. 1740 ze zm.</w:t>
      </w:r>
    </w:p>
  </w:footnote>
  <w:footnote w:id="13">
    <w:p w:rsidR="008F4866" w:rsidRPr="005B68BA" w:rsidRDefault="005A779E" w:rsidP="00C05D1C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Dz. U. z 2020 r. </w:t>
      </w:r>
      <w:r w:rsidRPr="005B68BA">
        <w:rPr>
          <w:rStyle w:val="Footnote165ptNotBold"/>
          <w:rFonts w:asciiTheme="minorHAnsi" w:hAnsiTheme="minorHAnsi" w:cstheme="minorHAnsi"/>
          <w:sz w:val="22"/>
          <w:szCs w:val="22"/>
        </w:rPr>
        <w:t xml:space="preserve">DOZ.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1526 ze zm.</w:t>
      </w:r>
    </w:p>
  </w:footnote>
  <w:footnote w:id="14">
    <w:p w:rsidR="008F4866" w:rsidRPr="005B68BA" w:rsidRDefault="005A779E" w:rsidP="00C05D1C">
      <w:pPr>
        <w:pStyle w:val="Footnote10"/>
        <w:shd w:val="clear" w:color="auto" w:fill="auto"/>
        <w:tabs>
          <w:tab w:val="left" w:pos="1760"/>
          <w:tab w:val="left" w:pos="2626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5B68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kwota zadłużenia wraz z odsetkami na 31 grudnia 2021 r. wynosiła</w:t>
      </w:r>
    </w:p>
    <w:p w:rsidR="008F4866" w:rsidRPr="005B68BA" w:rsidRDefault="005A779E" w:rsidP="00C05D1C">
      <w:pPr>
        <w:pStyle w:val="Footnote1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</w:rPr>
        <w:t>358 855,67 zł.</w:t>
      </w:r>
    </w:p>
  </w:footnote>
  <w:footnote w:id="15">
    <w:p w:rsidR="008F4866" w:rsidRPr="005B68BA" w:rsidRDefault="005A779E" w:rsidP="00C05D1C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Konto wymiarowe 3024, kwota zadłużenia wraz z odsetkami na 31 grudnia 2021 r. wynosiła 83 609,86 zł.</w:t>
      </w:r>
    </w:p>
  </w:footnote>
  <w:footnote w:id="16">
    <w:p w:rsidR="008F4866" w:rsidRPr="005B68BA" w:rsidRDefault="005A779E" w:rsidP="00C05D1C">
      <w:pPr>
        <w:pStyle w:val="Footnote10"/>
        <w:shd w:val="clear" w:color="auto" w:fill="auto"/>
        <w:tabs>
          <w:tab w:val="left" w:pos="2626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5B68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zadłużenia wraz z odsetkami na 31 grudnia 2021 r. wynosiła 52 664,08 zł.</w:t>
      </w:r>
    </w:p>
  </w:footnote>
  <w:footnote w:id="17">
    <w:p w:rsidR="008F4866" w:rsidRPr="005B68BA" w:rsidRDefault="005A779E" w:rsidP="00C05D1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right="56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LXXXIX/2643/2010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Rady m.st. Warszawy z dnia 9 września 2010 r. w sprawie szczegółowych zasad, sposobu i trybu udzielania ulg w spłacie należności o charakterze cywilnoprawnym oraz określenia warunków dopuszczalności pomocy publicznej (ze zm.).</w:t>
      </w:r>
    </w:p>
  </w:footnote>
  <w:footnote w:id="18">
    <w:p w:rsidR="008F4866" w:rsidRPr="005B68BA" w:rsidRDefault="005A779E" w:rsidP="00C05D1C">
      <w:pPr>
        <w:pStyle w:val="Footnote10"/>
        <w:shd w:val="clear" w:color="auto" w:fill="auto"/>
        <w:tabs>
          <w:tab w:val="left" w:pos="2107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5B68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kwota zadłużenia wraz z odsetkami na 31 grudnia 2021 r. wynosiła 44 312,64 zł.</w:t>
      </w:r>
    </w:p>
  </w:footnote>
  <w:footnote w:id="19">
    <w:p w:rsidR="008F4866" w:rsidRPr="005B68BA" w:rsidRDefault="005A779E" w:rsidP="00C05D1C">
      <w:pPr>
        <w:pStyle w:val="Footnote10"/>
        <w:shd w:val="clear" w:color="auto" w:fill="auto"/>
        <w:tabs>
          <w:tab w:val="left" w:pos="163"/>
          <w:tab w:val="left" w:pos="208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5B68BA">
        <w:rPr>
          <w:rFonts w:asciiTheme="minorHAnsi" w:hAnsiTheme="minorHAnsi" w:cstheme="minorHAnsi"/>
          <w:b w:val="0"/>
          <w:sz w:val="22"/>
          <w:szCs w:val="22"/>
        </w:rPr>
        <w:t xml:space="preserve"> k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wota zadłużenia wraz z odsetkami na 31 grudnia 2021 r. wynosiła 231 983,88 zł.</w:t>
      </w:r>
    </w:p>
  </w:footnote>
  <w:footnote w:id="20">
    <w:p w:rsidR="008F4866" w:rsidRPr="005B68BA" w:rsidRDefault="005A779E" w:rsidP="00C05D1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144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Art. 823 ustawy z dnia 17 listopada 1964 r. Kodeks postępowania cywilnego został uchylony z dniem 8 września 2016 r.</w:t>
      </w:r>
    </w:p>
  </w:footnote>
  <w:footnote w:id="21">
    <w:p w:rsidR="008F4866" w:rsidRPr="005B68BA" w:rsidRDefault="005A779E" w:rsidP="00C05D1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Kwota łączna 30 347,59 zł, w tym odsetki 21 261,43 zł - roszczenie należności głównej za 2001 rok.</w:t>
      </w:r>
    </w:p>
  </w:footnote>
  <w:footnote w:id="22">
    <w:p w:rsidR="008F4866" w:rsidRPr="005B68BA" w:rsidRDefault="005A779E" w:rsidP="00C05D1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Kwota łączna 10 070,99 zł, w tym odsetki 3 677,30 zł - roszczenie należności głównej za lata 2009-2016.</w:t>
      </w:r>
    </w:p>
  </w:footnote>
  <w:footnote w:id="23">
    <w:p w:rsidR="008F4866" w:rsidRPr="005B68BA" w:rsidRDefault="005A779E" w:rsidP="00C05D1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w tym przedsiębiorcy udzielono ulgi stanowiącej pomoc de </w:t>
      </w:r>
      <w:proofErr w:type="spellStart"/>
      <w:r w:rsidRPr="005B68BA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minimis</w:t>
      </w:r>
      <w:proofErr w:type="spellEnd"/>
      <w:r w:rsidRPr="005B68BA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- wniosek o udzielenie ulgi przekazany był do Biura Długu i Restrukturyzacji Wierzytelności m.st. Warszawy zgodnie z § 8 pkt 2 lit. a ww. uchwały.</w:t>
      </w:r>
    </w:p>
  </w:footnote>
  <w:footnote w:id="24">
    <w:p w:rsidR="008F4866" w:rsidRPr="005B68BA" w:rsidRDefault="005A779E" w:rsidP="00C05D1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Należność główna 280 763,67 zł, odsetki 111616,49 zł.</w:t>
      </w:r>
    </w:p>
  </w:footnote>
  <w:footnote w:id="25">
    <w:p w:rsidR="008F4866" w:rsidRPr="005B68BA" w:rsidRDefault="005A779E" w:rsidP="00C05D1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Wydział Budżetowo-Księgowy, Wydział Nieruchomości.</w:t>
      </w:r>
    </w:p>
  </w:footnote>
  <w:footnote w:id="26">
    <w:p w:rsidR="008F4866" w:rsidRPr="005B68BA" w:rsidRDefault="005A779E" w:rsidP="00C05D1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5036/2013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27 września 2013 r. w sprawie nadania wewnętrznego regulaminu organizacyjnego Urzędu Dzielnicy Wawer Miasta Stołecznego Warszawy w Urzędzie Miasta Stołecznego Warszawy (ze zm.); 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24/2019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Prezydenta m.st. Warszawy z dnia z dnia</w:t>
      </w:r>
    </w:p>
    <w:p w:rsidR="008F4866" w:rsidRPr="005B68BA" w:rsidRDefault="005A779E" w:rsidP="00C05D1C">
      <w:pPr>
        <w:pStyle w:val="Footnote1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</w:rPr>
        <w:t>9 stycznia 2019 r. w sprawie nadania wewnętrznego regulaminu organizacyjnego Urzędu Dzielnicy Wawer Miasta Stołecznego Warszawy w Urzędzie Miasta Stołecznego Warszawy.</w:t>
      </w:r>
    </w:p>
  </w:footnote>
  <w:footnote w:id="27">
    <w:p w:rsidR="008F4866" w:rsidRPr="005B68BA" w:rsidRDefault="005A779E" w:rsidP="00C05D1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Dz. U. z 2021 r. poz. 217 ze zm.</w:t>
      </w:r>
    </w:p>
  </w:footnote>
  <w:footnote w:id="28">
    <w:p w:rsidR="008F4866" w:rsidRPr="005B68BA" w:rsidRDefault="005A779E" w:rsidP="00C05D1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Załącznik do Zarządzeń Prezydenta m.st. Warszawy: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3695/2012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z 27 grudnia 2012 r.,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5445/2014</w:t>
      </w:r>
      <w:r w:rsidR="00A87005" w:rsidRPr="005B68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z 20 stycznia 2014 r.,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6683/2014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z 13 października 2014 r. i obecnie obowiązujące 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1618/2017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z dnia 3 października 2017 r. (ze zm.)</w:t>
      </w:r>
    </w:p>
  </w:footnote>
  <w:footnote w:id="29">
    <w:p w:rsidR="008F4866" w:rsidRPr="005B68BA" w:rsidRDefault="005A779E" w:rsidP="00C05D1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72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5B68BA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1613/2011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>Prezydenta m.st. Warszawy z dnia 11 października 2011 r. w sprawie zasad funkcjonowania kontroli zarządczej w mieście stołecznym Warszawie (ze zm.).</w:t>
      </w:r>
    </w:p>
  </w:footnote>
  <w:footnote w:id="30">
    <w:p w:rsidR="008F4866" w:rsidRPr="005B68BA" w:rsidRDefault="005A779E" w:rsidP="00C05D1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B68BA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5B68BA">
        <w:rPr>
          <w:rFonts w:asciiTheme="minorHAnsi" w:hAnsiTheme="minorHAnsi" w:cstheme="minorHAnsi"/>
          <w:b w:val="0"/>
          <w:sz w:val="22"/>
          <w:szCs w:val="22"/>
        </w:rPr>
        <w:tab/>
        <w:t>„Głównymi celami kontroli zarządczej jest zapewnienie w szczególności: zachowania zgodności działań</w:t>
      </w:r>
      <w:r w:rsidR="00A87005" w:rsidRPr="005B68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z przepisami prawa, przyjętymi procedurami wewnętrznymi oraz standardami; skuteczności i efektywności działań; osiągnięcia efektywnego i skutecznego przepływu informacji; bieżącego identyfikowanie i monitorowania </w:t>
      </w:r>
      <w:proofErr w:type="spellStart"/>
      <w:r w:rsidRPr="005B68BA">
        <w:rPr>
          <w:rFonts w:asciiTheme="minorHAnsi" w:hAnsiTheme="minorHAnsi" w:cstheme="minorHAnsi"/>
          <w:b w:val="0"/>
          <w:sz w:val="22"/>
          <w:szCs w:val="22"/>
        </w:rPr>
        <w:t>ryzyk</w:t>
      </w:r>
      <w:proofErr w:type="spellEnd"/>
      <w:r w:rsidRPr="005B68BA">
        <w:rPr>
          <w:rFonts w:asciiTheme="minorHAnsi" w:hAnsiTheme="minorHAnsi" w:cstheme="minorHAnsi"/>
          <w:b w:val="0"/>
          <w:sz w:val="22"/>
          <w:szCs w:val="22"/>
        </w:rPr>
        <w:t xml:space="preserve"> związanych z realizacją zadań i osiąganiem celów oraz ustalanie i podejmowanie reakcji na ryzyka".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F58" w:rsidRDefault="00CE6F58">
    <w:pPr>
      <w:pStyle w:val="Nagwek"/>
    </w:pPr>
    <w:r>
      <w:rPr>
        <w:noProof/>
      </w:rPr>
      <w:drawing>
        <wp:inline distT="0" distB="0" distL="0" distR="0" wp14:anchorId="5978D197" wp14:editId="0B0D6FCA">
          <wp:extent cx="5546090" cy="1041726"/>
          <wp:effectExtent l="0" t="0" r="0" b="6350"/>
          <wp:docPr id="4" name="Obraz 4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6090" cy="1041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B1EFE"/>
    <w:multiLevelType w:val="multilevel"/>
    <w:tmpl w:val="645810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D927B3"/>
    <w:multiLevelType w:val="multilevel"/>
    <w:tmpl w:val="6ED0A2D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66"/>
    <w:rsid w:val="0007640C"/>
    <w:rsid w:val="000E2EF3"/>
    <w:rsid w:val="000E43B2"/>
    <w:rsid w:val="001D736A"/>
    <w:rsid w:val="004F41CE"/>
    <w:rsid w:val="004F43E3"/>
    <w:rsid w:val="005A779E"/>
    <w:rsid w:val="005B68BA"/>
    <w:rsid w:val="0065238B"/>
    <w:rsid w:val="008F4866"/>
    <w:rsid w:val="00952418"/>
    <w:rsid w:val="00A87005"/>
    <w:rsid w:val="00C05D1C"/>
    <w:rsid w:val="00CE6F58"/>
    <w:rsid w:val="00F24C20"/>
    <w:rsid w:val="00FA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C386988-04A5-4AF2-AAD2-0A6350F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F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Footnote17ptNotBold">
    <w:name w:val="Footnote|1 + 7 pt;Not Bold"/>
    <w:basedOn w:val="Footnote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Footnote2">
    <w:name w:val="Footnote|2_"/>
    <w:basedOn w:val="Domylnaczcionkaakapitu"/>
    <w:link w:val="Footnote2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Footnote165ptNotBold">
    <w:name w:val="Footnote|1 + 6.5 pt;Not Bold"/>
    <w:basedOn w:val="Footnote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70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355pt">
    <w:name w:val="Body text|3 + 5.5 pt"/>
    <w:basedOn w:val="Bodytext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line="122" w:lineRule="exact"/>
    </w:pPr>
    <w:rPr>
      <w:rFonts w:ascii="Arial" w:eastAsia="Arial" w:hAnsi="Arial" w:cs="Arial"/>
      <w:sz w:val="11"/>
      <w:szCs w:val="11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8" w:lineRule="exact"/>
      <w:outlineLvl w:val="0"/>
    </w:pPr>
    <w:rPr>
      <w:rFonts w:ascii="Arial" w:eastAsia="Arial" w:hAnsi="Arial" w:cs="Arial"/>
      <w:b/>
      <w:bCs/>
      <w:w w:val="70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560" w:line="202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560" w:after="300" w:line="190" w:lineRule="exact"/>
      <w:ind w:hanging="460"/>
    </w:pPr>
    <w:rPr>
      <w:rFonts w:ascii="Arial" w:eastAsia="Arial" w:hAnsi="Arial" w:cs="Arial"/>
      <w:sz w:val="17"/>
      <w:szCs w:val="17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300" w:after="420"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980" w:after="340" w:line="192" w:lineRule="exact"/>
      <w:ind w:firstLine="6100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rsid w:val="000E2EF3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0E2EF3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CE6F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F58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CE6F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2403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Urzad Miasta</Company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Urban Marzanna</dc:creator>
  <cp:keywords/>
  <cp:lastModifiedBy>Nalazek Izabela (KW)</cp:lastModifiedBy>
  <cp:revision>8</cp:revision>
  <dcterms:created xsi:type="dcterms:W3CDTF">2023-04-14T11:54:00Z</dcterms:created>
  <dcterms:modified xsi:type="dcterms:W3CDTF">2024-04-30T10:27:00Z</dcterms:modified>
</cp:coreProperties>
</file>