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4A13" w14:textId="4C763594" w:rsidR="003D3E2A" w:rsidRPr="005F7DB5" w:rsidRDefault="00D76966" w:rsidP="005F7DB5">
      <w:pPr>
        <w:pStyle w:val="Bodytext20"/>
        <w:shd w:val="clear" w:color="auto" w:fill="auto"/>
        <w:spacing w:before="120" w:after="240" w:line="300" w:lineRule="auto"/>
        <w:ind w:left="6804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  <w:lang w:eastAsia="ru-RU" w:bidi="ru-RU"/>
        </w:rPr>
        <w:t>1</w:t>
      </w:r>
      <w:r w:rsidR="007939C6"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 </w:t>
      </w:r>
      <w:r w:rsidR="007939C6" w:rsidRPr="005F7DB5">
        <w:rPr>
          <w:rFonts w:asciiTheme="minorHAnsi" w:hAnsiTheme="minorHAnsi" w:cstheme="minorHAnsi"/>
          <w:sz w:val="22"/>
          <w:szCs w:val="22"/>
        </w:rPr>
        <w:t>czerwca 2024 r.</w:t>
      </w:r>
    </w:p>
    <w:p w14:paraId="7FCC4A14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F7DB5">
        <w:rPr>
          <w:rFonts w:asciiTheme="minorHAnsi" w:hAnsiTheme="minorHAnsi" w:cstheme="minorHAnsi"/>
          <w:b/>
          <w:bCs/>
          <w:sz w:val="22"/>
          <w:szCs w:val="22"/>
        </w:rPr>
        <w:t>KW-WP.1712.56.2023.AMR</w:t>
      </w:r>
    </w:p>
    <w:p w14:paraId="7FCC4A15" w14:textId="77777777" w:rsidR="003D3E2A" w:rsidRPr="005F7DB5" w:rsidRDefault="007939C6" w:rsidP="005F7DB5">
      <w:pPr>
        <w:pStyle w:val="Bodytext20"/>
        <w:shd w:val="clear" w:color="auto" w:fill="auto"/>
        <w:spacing w:before="240" w:after="680" w:line="300" w:lineRule="auto"/>
        <w:ind w:left="6141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F7DB5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03B869E6" w14:textId="77777777" w:rsidR="00D76966" w:rsidRPr="005F7DB5" w:rsidRDefault="007939C6" w:rsidP="005F7DB5">
      <w:pPr>
        <w:pStyle w:val="Bodytext20"/>
        <w:shd w:val="clear" w:color="auto" w:fill="auto"/>
        <w:spacing w:before="240" w:after="680" w:line="300" w:lineRule="auto"/>
        <w:ind w:left="6141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F7DB5">
        <w:rPr>
          <w:rFonts w:asciiTheme="minorHAnsi" w:hAnsiTheme="minorHAnsi" w:cstheme="minorHAnsi"/>
          <w:b/>
          <w:bCs/>
          <w:sz w:val="22"/>
          <w:szCs w:val="22"/>
        </w:rPr>
        <w:t xml:space="preserve">Anna Majchrzak </w:t>
      </w:r>
    </w:p>
    <w:p w14:paraId="7FCC4A16" w14:textId="6DF24E72" w:rsidR="003D3E2A" w:rsidRPr="005F7DB5" w:rsidRDefault="007939C6" w:rsidP="005F7DB5">
      <w:pPr>
        <w:pStyle w:val="Bodytext20"/>
        <w:shd w:val="clear" w:color="auto" w:fill="auto"/>
        <w:spacing w:before="240" w:after="680" w:line="300" w:lineRule="auto"/>
        <w:ind w:left="6141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F7DB5">
        <w:rPr>
          <w:rFonts w:asciiTheme="minorHAnsi" w:hAnsiTheme="minorHAnsi" w:cstheme="minorHAnsi"/>
          <w:b/>
          <w:bCs/>
          <w:sz w:val="22"/>
          <w:szCs w:val="22"/>
        </w:rPr>
        <w:t>Burmistrz Dzielnicy Białołęka m.st. Warszawy</w:t>
      </w:r>
    </w:p>
    <w:p w14:paraId="7FCC4A17" w14:textId="77777777" w:rsidR="003D3E2A" w:rsidRPr="005F7DB5" w:rsidRDefault="007939C6" w:rsidP="005F7DB5">
      <w:pPr>
        <w:pStyle w:val="Nagwek1"/>
        <w:spacing w:before="120" w:after="240" w:line="300" w:lineRule="auto"/>
        <w:ind w:left="311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F7DB5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7FCC4A18" w14:textId="588D1CE6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5F7DB5">
        <w:rPr>
          <w:rFonts w:asciiTheme="minorHAnsi" w:hAnsiTheme="minorHAnsi" w:cstheme="minorHAnsi"/>
          <w:sz w:val="22"/>
          <w:szCs w:val="22"/>
        </w:rPr>
        <w:t xml:space="preserve">Prezydenta miasta stołecznego Warszawy </w:t>
      </w:r>
      <w:r w:rsidRPr="005F7DB5">
        <w:rPr>
          <w:rStyle w:val="Bodytext2BoldItalicScaling80"/>
          <w:rFonts w:asciiTheme="minorHAnsi" w:hAnsiTheme="minorHAnsi" w:cstheme="minorHAnsi"/>
          <w:sz w:val="22"/>
          <w:szCs w:val="22"/>
        </w:rPr>
        <w:t>г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</w:rPr>
        <w:t>dnia 4 kwietnia 2C07 r. w sprawie nadania regulaminu organizacyjnego Urzędu miasta stołecznego Warszawy (z późn. zm.), w związku kontrolą doraźną przeprowadzoną przez Biuro Kontroli Urzędu m.st. Warszawy w Urzędzie Dzielnicy Białołęka m.st. Warszawy w okresie od 20 lipca do 31 sierpnia 2023 r., w zakresie prawidłowość wydawania decyzji o pozwoleniu na budowę w Urzędzie Dzielnicy Białołęka m.st. Warszawy w latach 2022-2023 r., której wyniki zostały przedstawione w protokole kontroli, podpisania którego odmówiła Pani Izabela Zi</w:t>
      </w:r>
      <w:r w:rsidR="00A80248" w:rsidRPr="005F7DB5">
        <w:rPr>
          <w:rFonts w:asciiTheme="minorHAnsi" w:hAnsiTheme="minorHAnsi" w:cstheme="minorHAnsi"/>
          <w:sz w:val="22"/>
          <w:szCs w:val="22"/>
        </w:rPr>
        <w:t>ą</w:t>
      </w:r>
      <w:r w:rsidRPr="005F7DB5">
        <w:rPr>
          <w:rFonts w:asciiTheme="minorHAnsi" w:hAnsiTheme="minorHAnsi" w:cstheme="minorHAnsi"/>
          <w:sz w:val="22"/>
          <w:szCs w:val="22"/>
        </w:rPr>
        <w:t xml:space="preserve">tek Zastępca Burmistrza Dzielnicy Białołęka, stosownie do § 32 ust. 5 Zarządzenia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5F7DB5">
        <w:rPr>
          <w:rFonts w:asciiTheme="minorHAnsi" w:hAnsiTheme="minorHAnsi" w:cstheme="minorHAnsi"/>
          <w:sz w:val="22"/>
          <w:szCs w:val="22"/>
        </w:rPr>
        <w:t>Prezydenta miasta stołecznego Warszawy z dnia 12.12.2019 r. w sprawie zasad i trybu postępowania kontrolnego (zwanego dalej: Zarządzeniem), przekazuję Panu niniejsze wystąpienie pokontrolne, uwzględniające w części Pana zastrzeżenia do projektu wystąpienia pokontrolnego.</w:t>
      </w:r>
    </w:p>
    <w:p w14:paraId="7FCC4A19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dn. 13.03.2024 r. Biuro Kontroli przedstawiło stanowisko w sprawie złożonych zastrzeżeń do projektu wystąpienia pokontrolnego wraz z uzasadnieniem oraz zmieniony w części projekt wystąpienia pokontrolnego. Pismem z 3.04.2024 r. Pani Izabela Ziątek Zastępca burmistrza Dzielnicy Białołęka poinformowała Biuro Kontroli o zaakceptowaniu zmienionego w części projektu wystąpienia pokontrolnego. Treść wystąpienia pokontrolnego, dodatkowo odnosi się do uwag zawartych w ww. piśmie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5F7DB5">
        <w:rPr>
          <w:rFonts w:asciiTheme="minorHAnsi" w:hAnsiTheme="minorHAnsi" w:cstheme="minorHAnsi"/>
          <w:sz w:val="22"/>
          <w:szCs w:val="22"/>
        </w:rPr>
        <w:t xml:space="preserve">ustalenia zawartego w </w:t>
      </w:r>
      <w:r w:rsidRPr="005F7DB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pkt </w:t>
      </w:r>
      <w:r w:rsidRPr="005F7DB5">
        <w:rPr>
          <w:rFonts w:asciiTheme="minorHAnsi" w:hAnsiTheme="minorHAnsi" w:cstheme="minorHAnsi"/>
          <w:sz w:val="22"/>
          <w:szCs w:val="22"/>
        </w:rPr>
        <w:t>I ppkt 1.</w:t>
      </w:r>
    </w:p>
    <w:p w14:paraId="7FCC4A1A" w14:textId="2B0ECEC9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2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Realizując zlecenie Prezydenta m.st. Warszawy, Biuro Kontroli Urzędu m.st. Warszawy przeprowadziło kontrolę doraźną w Urzędzie Dzielnicy Białołęka m.st. Warszawy z uwzględnieniem wskazań Biura Zgodności Urzędu m.st. Warszawy oraz zastrzeżeń p.</w:t>
      </w:r>
      <w:r w:rsidR="00E06E77">
        <w:rPr>
          <w:rFonts w:asciiTheme="minorHAnsi" w:hAnsiTheme="minorHAnsi" w:cstheme="minorHAnsi"/>
          <w:sz w:val="22"/>
          <w:szCs w:val="22"/>
        </w:rPr>
        <w:t xml:space="preserve"> </w:t>
      </w:r>
      <w:r w:rsidR="00E2064E">
        <w:rPr>
          <w:rFonts w:asciiTheme="minorHAnsi" w:hAnsiTheme="minorHAnsi" w:cstheme="minorHAnsi"/>
          <w:sz w:val="22"/>
          <w:szCs w:val="22"/>
        </w:rPr>
        <w:t>(dane zanonimizowane)</w:t>
      </w:r>
      <w:r w:rsidRPr="005F7DB5">
        <w:rPr>
          <w:rFonts w:asciiTheme="minorHAnsi" w:hAnsiTheme="minorHAnsi" w:cstheme="minorHAnsi"/>
          <w:sz w:val="22"/>
          <w:szCs w:val="22"/>
        </w:rPr>
        <w:t xml:space="preserve"> zgłoszonych w piśmie z 17 lipca 2023 r. skierowanym do Prezydenta m.st. Warszawy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5F7DB5">
        <w:rPr>
          <w:rFonts w:asciiTheme="minorHAnsi" w:hAnsiTheme="minorHAnsi" w:cstheme="minorHAnsi"/>
          <w:sz w:val="22"/>
          <w:szCs w:val="22"/>
        </w:rPr>
        <w:t>wskazanych 6 pozwoleń na budowę.</w:t>
      </w:r>
    </w:p>
    <w:p w14:paraId="7FCC4A1B" w14:textId="77777777" w:rsidR="003D3E2A" w:rsidRPr="005F7DB5" w:rsidRDefault="007939C6" w:rsidP="005F7DB5">
      <w:pPr>
        <w:pStyle w:val="Bodytext20"/>
        <w:numPr>
          <w:ilvl w:val="0"/>
          <w:numId w:val="3"/>
        </w:numPr>
        <w:shd w:val="clear" w:color="auto" w:fill="auto"/>
        <w:tabs>
          <w:tab w:val="left" w:pos="514"/>
        </w:tabs>
        <w:spacing w:before="120" w:after="240" w:line="300" w:lineRule="auto"/>
        <w:ind w:left="480" w:right="660" w:hanging="2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Pozwolenia na budowę budynków mieszkalnych wielorodzinnych przy ul. Mochtyńskiej w Warszawie.</w:t>
      </w:r>
    </w:p>
    <w:p w14:paraId="7FCC4A1C" w14:textId="566A2441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lastRenderedPageBreak/>
        <w:t>W piśmie z 17 lipca 2023 r. p.</w:t>
      </w:r>
      <w:r w:rsidR="005F60C5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5F60C5" w:rsidRPr="005F7DB5">
        <w:rPr>
          <w:rFonts w:asciiTheme="minorHAnsi" w:hAnsiTheme="minorHAnsi" w:cstheme="minorHAnsi"/>
          <w:sz w:val="22"/>
          <w:szCs w:val="22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</w:rPr>
        <w:t>zakwestionowała rzetelność przeprowadzenia postępowań administracyjnych zakończonych 6 decyzjami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F7DB5">
        <w:rPr>
          <w:rFonts w:asciiTheme="minorHAnsi" w:hAnsiTheme="minorHAnsi" w:cstheme="minorHAnsi"/>
          <w:sz w:val="22"/>
          <w:szCs w:val="22"/>
        </w:rPr>
        <w:t xml:space="preserve"> o pozwoleniu na budowę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5F7DB5">
        <w:rPr>
          <w:rFonts w:asciiTheme="minorHAnsi" w:hAnsiTheme="minorHAnsi" w:cstheme="minorHAnsi"/>
          <w:sz w:val="22"/>
          <w:szCs w:val="22"/>
        </w:rPr>
        <w:t>każdorazowo budowy budynku mieszkalnego wielorodzinnego przy ul. Mochtyńskiej w Warszawie. Stwierdzono, że skarżąca p.</w:t>
      </w:r>
      <w:r w:rsidR="005F60C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5F7DB5">
        <w:rPr>
          <w:rFonts w:asciiTheme="minorHAnsi" w:hAnsiTheme="minorHAnsi" w:cstheme="minorHAnsi"/>
          <w:sz w:val="22"/>
          <w:szCs w:val="22"/>
        </w:rPr>
        <w:t>była jedną z 3 osób, które wniosły skargę do Wojewódzkiego Sądu Administracyjnego w Warszawie (dalej: WSA) na 2 decyzje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5F7DB5">
        <w:rPr>
          <w:rFonts w:asciiTheme="minorHAnsi" w:hAnsiTheme="minorHAnsi" w:cstheme="minorHAnsi"/>
          <w:sz w:val="22"/>
          <w:szCs w:val="22"/>
        </w:rPr>
        <w:t xml:space="preserve"> Wojewody Mazowieckiego umarzające postępowanie odwoławcze wobec 2 decyzji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5F7DB5">
        <w:rPr>
          <w:rFonts w:asciiTheme="minorHAnsi" w:hAnsiTheme="minorHAnsi" w:cstheme="minorHAnsi"/>
          <w:sz w:val="22"/>
          <w:szCs w:val="22"/>
        </w:rPr>
        <w:t xml:space="preserve"> Prezydenta m.st. Warszawy. Przy czym, po przekazaniu akt tych spraw do Wojewody Mazowieckiego, w organie I instancji pozostały jedynie kopie części dokumentów.</w:t>
      </w:r>
    </w:p>
    <w:p w14:paraId="7FCC4A1D" w14:textId="1DC47D44" w:rsidR="003D3E2A" w:rsidRPr="005F7DB5" w:rsidRDefault="007939C6" w:rsidP="005F7DB5">
      <w:pPr>
        <w:pStyle w:val="Bodytext20"/>
        <w:shd w:val="clear" w:color="auto" w:fill="auto"/>
        <w:tabs>
          <w:tab w:val="left" w:pos="3941"/>
        </w:tabs>
        <w:spacing w:before="120" w:after="240" w:line="300" w:lineRule="auto"/>
        <w:ind w:left="480" w:right="1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Dodać należy, że w odniesieniu do wszystkich wskazanych 6 decyzji Prezydenta m.st. Warszawy, Wojewoda Mazowiecki jako organ II instancji umorzył każdorazowo postępowanie odwoławcze argumentując, iż skarżący (w tym p.,</w:t>
      </w:r>
      <w:r w:rsidR="00CB4FE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5F7DB5">
        <w:rPr>
          <w:rFonts w:asciiTheme="minorHAnsi" w:hAnsiTheme="minorHAnsi" w:cstheme="minorHAnsi"/>
          <w:sz w:val="22"/>
          <w:szCs w:val="22"/>
        </w:rPr>
        <w:t>) nie wykazali interesu prawnego do bycia stroną tych</w:t>
      </w:r>
    </w:p>
    <w:p w14:paraId="7FCC4A1E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postępowań, skutkiem czego sformułowane przez nich zarzuty wraz z argumentacją nie mogły zostać wzięte pod uwagę.</w:t>
      </w:r>
    </w:p>
    <w:p w14:paraId="7FCC4A1F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Wskutek powyższego, tj. poddania 2 decyzji kontroli sądowej, zasadnym było odstąpienie od ich sprawdzenia i oceny przez Biuro Kontroli w postępowaniu kontrolnym.</w:t>
      </w:r>
    </w:p>
    <w:p w14:paraId="7FCC4A20" w14:textId="1210B51E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Szczegółowym badaniem objęto 4 decyzje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5F7DB5">
        <w:rPr>
          <w:rFonts w:asciiTheme="minorHAnsi" w:hAnsiTheme="minorHAnsi" w:cstheme="minorHAnsi"/>
          <w:sz w:val="22"/>
          <w:szCs w:val="22"/>
        </w:rPr>
        <w:t xml:space="preserve"> </w:t>
      </w:r>
      <w:r w:rsidR="00CF7861"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="00CF7861" w:rsidRPr="005F7DB5">
        <w:rPr>
          <w:rFonts w:asciiTheme="minorHAnsi" w:hAnsiTheme="minorHAnsi" w:cstheme="minorHAnsi"/>
          <w:sz w:val="22"/>
          <w:szCs w:val="22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</w:rPr>
        <w:t>(z 6 wskazanych) oraz przebieg postępowań administracyjnych zakończonych wydaniem rozstrzygnięcia w sprawie o pozwolenie na budowę, co wykazało naruszenia i nieprawidłowości jak poniżej.</w:t>
      </w:r>
    </w:p>
    <w:p w14:paraId="7FCC4A21" w14:textId="0050B12D" w:rsidR="003D3E2A" w:rsidRPr="005F7DB5" w:rsidRDefault="007939C6" w:rsidP="005F7DB5">
      <w:pPr>
        <w:pStyle w:val="Bodytext20"/>
        <w:numPr>
          <w:ilvl w:val="0"/>
          <w:numId w:val="4"/>
        </w:numPr>
        <w:shd w:val="clear" w:color="auto" w:fill="auto"/>
        <w:tabs>
          <w:tab w:val="left" w:pos="716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We wszystkich 4 przypadkach, wydano decyzję bez udokumentowania możliwości podłączenia projektowanej zabudowy do sieci wodociągowej i kanalizacyjnej, co było niewystarczające do wypełnienia dyspozycji zawartych w ustaleniach § 8 ust. 5</w:t>
      </w:r>
      <w:r w:rsidR="00CF7861"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5F7DB5">
        <w:rPr>
          <w:rFonts w:asciiTheme="minorHAnsi" w:hAnsiTheme="minorHAnsi" w:cstheme="minorHAnsi"/>
          <w:sz w:val="22"/>
          <w:szCs w:val="22"/>
        </w:rPr>
        <w:t xml:space="preserve"> pkt 5 (w zw. z § 22 ust. I</w:t>
      </w:r>
      <w:r w:rsidR="00EC2207"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5F7D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7DB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F7DB5">
        <w:rPr>
          <w:rFonts w:asciiTheme="minorHAnsi" w:hAnsiTheme="minorHAnsi" w:cstheme="minorHAnsi"/>
          <w:sz w:val="22"/>
          <w:szCs w:val="22"/>
        </w:rPr>
        <w:t xml:space="preserve"> § 23 ust. I</w:t>
      </w:r>
      <w:r w:rsidR="00364CDD"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5F7DB5">
        <w:rPr>
          <w:rFonts w:asciiTheme="minorHAnsi" w:hAnsiTheme="minorHAnsi" w:cstheme="minorHAnsi"/>
          <w:sz w:val="22"/>
          <w:szCs w:val="22"/>
        </w:rPr>
        <w:t xml:space="preserve">) obowiązującego na tym terenie miejscowego planu </w:t>
      </w:r>
      <w:r w:rsidRPr="005F7DB5">
        <w:rPr>
          <w:rFonts w:asciiTheme="minorHAnsi" w:hAnsiTheme="minorHAnsi" w:cstheme="minorHAnsi"/>
          <w:sz w:val="22"/>
          <w:szCs w:val="22"/>
        </w:rPr>
        <w:lastRenderedPageBreak/>
        <w:t>zagospodarowania przestrzennego osiedli Mochtyńska-Kobiałka</w:t>
      </w:r>
      <w:r w:rsidR="00281B0F"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5F7DB5">
        <w:rPr>
          <w:rFonts w:asciiTheme="minorHAnsi" w:hAnsiTheme="minorHAnsi" w:cstheme="minorHAnsi"/>
          <w:sz w:val="22"/>
          <w:szCs w:val="22"/>
        </w:rPr>
        <w:t xml:space="preserve"> (dalej: mpzp).</w:t>
      </w:r>
    </w:p>
    <w:p w14:paraId="7FCC4A22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6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Co prawda Pani Burmistrz wyjaśniła, że: „Z opisu i rysunku projektu zagospodarowania terenu jednoznacznie wynika, iż projektowany budynek zostanie podłączony do sieci wodociągowej i kanalizacyjnej według odrębnego opracowania. Zgodnie z opisem do projektu zagospodarowania terenu kanalizacja sanitarna zostanie wybudowana przed uzyskaniem pozwolenia na użytkowanie budynku według warunków MPWIK nr</w:t>
      </w:r>
    </w:p>
    <w:p w14:paraId="7FCC4A23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6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PRO.DWP.669.1458.2022.103680.22.AG.PR z 21 kwietnia 2022 r.", to jednak w dokumentacji projektowej brak było ww. warunków przyłączenia do sieci kanalizacji sanitarnej oraz warunków przyłączenia do sieci wodociągowej wydanych przez MPWiK.</w:t>
      </w:r>
    </w:p>
    <w:p w14:paraId="7FCC4A24" w14:textId="77777777" w:rsidR="003D3E2A" w:rsidRPr="005F7DB5" w:rsidRDefault="007939C6" w:rsidP="005F7DB5">
      <w:pPr>
        <w:pStyle w:val="Bodytext20"/>
        <w:numPr>
          <w:ilvl w:val="0"/>
          <w:numId w:val="4"/>
        </w:numPr>
        <w:shd w:val="clear" w:color="auto" w:fill="auto"/>
        <w:tabs>
          <w:tab w:val="left" w:pos="661"/>
        </w:tabs>
        <w:spacing w:before="120" w:after="240" w:line="300" w:lineRule="auto"/>
        <w:ind w:left="640" w:hanging="32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postępowaniu zakończonym decyzją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272/2022 </w:t>
      </w:r>
      <w:r w:rsidRPr="005F7DB5">
        <w:rPr>
          <w:rFonts w:asciiTheme="minorHAnsi" w:hAnsiTheme="minorHAnsi" w:cstheme="minorHAnsi"/>
          <w:sz w:val="22"/>
          <w:szCs w:val="22"/>
        </w:rPr>
        <w:t xml:space="preserve">organ naruszył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35 ust. 1 pkt 2 ustawy z dnia 7 lipca 1994 r. Prawo budowlane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5F7DB5">
        <w:rPr>
          <w:rFonts w:asciiTheme="minorHAnsi" w:hAnsiTheme="minorHAnsi" w:cstheme="minorHAnsi"/>
          <w:sz w:val="22"/>
          <w:szCs w:val="22"/>
        </w:rPr>
        <w:t xml:space="preserve"> (dalej: Prawo budowlane), gdyż zatwierdził projekt zagospodarowania terenu, na którym odległość miejsca do gromadzenia odpadów' stałych od drzwi do projektowanego budynku wynosiła tylko 5 m zamiast, zgodnie z § 23 ust. 1 pkt 1 rozporządzenia Ministra Infrastruktury z dnia 12. kwietnia 2002 r. w sprawie warunków technicznych, jakim powinny odpowiadać budynki i ich usytuowanie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5F7DB5">
        <w:rPr>
          <w:rFonts w:asciiTheme="minorHAnsi" w:hAnsiTheme="minorHAnsi" w:cstheme="minorHAnsi"/>
          <w:sz w:val="22"/>
          <w:szCs w:val="22"/>
        </w:rPr>
        <w:t xml:space="preserve"> (dalej: Warunki Techniczne) - co najmniej 10 m.</w:t>
      </w:r>
    </w:p>
    <w:p w14:paraId="7FCC4A25" w14:textId="382C8ACB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6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W tej kwestii Pani Burmistrz wyjaśniła, że zgodnie z ww. p</w:t>
      </w:r>
      <w:r w:rsidR="00CE2226" w:rsidRPr="005F7DB5">
        <w:rPr>
          <w:rFonts w:asciiTheme="minorHAnsi" w:hAnsiTheme="minorHAnsi" w:cstheme="minorHAnsi"/>
          <w:sz w:val="22"/>
          <w:szCs w:val="22"/>
        </w:rPr>
        <w:t>r</w:t>
      </w:r>
      <w:r w:rsidRPr="005F7DB5">
        <w:rPr>
          <w:rFonts w:asciiTheme="minorHAnsi" w:hAnsiTheme="minorHAnsi" w:cstheme="minorHAnsi"/>
          <w:sz w:val="22"/>
          <w:szCs w:val="22"/>
        </w:rPr>
        <w:t>zepisem odległość pojemników i kontenerów powinna wynosić co najmniej 10 m - od okien i drzwi do budynków z pomieszczeniami przeznaczonymi na pobyt ludzi a jak wynika z rzutów kondygnacji poziomu 0, piętra 1 i piętra 2 pomieszczenia znajdujące się w projektowanym budynku od strony śmietnika (garderoba, kotłownia, łazienka) nie są pomieszczeniami przeznaczonymi na pobyt ludzi, a zatem nie ma zastosowania § 23 ww. rozporządzenia.</w:t>
      </w:r>
    </w:p>
    <w:p w14:paraId="7FCC4A26" w14:textId="58FF36A5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6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Odnosząc się do wyjaśnień Pani Burmistrz zauważyć należy, że przepis § 23 ust. 1 pkt 1 Warunków technicznych dotyczy odległości śmietnika od okien </w:t>
      </w:r>
      <w:r w:rsidRPr="002723E0">
        <w:rPr>
          <w:rFonts w:asciiTheme="minorHAnsi" w:hAnsiTheme="minorHAnsi" w:cstheme="minorHAnsi"/>
          <w:sz w:val="22"/>
          <w:szCs w:val="22"/>
        </w:rPr>
        <w:t xml:space="preserve">i </w:t>
      </w:r>
      <w:r w:rsidRPr="002723E0">
        <w:rPr>
          <w:rStyle w:val="Bodytext21"/>
          <w:rFonts w:asciiTheme="minorHAnsi" w:hAnsiTheme="minorHAnsi" w:cstheme="minorHAnsi"/>
          <w:sz w:val="22"/>
          <w:szCs w:val="22"/>
          <w:u w:val="none"/>
        </w:rPr>
        <w:t>drzwi do budynku</w:t>
      </w:r>
      <w:r w:rsidRPr="005F7DB5">
        <w:rPr>
          <w:rFonts w:asciiTheme="minorHAnsi" w:hAnsiTheme="minorHAnsi" w:cstheme="minorHAnsi"/>
          <w:sz w:val="22"/>
          <w:szCs w:val="22"/>
        </w:rPr>
        <w:t xml:space="preserve"> z pomieszczeniami przeznaczonymi na pobyt ludzi, a nie odległości śmietnika od okien i drzwi do pomieszczeń przeznaczonych na pobyt ludzi. Wynika z tego, że jeżeli budynek zawiera pomieszczenia przeznaczone na pobyt ludzi, a w analizowanym przypadku projektowany budyn</w:t>
      </w:r>
      <w:r w:rsidR="00CE2226" w:rsidRPr="005F7DB5">
        <w:rPr>
          <w:rFonts w:asciiTheme="minorHAnsi" w:hAnsiTheme="minorHAnsi" w:cstheme="minorHAnsi"/>
          <w:sz w:val="22"/>
          <w:szCs w:val="22"/>
        </w:rPr>
        <w:t>e</w:t>
      </w:r>
      <w:r w:rsidRPr="005F7DB5">
        <w:rPr>
          <w:rFonts w:asciiTheme="minorHAnsi" w:hAnsiTheme="minorHAnsi" w:cstheme="minorHAnsi"/>
          <w:sz w:val="22"/>
          <w:szCs w:val="22"/>
        </w:rPr>
        <w:t>k mieszkalny zawierał takie pomieszczenia, to odległość m.in. drzwi do tego budynku od miejsca gromadzenia odpadów stałych, regulowana jest właśnie tym przepisem i powinna wynosić co najmniej 10 m.</w:t>
      </w:r>
    </w:p>
    <w:p w14:paraId="7FCC4A27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6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lastRenderedPageBreak/>
        <w:t>Dodatkowo ustalono, że wyżej opisane miejsce do gromadzenia odpadów stałych, nie było dostępne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5F7DB5">
        <w:rPr>
          <w:rFonts w:asciiTheme="minorHAnsi" w:hAnsiTheme="minorHAnsi" w:cstheme="minorHAnsi"/>
          <w:sz w:val="22"/>
          <w:szCs w:val="22"/>
        </w:rPr>
        <w:t xml:space="preserve"> dla osoby poruszającej się na wózku inwalidzkim, co naruszało § 22 ust. 4 Warunków Technicznych.</w:t>
      </w:r>
    </w:p>
    <w:p w14:paraId="7FCC4A28" w14:textId="77777777" w:rsidR="003D3E2A" w:rsidRPr="005F7DB5" w:rsidRDefault="007939C6" w:rsidP="005F7DB5">
      <w:pPr>
        <w:pStyle w:val="Bodytext20"/>
        <w:numPr>
          <w:ilvl w:val="0"/>
          <w:numId w:val="4"/>
        </w:numPr>
        <w:shd w:val="clear" w:color="auto" w:fill="auto"/>
        <w:tabs>
          <w:tab w:val="left" w:pos="661"/>
        </w:tabs>
        <w:spacing w:before="120" w:after="240" w:line="300" w:lineRule="auto"/>
        <w:ind w:left="640" w:hanging="32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We wszystkich 4 postępowaniach organ naruszył zasadę czynnego udziału strony w postępowaniu, tj.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10 § 1 k.p.a., gdyż w ich toku nie poinformował wszystkich stron postępowania o nałożeniu obowiązku usunięcia nieprawidłowości w dokumentacji projektowej w formie postanowienia skierowanego do wnioskodawcy.</w:t>
      </w:r>
    </w:p>
    <w:p w14:paraId="7FCC4A29" w14:textId="65DD1B8A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Natomiast odnosząc się do zastrzeżeń podniesionych przez Skarżącą p.</w:t>
      </w:r>
      <w:r w:rsidR="003867E6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5F7DB5">
        <w:rPr>
          <w:rFonts w:asciiTheme="minorHAnsi" w:hAnsiTheme="minorHAnsi" w:cstheme="minorHAnsi"/>
          <w:sz w:val="22"/>
          <w:szCs w:val="22"/>
        </w:rPr>
        <w:t xml:space="preserve"> stwierdzić należy, że badając zgodność z zapisami planu poszczególnych rozwiązań projektowych przyjętych w planowanej zabudowie mieszkaniowej wielorodzinnej stwierdzono uchybienie w tej kwestii opisane w </w:t>
      </w:r>
      <w:r w:rsidRPr="005F7DB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pkt </w:t>
      </w:r>
      <w:r w:rsidRPr="005F7DB5">
        <w:rPr>
          <w:rFonts w:asciiTheme="minorHAnsi" w:hAnsiTheme="minorHAnsi" w:cstheme="minorHAnsi"/>
          <w:sz w:val="22"/>
          <w:szCs w:val="22"/>
        </w:rPr>
        <w:t>I ppkt 1 niniejszego dokumentu.</w:t>
      </w:r>
    </w:p>
    <w:p w14:paraId="7FCC4A2A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Biorąc pod uwagę kolejne zagadnienia będące przedmiotem skargi, wyjaśnić należy, że nie stanowi naruszenia żadnych przepisów, w tym przepisów Prawa budowlanego, zatwierdzenie dokumentacji projektowych kilku budynków, które jak stwierdza Skarżąca „wyglądają identycznie" a ponadto zostały zaprojektowane przez tego samego projektanta. Nie narusza przepisów również fakt, że projektant ten reprezentował jednocześnie wszystkich 5 wnioskodawców oraz, że wszystkie postępowania administracyjne prowadziła jedna osoba. Tym bardziej, że jak wyjaśniła Pani Burmistrz, przypisanie konkretnych obszarów dzielnicy do danego pracownika ułatwiało i usprawniało prowadzenie postępowań administracyjnych.</w:t>
      </w:r>
    </w:p>
    <w:p w14:paraId="7FCC4A2B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Zarzut Skarżącej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5F7DB5">
        <w:rPr>
          <w:rFonts w:asciiTheme="minorHAnsi" w:hAnsiTheme="minorHAnsi" w:cstheme="minorHAnsi"/>
          <w:sz w:val="22"/>
          <w:szCs w:val="22"/>
        </w:rPr>
        <w:t>niepotraktowania przez organ przedmiotowych 6 inwestycji, jako „inwestycji deweloperskiej" nie jest zrozumiały, ponieważ w Prawie budowlanym brak jest takiego określenia, a Skarżąca nie sprecyzowała w swoim piśmie, co jej zdaniem oznacza taka inwestycja. Przepisy Prawa budowlanego nie kategoryzują inwestycji jako indywidualne i deweloperskie. W omawiany przypadku, teren poszczególnych inwestycji stanowiły sąsiadujące ze sobą nieruchomości zlokalizowane wzdłuż drogi dojazdowej (ciągu pieszo-jezdnego). Inwestycje te były od siebie niezależne pod każdym względem, tj.: funkcji, infrastruktury, obsługi komunikacyjnej, itp. Inwestorem każdego przedsięwzięcia była 1 osoba fizyczna - właściciel nieruchomości (2 wnioski złożyła ta sama osoba, pozostałe 4 osoby złożyły po 1 wniosku). Żaden przepis Prawa budowlanego, nie obliguje organu do nałożenia na inwestorów obowiązku objęcia wnioskowanych przez nich niezależnych inwestycji, jednym wnioskiem, z którym wystąpi jeden inwestor. W związku z tym, żądanie przez Skarżącą potraktowania poszczególnych zamierzeń jako „inwestycji deweloperskiej" nie miało oparcia w przepisach prawa.</w:t>
      </w:r>
    </w:p>
    <w:p w14:paraId="7FCC4A2C" w14:textId="4D12FEB5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3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Poruszana przez p.</w:t>
      </w:r>
      <w:r w:rsidR="003867E6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3867E6" w:rsidRPr="005F7DB5">
        <w:rPr>
          <w:rFonts w:asciiTheme="minorHAnsi" w:hAnsiTheme="minorHAnsi" w:cstheme="minorHAnsi"/>
          <w:sz w:val="22"/>
          <w:szCs w:val="22"/>
        </w:rPr>
        <w:t xml:space="preserve"> </w:t>
      </w:r>
      <w:r w:rsidRPr="005F7DB5">
        <w:rPr>
          <w:rFonts w:asciiTheme="minorHAnsi" w:hAnsiTheme="minorHAnsi" w:cstheme="minorHAnsi"/>
          <w:sz w:val="22"/>
          <w:szCs w:val="22"/>
        </w:rPr>
        <w:t xml:space="preserve">kwestia zbyt krótkiego terminu wydania decyzji </w:t>
      </w:r>
      <w:r w:rsidRPr="005F7DB5">
        <w:rPr>
          <w:rFonts w:asciiTheme="minorHAnsi" w:hAnsiTheme="minorHAnsi" w:cstheme="minorHAnsi"/>
          <w:sz w:val="22"/>
          <w:szCs w:val="22"/>
        </w:rPr>
        <w:lastRenderedPageBreak/>
        <w:t>udzielających pozwolenia na budowę nie została potwierdzona w toku kontroli, ponieważ decyzje wydano po upływie 98 dni licząc od dnia przesłania przez Wojewodę Mazowieckiego akt sprawy a przy uwzględnieniu</w:t>
      </w:r>
    </w:p>
    <w:p w14:paraId="7FCC4A2D" w14:textId="0C7E3912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okresów odliczeń na podstawie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35 ust. 8 Prawa budowlanego, postępowania te prowadzono przez 43 dni. Zgodnie z a</w:t>
      </w:r>
      <w:r w:rsidR="005F7DB5">
        <w:rPr>
          <w:rFonts w:asciiTheme="minorHAnsi" w:hAnsiTheme="minorHAnsi" w:cstheme="minorHAnsi"/>
          <w:sz w:val="22"/>
          <w:szCs w:val="22"/>
        </w:rPr>
        <w:t>r</w:t>
      </w:r>
      <w:r w:rsidRPr="005F7DB5">
        <w:rPr>
          <w:rFonts w:asciiTheme="minorHAnsi" w:hAnsiTheme="minorHAnsi" w:cstheme="minorHAnsi"/>
          <w:sz w:val="22"/>
          <w:szCs w:val="22"/>
        </w:rPr>
        <w:t>t. 35 ust. 3 k.p.a. załatwienie sprawy wymagającej postępowania wyjaśniającego powinno nastąpić nie później niż w ciągu miesiąca, a sprawy szczególnie skomplikowanej - nie później niż w ciągu dwóch miesięcy od dnia wszczęcia postępowania. Wyżej przywołany przepis określa maksymalny czas, w jakim organ powinien załatwić sprawę a nie wskazuje najkrótszego terminu procedowania. W omawianym przypadku organ działał zgodnie z ww. przepisem. Zarzut wydania wszystkich decyzji w tym samym dniu jest również nieuzasadniony, ponieważ takie działanie organu nie tylko było zgodne z prawem ale dodatkowo, było racjonalne i ekonomiczne z punku widzenia czasu poświęconego przygotowaniu dokumentów oraz wykonaniu innych czynności formalnych i technicznych związanych z wydaniem decyzji.</w:t>
      </w:r>
    </w:p>
    <w:p w14:paraId="7FCC4A2E" w14:textId="77777777" w:rsidR="003D3E2A" w:rsidRPr="00A42F5A" w:rsidRDefault="007939C6" w:rsidP="005F7DB5">
      <w:pPr>
        <w:pStyle w:val="Bodytext40"/>
        <w:shd w:val="clear" w:color="auto" w:fill="auto"/>
        <w:spacing w:before="120" w:after="240" w:line="300" w:lineRule="auto"/>
        <w:ind w:left="4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42F5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II. Pozwolenia na budowę </w:t>
      </w:r>
      <w:r w:rsidRPr="00A42F5A">
        <w:rPr>
          <w:rStyle w:val="Bodytext4NotBold"/>
          <w:rFonts w:asciiTheme="minorHAnsi" w:hAnsiTheme="minorHAnsi" w:cstheme="minorHAnsi"/>
          <w:sz w:val="22"/>
          <w:szCs w:val="22"/>
        </w:rPr>
        <w:t>budynków</w:t>
      </w:r>
      <w:r w:rsidRPr="00A42F5A">
        <w:rPr>
          <w:rStyle w:val="Bodytext4NotBold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42F5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mieszkalnych wielorodzinnych wydane dla spółki </w:t>
      </w:r>
      <w:r w:rsidRPr="00A42F5A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Victoria </w:t>
      </w:r>
      <w:r w:rsidRPr="00A42F5A">
        <w:rPr>
          <w:rFonts w:asciiTheme="minorHAnsi" w:hAnsiTheme="minorHAnsi" w:cstheme="minorHAnsi"/>
          <w:b w:val="0"/>
          <w:bCs w:val="0"/>
          <w:sz w:val="22"/>
          <w:szCs w:val="22"/>
        </w:rPr>
        <w:t>Dom S.A.</w:t>
      </w:r>
    </w:p>
    <w:p w14:paraId="7FCC4A2F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Stwierdzono, że w okresie objętym kontrolą dla spółki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Victoria </w:t>
      </w:r>
      <w:r w:rsidRPr="005F7DB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Dom </w:t>
      </w:r>
      <w:r w:rsidRPr="005F7DB5">
        <w:rPr>
          <w:rFonts w:asciiTheme="minorHAnsi" w:hAnsiTheme="minorHAnsi" w:cstheme="minorHAnsi"/>
          <w:sz w:val="22"/>
          <w:szCs w:val="22"/>
        </w:rPr>
        <w:t>S.A. wydano 3 decyzje o pozwoleniu na budowę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5F7DB5">
        <w:rPr>
          <w:rFonts w:asciiTheme="minorHAnsi" w:hAnsiTheme="minorHAnsi" w:cstheme="minorHAnsi"/>
          <w:sz w:val="22"/>
          <w:szCs w:val="22"/>
        </w:rPr>
        <w:t xml:space="preserve"> budynków mieszkalnych wielorodzinnych (z usługami lub bez).</w:t>
      </w:r>
    </w:p>
    <w:p w14:paraId="7FCC4A30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Szczegółowo kontrola przebiegu postępowań administracyjnych zakończonych wydaniem ww. decyzji wykazała naruszenia i nieprawidłowości jak poniżej.</w:t>
      </w:r>
    </w:p>
    <w:p w14:paraId="7FCC4A31" w14:textId="77777777" w:rsidR="003D3E2A" w:rsidRPr="005F7DB5" w:rsidRDefault="007939C6" w:rsidP="005F7DB5">
      <w:pPr>
        <w:pStyle w:val="Bodytext20"/>
        <w:numPr>
          <w:ilvl w:val="0"/>
          <w:numId w:val="5"/>
        </w:numPr>
        <w:shd w:val="clear" w:color="auto" w:fill="auto"/>
        <w:tabs>
          <w:tab w:val="left" w:pos="741"/>
        </w:tabs>
        <w:spacing w:before="120" w:after="240" w:line="300" w:lineRule="auto"/>
        <w:ind w:left="7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przypadku decyzji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56/2022 </w:t>
      </w:r>
      <w:r w:rsidRPr="005F7DB5">
        <w:rPr>
          <w:rFonts w:asciiTheme="minorHAnsi" w:hAnsiTheme="minorHAnsi" w:cstheme="minorHAnsi"/>
          <w:sz w:val="22"/>
          <w:szCs w:val="22"/>
        </w:rPr>
        <w:t>zatwierdzono dokumentację projektową niezgodną z ustaleniem decyzji o warunkach zabudowy w zakresie geometrii dachu, gdyż strop nad kotłownią zlokalizowaną na dachu budynku, licząc od poziomu terenu istniejącego, zaplanowano na wysokości 16 m, pomimo że w pkt 1.7 decyzji o warunkach zabudowy nr 264/B/2021 ustalono : „maksymalna wysokość projektowanego obiektu w najwyższym punkcie -13,5 m".</w:t>
      </w:r>
    </w:p>
    <w:p w14:paraId="7FCC4A32" w14:textId="77777777" w:rsidR="003D3E2A" w:rsidRPr="005F7DB5" w:rsidRDefault="007939C6" w:rsidP="005F7DB5">
      <w:pPr>
        <w:pStyle w:val="Bodytext20"/>
        <w:numPr>
          <w:ilvl w:val="0"/>
          <w:numId w:val="5"/>
        </w:numPr>
        <w:shd w:val="clear" w:color="auto" w:fill="auto"/>
        <w:tabs>
          <w:tab w:val="left" w:pos="741"/>
        </w:tabs>
        <w:spacing w:before="120" w:after="240" w:line="300" w:lineRule="auto"/>
        <w:ind w:left="7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2 przypadkach organ naruszył zasadę szybkości postępowania zawartą w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 xml:space="preserve">12 § 1 k.p.a. oraz nie wypełnił obowiązku załatwienia sprawy bez zbędnej zwłoki ujętego w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35 § 1 k.p.a., gdyż:</w:t>
      </w:r>
    </w:p>
    <w:p w14:paraId="7FCC4A33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108"/>
        </w:tabs>
        <w:spacing w:before="120" w:after="240" w:line="300" w:lineRule="auto"/>
        <w:ind w:left="11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w postępowaniu zakończonym decyzją nr 30G/2020 przez 33 dni od daty wpływu wniosku, jak wynika z akt sprawy, nie podejmował żadnych działań;</w:t>
      </w:r>
    </w:p>
    <w:p w14:paraId="7FCC4A34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108"/>
        </w:tabs>
        <w:spacing w:before="120" w:after="240" w:line="300" w:lineRule="auto"/>
        <w:ind w:left="11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przypadku postępowania zakończonego decyzją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56/2020 </w:t>
      </w:r>
      <w:r w:rsidRPr="005F7DB5">
        <w:rPr>
          <w:rFonts w:asciiTheme="minorHAnsi" w:hAnsiTheme="minorHAnsi" w:cstheme="minorHAnsi"/>
          <w:sz w:val="22"/>
          <w:szCs w:val="22"/>
        </w:rPr>
        <w:t xml:space="preserve">zawiadomienie o </w:t>
      </w:r>
      <w:r w:rsidRPr="005F7DB5">
        <w:rPr>
          <w:rFonts w:asciiTheme="minorHAnsi" w:hAnsiTheme="minorHAnsi" w:cstheme="minorHAnsi"/>
          <w:sz w:val="22"/>
          <w:szCs w:val="22"/>
        </w:rPr>
        <w:lastRenderedPageBreak/>
        <w:t xml:space="preserve">wszczęciu postępowania oraz postanowienie zostały wydane po 63 dniach od daty złożenia wniosku. W konsekwencji organ naruszył również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35 § 3 k.p.a., gdyż sprawa została załatwiona w terminie dłuższym niż 2 miesiące.</w:t>
      </w:r>
    </w:p>
    <w:p w14:paraId="7FCC4A35" w14:textId="77777777" w:rsidR="003D3E2A" w:rsidRPr="005F7DB5" w:rsidRDefault="007939C6" w:rsidP="005F7DB5">
      <w:pPr>
        <w:pStyle w:val="Bodytext20"/>
        <w:numPr>
          <w:ilvl w:val="0"/>
          <w:numId w:val="5"/>
        </w:numPr>
        <w:shd w:val="clear" w:color="auto" w:fill="auto"/>
        <w:tabs>
          <w:tab w:val="left" w:pos="741"/>
        </w:tabs>
        <w:spacing w:before="120" w:after="240" w:line="300" w:lineRule="auto"/>
        <w:ind w:left="7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przypadku postępowania zakończonego decyzją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>306/2022:</w:t>
      </w:r>
    </w:p>
    <w:p w14:paraId="7FCC4A36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311"/>
        </w:tabs>
        <w:spacing w:before="120" w:after="240" w:line="300" w:lineRule="auto"/>
        <w:ind w:left="13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w zatwierdzonej dokumentacji projektowej brak było adnotacji potwierdzającej sprawdzenie przez osobę prowadzącą sprawę, wpisu projektantów i projektantów sprawdzających, do centralnego rejestru osób posiadających uprawnienia budowlane;</w:t>
      </w:r>
    </w:p>
    <w:p w14:paraId="7FCC4A37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311"/>
        </w:tabs>
        <w:spacing w:before="120" w:after="240" w:line="300" w:lineRule="auto"/>
        <w:ind w:left="13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przed wydaniem decyzji organ nie umożliwił stronie postępowania wypowiedzenie się co do zebranych dowodów i materiałów w postępowaniu a dodatkowo nie poinformował strony o nałożeniu na wnioskodawcę obowiązku usunięcia nieprawidłowości w dokumentacji projektowej, co naruszało zasadę czynnego udziału strony w postępowaniu, tj.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10 § 1 k.p.a.</w:t>
      </w:r>
    </w:p>
    <w:p w14:paraId="7FCC4A38" w14:textId="77777777" w:rsidR="003D3E2A" w:rsidRPr="005F7DB5" w:rsidRDefault="007939C6" w:rsidP="005F7DB5">
      <w:pPr>
        <w:pStyle w:val="Bodytext20"/>
        <w:numPr>
          <w:ilvl w:val="0"/>
          <w:numId w:val="5"/>
        </w:numPr>
        <w:shd w:val="clear" w:color="auto" w:fill="auto"/>
        <w:tabs>
          <w:tab w:val="left" w:pos="908"/>
        </w:tabs>
        <w:spacing w:before="120" w:after="240" w:line="300" w:lineRule="auto"/>
        <w:ind w:left="5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przypadku postępowania zakończonego decyzją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>219/2020:</w:t>
      </w:r>
    </w:p>
    <w:p w14:paraId="7FCC4A39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311"/>
        </w:tabs>
        <w:spacing w:before="120" w:after="240" w:line="300" w:lineRule="auto"/>
        <w:ind w:left="13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organ naruszył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 xml:space="preserve">72 k.p.a., gdyż w aktach sprawy brak było wydruków z Krajowego Rejestru Sądowego lub adnotacji sporządzonej i podpisanej przez osobę prowadzącą postępowanie, o dokonaniu czynności sprawdzenia sposobu reprezentacji spółki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Victoria </w:t>
      </w:r>
      <w:r w:rsidRPr="005F7DB5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Dom </w:t>
      </w:r>
      <w:r w:rsidRPr="005F7DB5">
        <w:rPr>
          <w:rFonts w:asciiTheme="minorHAnsi" w:hAnsiTheme="minorHAnsi" w:cstheme="minorHAnsi"/>
          <w:sz w:val="22"/>
          <w:szCs w:val="22"/>
        </w:rPr>
        <w:t>S.A.;</w:t>
      </w:r>
    </w:p>
    <w:p w14:paraId="7FCC4A3A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311"/>
        </w:tabs>
        <w:spacing w:before="120" w:after="240" w:line="300" w:lineRule="auto"/>
        <w:ind w:left="13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organ zawiesił postępowanie w trybie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98 § 1 k.p.a., pomimo że w aktach sprawy brak było wniosku inwestora o zawieszenie postępowania, na którym pieczęć wpływu organu dokumentowałaby fakt oraz datę złożenia takiego wniosku.</w:t>
      </w:r>
    </w:p>
    <w:p w14:paraId="7FCC4A3B" w14:textId="77777777" w:rsidR="003D3E2A" w:rsidRPr="005F7DB5" w:rsidRDefault="007939C6" w:rsidP="005F7DB5">
      <w:pPr>
        <w:pStyle w:val="Bodytext20"/>
        <w:numPr>
          <w:ilvl w:val="0"/>
          <w:numId w:val="5"/>
        </w:numPr>
        <w:shd w:val="clear" w:color="auto" w:fill="auto"/>
        <w:tabs>
          <w:tab w:val="left" w:pos="908"/>
        </w:tabs>
        <w:spacing w:before="120" w:after="240" w:line="300" w:lineRule="auto"/>
        <w:ind w:left="5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W przypadku postępowania zakończonego decyzją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>56/2020:</w:t>
      </w:r>
    </w:p>
    <w:p w14:paraId="7FCC4A3C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311"/>
        </w:tabs>
        <w:spacing w:before="120" w:after="240" w:line="300" w:lineRule="auto"/>
        <w:ind w:left="13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zatwierdzony projekt zagospodarowania terenu był niespójny z pozwoleniem wodnoprawnym</w:t>
      </w: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5F7DB5">
        <w:rPr>
          <w:rFonts w:asciiTheme="minorHAnsi" w:hAnsiTheme="minorHAnsi" w:cstheme="minorHAnsi"/>
          <w:sz w:val="22"/>
          <w:szCs w:val="22"/>
        </w:rPr>
        <w:t xml:space="preserve"> na wykonanie urządzeń wodnych przeznaczonych do obsługi projektowanej inwestycji. Ww. pozwoleniem udzielono zgody na wykonanie 3 skrzynek retencyjno-rozsączających o wym. 12 m x 3,6 m x 06 m, posadowionych na rzędnej 81.00 m n.p.m., zaprojektowano natomiast 2 skrzynki o wymiarach: 16,8 pkt m x 2,4 m x 1,2 m oraz 6,0 m x 2,4 m x 1,2 m posadowione na rzędnej 80.40 m n.p.m.;</w:t>
      </w:r>
    </w:p>
    <w:p w14:paraId="7FCC4A3D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311"/>
        </w:tabs>
        <w:spacing w:before="120" w:after="240" w:line="300" w:lineRule="auto"/>
        <w:ind w:left="13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osoba prowadząca postępowanie złożyła oświadczenie o bezstronności w rozpatrywaniu sprawy na załączniku do nieaktualnego zarządzenia Prezydenta m.st. </w:t>
      </w:r>
      <w:r w:rsidRPr="005F7DB5">
        <w:rPr>
          <w:rFonts w:asciiTheme="minorHAnsi" w:hAnsiTheme="minorHAnsi" w:cstheme="minorHAnsi"/>
          <w:sz w:val="22"/>
          <w:szCs w:val="22"/>
        </w:rPr>
        <w:lastRenderedPageBreak/>
        <w:t xml:space="preserve">Warszawy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5479/2014, </w:t>
      </w:r>
      <w:r w:rsidRPr="005F7DB5">
        <w:rPr>
          <w:rFonts w:asciiTheme="minorHAnsi" w:hAnsiTheme="minorHAnsi" w:cstheme="minorHAnsi"/>
          <w:sz w:val="22"/>
          <w:szCs w:val="22"/>
        </w:rPr>
        <w:t xml:space="preserve">pomimo że od dnia 9.12.2016 r. obowiązywało Zarządzenie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>1793/2016.</w:t>
      </w:r>
    </w:p>
    <w:p w14:paraId="7FCC4A3E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W badanym okresie bezpośredni nadzór nad WAB sprawowała Zastępca Burmistrza Dzielnicy Białołęka Pani Izabela Ziątek. Wszystkie kontrolowane decyzje podpisał p. Jerzy Leszczełowski Naczelnik WAB.</w:t>
      </w:r>
    </w:p>
    <w:p w14:paraId="7FCC4A3F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Skala oraz charakter powyższych ustaleń uzasadniają sformułowanie pozytywnej z zastrzeżeniami oceny działalności jednostki w zakresie objętym kontrolą.</w:t>
      </w:r>
    </w:p>
    <w:p w14:paraId="7FCC4A40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7FCC4A41" w14:textId="2D67E10D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Każdorazowe udokumentowanie w aktach sprawy (poprzez włączenie do materiału dowodowego kopii stosownych dokumentów będących w posiadaniu organu lub dokumentów dostarczonych przez inwestora) możliwości podłączenia projektowanej zabudowy do sieci wodociągowej i kanalizacyjnej, w celu wykazania wypełnienia dyspozycji § 8 ust. 5 pkt 5 (w zw. z § 22 ust. 1 i § 23 ust. 1) obowiązującego na tym terenie miejscowego planu zagospodarowania p</w:t>
      </w:r>
      <w:r w:rsidR="00107D31" w:rsidRPr="005F7DB5">
        <w:rPr>
          <w:rFonts w:asciiTheme="minorHAnsi" w:hAnsiTheme="minorHAnsi" w:cstheme="minorHAnsi"/>
          <w:sz w:val="22"/>
          <w:szCs w:val="22"/>
        </w:rPr>
        <w:t>r</w:t>
      </w:r>
      <w:r w:rsidRPr="005F7DB5">
        <w:rPr>
          <w:rFonts w:asciiTheme="minorHAnsi" w:hAnsiTheme="minorHAnsi" w:cstheme="minorHAnsi"/>
          <w:sz w:val="22"/>
          <w:szCs w:val="22"/>
        </w:rPr>
        <w:t>zestrzennego osiedli Mochtyńska-Kobiałka.</w:t>
      </w:r>
    </w:p>
    <w:p w14:paraId="7FCC4A42" w14:textId="77777777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Każdorazowe rzetelne sprawdzenie zatwierdzanego projektu zagospodarowania działki lub terenu oraz projektu architektoniczno-budowlanego, zgodnie z 35 ust. 1 Prawa budowlanego, w szczególności pod względem:</w:t>
      </w:r>
    </w:p>
    <w:p w14:paraId="7FCC4A43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459"/>
        </w:tabs>
        <w:spacing w:before="120" w:after="240" w:line="300" w:lineRule="auto"/>
        <w:ind w:left="14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zgodności z ustaleniami decyzji o warunkach zabudowy w zakresie geometrii dachu,</w:t>
      </w:r>
    </w:p>
    <w:p w14:paraId="7FCC4A44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459"/>
        </w:tabs>
        <w:spacing w:before="120" w:after="240" w:line="300" w:lineRule="auto"/>
        <w:ind w:left="14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zgodności z przepisami Warunków Technicznych w zakresie § 22 ust. 4 oraz 23 ust. 1 pkt 1.</w:t>
      </w:r>
    </w:p>
    <w:p w14:paraId="7FCC4A45" w14:textId="77777777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Każdorazowe prowadzenie postępowania z zachowaniem zasady zapewniającej stronom czynny udział w każdym jego stadium, zgodnie z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10 § 1 k.p.a., w tym informowanie wszystkich stron postępowania o nałożeniu obowiązku usunięcia nieprawidłowości w dokumentacji projektowej oraz umożliwienie stronom wypowiedzenia się, co do zebranych dowodów i materiałów oraz zgłoszonych żądań przed wydaniem decyzji.</w:t>
      </w:r>
    </w:p>
    <w:p w14:paraId="7FCC4A46" w14:textId="77777777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Każdorazowe prowadzenie postępowań administracyjnych z zachowaniem zasady szybkości postępowania zawartej w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 xml:space="preserve">12 § 1 k.p.a. oraz wypełnieniem obowiązku załatwienia sprawy bez zbędnej zwłoki ujętym w </w:t>
      </w:r>
      <w:r w:rsidRPr="005F7DB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F7DB5">
        <w:rPr>
          <w:rFonts w:asciiTheme="minorHAnsi" w:hAnsiTheme="minorHAnsi" w:cstheme="minorHAnsi"/>
          <w:sz w:val="22"/>
          <w:szCs w:val="22"/>
        </w:rPr>
        <w:t>35 § 1 k.p.a.</w:t>
      </w:r>
    </w:p>
    <w:p w14:paraId="7FCC4A47" w14:textId="77777777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Każdorazowe dokumentowanie w aktach sprawy, poprzez odpowiednie wydruki z systemu lub podpisaną adnotację osoby prowadzącej postępowanie, czynności sprawdzenia:</w:t>
      </w:r>
    </w:p>
    <w:p w14:paraId="7FCC4A48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459"/>
        </w:tabs>
        <w:spacing w:before="120" w:after="240" w:line="300" w:lineRule="auto"/>
        <w:ind w:left="14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sposobu reprezentacji spółki składającej wniosek,</w:t>
      </w:r>
    </w:p>
    <w:p w14:paraId="7FCC4A49" w14:textId="77777777" w:rsidR="003D3E2A" w:rsidRPr="005F7DB5" w:rsidRDefault="007939C6" w:rsidP="005F7DB5">
      <w:pPr>
        <w:pStyle w:val="Bodytext20"/>
        <w:numPr>
          <w:ilvl w:val="0"/>
          <w:numId w:val="6"/>
        </w:numPr>
        <w:shd w:val="clear" w:color="auto" w:fill="auto"/>
        <w:tabs>
          <w:tab w:val="left" w:pos="1459"/>
        </w:tabs>
        <w:spacing w:before="120" w:after="240" w:line="300" w:lineRule="auto"/>
        <w:ind w:left="14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lastRenderedPageBreak/>
        <w:t>wpisu projektantów do centralnego rejestru osób posiadających uprawnienia budowlane, w przypadku załączenia do dokumentacji projektowej niepotwierdzonych za zgodność z oryginałem kopii uprawnień budowlanych projektantów.</w:t>
      </w:r>
    </w:p>
    <w:p w14:paraId="7FCC4A4A" w14:textId="77777777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Każdorazowe zatwierdzanie dokumentacji projektowej spójnej z załączonymi uzgodnieniami i decyzjami, w szczególności z wymaganym pozwoleniem wodnoprawnym.</w:t>
      </w:r>
    </w:p>
    <w:p w14:paraId="7FCC4A4B" w14:textId="77777777" w:rsidR="003D3E2A" w:rsidRPr="005F7DB5" w:rsidRDefault="007939C6" w:rsidP="005F7DB5">
      <w:pPr>
        <w:pStyle w:val="Bodytext20"/>
        <w:numPr>
          <w:ilvl w:val="0"/>
          <w:numId w:val="7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Każdorazowe podejmowanie czynności proceduralnych i technicznych z należytą rzetelnością i starannością, w tym składanie oświadczeń o bezstronności w rozpatrywaniu sprawy na załączniku do zarządzenia Nr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 </w:t>
      </w:r>
      <w:r w:rsidRPr="005F7DB5">
        <w:rPr>
          <w:rFonts w:asciiTheme="minorHAnsi" w:hAnsiTheme="minorHAnsi" w:cstheme="minorHAnsi"/>
          <w:sz w:val="22"/>
          <w:szCs w:val="22"/>
        </w:rPr>
        <w:t>Prezydenta Miasta Stołecznego Warszawy z dnia 9 grudnia 2016 r.</w:t>
      </w:r>
    </w:p>
    <w:p w14:paraId="7FCC4A4C" w14:textId="77777777" w:rsidR="003D3E2A" w:rsidRPr="005F7DB5" w:rsidRDefault="007939C6" w:rsidP="005F7DB5">
      <w:pPr>
        <w:pStyle w:val="Bodytext20"/>
        <w:numPr>
          <w:ilvl w:val="0"/>
          <w:numId w:val="8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Zorganizowanie cyklicznych szkoleń dotyczących obowiązującego prawa materialnego oraz proceduralnego w zakresie realizowanych zadań.</w:t>
      </w:r>
    </w:p>
    <w:p w14:paraId="7FCC4A4D" w14:textId="053187B1" w:rsidR="003D3E2A" w:rsidRPr="005F7DB5" w:rsidRDefault="007939C6" w:rsidP="005F7DB5">
      <w:pPr>
        <w:pStyle w:val="Bodytext20"/>
        <w:numPr>
          <w:ilvl w:val="0"/>
          <w:numId w:val="8"/>
        </w:numPr>
        <w:shd w:val="clear" w:color="auto" w:fill="auto"/>
        <w:tabs>
          <w:tab w:val="left" w:pos="815"/>
        </w:tabs>
        <w:spacing w:before="120" w:after="240" w:line="300" w:lineRule="auto"/>
        <w:ind w:left="90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Zwiększenie nadzoru nad wykonywaniem obowiązków przez podległych pracowników.</w:t>
      </w:r>
    </w:p>
    <w:p w14:paraId="4142FF20" w14:textId="17D460D1" w:rsidR="002166D8" w:rsidRPr="005F7DB5" w:rsidRDefault="007939C6" w:rsidP="00026C2B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7FCC4A4F" w14:textId="37C2A50F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right="9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 xml:space="preserve">Na podstawie § 41 ust. 1 Zarządzenia zobowiązuję Panią do przekazania kopii ww. informacji Dyrektorowi </w:t>
      </w:r>
      <w:r w:rsidRPr="005F7DB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ВАІРР </w:t>
      </w:r>
      <w:r w:rsidRPr="005F7DB5">
        <w:rPr>
          <w:rFonts w:asciiTheme="minorHAnsi" w:hAnsiTheme="minorHAnsi" w:cstheme="minorHAnsi"/>
          <w:sz w:val="22"/>
          <w:szCs w:val="22"/>
        </w:rPr>
        <w:t>oraz Dyrektorowi Biura Kontroli.</w:t>
      </w:r>
    </w:p>
    <w:p w14:paraId="63D62122" w14:textId="34BAD528" w:rsidR="002166D8" w:rsidRPr="005F7DB5" w:rsidRDefault="00A45F41" w:rsidP="00D92BFB">
      <w:pPr>
        <w:pStyle w:val="Bodytext20"/>
        <w:shd w:val="clear" w:color="auto" w:fill="auto"/>
        <w:spacing w:before="120" w:after="240" w:line="300" w:lineRule="auto"/>
        <w:ind w:left="4253" w:right="96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PODINSPEKTOR</w:t>
      </w:r>
      <w:r w:rsidR="00DB2EC6">
        <w:rPr>
          <w:rFonts w:asciiTheme="minorHAnsi" w:hAnsiTheme="minorHAnsi" w:cstheme="minorHAnsi"/>
          <w:sz w:val="22"/>
          <w:szCs w:val="22"/>
        </w:rPr>
        <w:t xml:space="preserve"> MIASTA STOŁECZNEGO WARSZAWY /-/ Rafał Trzaskowski</w:t>
      </w:r>
    </w:p>
    <w:p w14:paraId="7FCC4A51" w14:textId="77777777" w:rsidR="003D3E2A" w:rsidRPr="005F7DB5" w:rsidRDefault="007939C6" w:rsidP="005F7DB5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7FCC4A52" w14:textId="77777777" w:rsidR="003D3E2A" w:rsidRPr="005F7DB5" w:rsidRDefault="007939C6" w:rsidP="005F7DB5">
      <w:pPr>
        <w:pStyle w:val="Bodytext20"/>
        <w:numPr>
          <w:ilvl w:val="0"/>
          <w:numId w:val="9"/>
        </w:numPr>
        <w:shd w:val="clear" w:color="auto" w:fill="auto"/>
        <w:tabs>
          <w:tab w:val="left" w:pos="341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Pani Renata Kaznowska - Zastępca Prezydenta Miasta Stołecznego Warszawy</w:t>
      </w:r>
    </w:p>
    <w:p w14:paraId="7FCC4A53" w14:textId="77777777" w:rsidR="003D3E2A" w:rsidRPr="005F7DB5" w:rsidRDefault="007939C6" w:rsidP="005F7DB5">
      <w:pPr>
        <w:pStyle w:val="Bodytext20"/>
        <w:numPr>
          <w:ilvl w:val="0"/>
          <w:numId w:val="9"/>
        </w:numPr>
        <w:shd w:val="clear" w:color="auto" w:fill="auto"/>
        <w:tabs>
          <w:tab w:val="left" w:pos="34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</w:rPr>
        <w:t>Pan Bartosz Rozbiewski - Dyrektor Biura Architektury i Planowania Przestrzennego</w:t>
      </w:r>
    </w:p>
    <w:sectPr w:rsidR="003D3E2A" w:rsidRPr="005F7DB5">
      <w:footerReference w:type="default" r:id="rId8"/>
      <w:headerReference w:type="first" r:id="rId9"/>
      <w:footerReference w:type="first" r:id="rId10"/>
      <w:pgSz w:w="11900" w:h="16840"/>
      <w:pgMar w:top="1487" w:right="1536" w:bottom="190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4A5B" w14:textId="77777777" w:rsidR="007939C6" w:rsidRDefault="007939C6">
      <w:r>
        <w:separator/>
      </w:r>
    </w:p>
  </w:endnote>
  <w:endnote w:type="continuationSeparator" w:id="0">
    <w:p w14:paraId="7FCC4A5D" w14:textId="77777777" w:rsidR="007939C6" w:rsidRDefault="0079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950528"/>
      <w:docPartObj>
        <w:docPartGallery w:val="Page Numbers (Bottom of Page)"/>
        <w:docPartUnique/>
      </w:docPartObj>
    </w:sdtPr>
    <w:sdtEndPr/>
    <w:sdtContent>
      <w:sdt>
        <w:sdtPr>
          <w:id w:val="1961601819"/>
          <w:docPartObj>
            <w:docPartGallery w:val="Page Numbers (Top of Page)"/>
            <w:docPartUnique/>
          </w:docPartObj>
        </w:sdtPr>
        <w:sdtEndPr/>
        <w:sdtContent>
          <w:p w14:paraId="40324A00" w14:textId="656951EE" w:rsidR="005A61F9" w:rsidRDefault="005A61F9">
            <w:pPr>
              <w:pStyle w:val="Stopka"/>
              <w:jc w:val="right"/>
            </w:pP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C47FB32" w14:textId="77777777" w:rsidR="00F2427B" w:rsidRDefault="00F24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4012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1AC95372" w14:textId="643D7947" w:rsidR="005A61F9" w:rsidRPr="005A61F9" w:rsidRDefault="005A61F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A61F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D8650F0" w14:textId="77777777" w:rsidR="00F2427B" w:rsidRDefault="00F2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4A56" w14:textId="77777777" w:rsidR="003D3E2A" w:rsidRDefault="007939C6">
      <w:r>
        <w:separator/>
      </w:r>
    </w:p>
  </w:footnote>
  <w:footnote w:type="continuationSeparator" w:id="0">
    <w:p w14:paraId="7FCC4A57" w14:textId="77777777" w:rsidR="003D3E2A" w:rsidRDefault="007939C6">
      <w:r>
        <w:continuationSeparator/>
      </w:r>
    </w:p>
  </w:footnote>
  <w:footnote w:id="1">
    <w:p w14:paraId="7FCC4A5A" w14:textId="77777777" w:rsidR="003D3E2A" w:rsidRPr="00A56877" w:rsidRDefault="007939C6" w:rsidP="00974840">
      <w:pPr>
        <w:pStyle w:val="Footnote10"/>
        <w:shd w:val="clear" w:color="auto" w:fill="auto"/>
        <w:tabs>
          <w:tab w:val="left" w:pos="286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  <w:t xml:space="preserve">decyzje nr </w:t>
      </w:r>
      <w:r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>271/2022, 272/2022, 273/2022, 274/2022, 275/2022, 276/2022;</w:t>
      </w:r>
    </w:p>
  </w:footnote>
  <w:footnote w:id="2">
    <w:p w14:paraId="7FCC4A5B" w14:textId="77777777" w:rsidR="003D3E2A" w:rsidRPr="00A56877" w:rsidRDefault="007939C6" w:rsidP="00974840">
      <w:pPr>
        <w:pStyle w:val="Footnote10"/>
        <w:shd w:val="clear" w:color="auto" w:fill="auto"/>
        <w:tabs>
          <w:tab w:val="left" w:pos="27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  <w:t xml:space="preserve">decyzje z dn. 26.10.2022 r., nr: </w:t>
      </w:r>
      <w:r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997/0 </w:t>
      </w:r>
      <w:r w:rsidRPr="00A56877">
        <w:rPr>
          <w:rFonts w:asciiTheme="minorHAnsi" w:hAnsiTheme="minorHAnsi" w:cstheme="minorHAnsi"/>
          <w:sz w:val="22"/>
          <w:szCs w:val="22"/>
          <w:lang w:val="en-US" w:eastAsia="en-US" w:bidi="en-US"/>
        </w:rPr>
        <w:t>PON/2022,</w:t>
      </w:r>
      <w:r w:rsidRPr="00A56877">
        <w:rPr>
          <w:rFonts w:asciiTheme="minorHAnsi" w:hAnsiTheme="minorHAnsi" w:cstheme="minorHAnsi"/>
          <w:sz w:val="22"/>
          <w:szCs w:val="22"/>
        </w:rPr>
        <w:t>996/OPON/2022;</w:t>
      </w:r>
    </w:p>
  </w:footnote>
  <w:footnote w:id="3">
    <w:p w14:paraId="7FCC4A5C" w14:textId="77777777" w:rsidR="003D3E2A" w:rsidRPr="00A56877" w:rsidRDefault="007939C6" w:rsidP="00974840">
      <w:pPr>
        <w:pStyle w:val="Footnote10"/>
        <w:shd w:val="clear" w:color="auto" w:fill="auto"/>
        <w:tabs>
          <w:tab w:val="left" w:pos="27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  <w:t xml:space="preserve">decyzje nr: </w:t>
      </w:r>
      <w:r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271/2022 </w:t>
      </w:r>
      <w:r w:rsidRPr="00A56877">
        <w:rPr>
          <w:rFonts w:asciiTheme="minorHAnsi" w:hAnsiTheme="minorHAnsi" w:cstheme="minorHAnsi"/>
          <w:sz w:val="22"/>
          <w:szCs w:val="22"/>
        </w:rPr>
        <w:t xml:space="preserve">i </w:t>
      </w:r>
      <w:r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>273/2022;</w:t>
      </w:r>
    </w:p>
  </w:footnote>
  <w:footnote w:id="4">
    <w:p w14:paraId="7FCC4A5D" w14:textId="77777777" w:rsidR="003D3E2A" w:rsidRPr="00A56877" w:rsidRDefault="007939C6" w:rsidP="00974840">
      <w:pPr>
        <w:pStyle w:val="Footnote10"/>
        <w:shd w:val="clear" w:color="auto" w:fill="auto"/>
        <w:tabs>
          <w:tab w:val="left" w:pos="28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  <w:t xml:space="preserve">decyzje nr: </w:t>
      </w:r>
      <w:r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>272/2022,274/2022,275/2022, 276/2022;</w:t>
      </w:r>
    </w:p>
  </w:footnote>
  <w:footnote w:id="5">
    <w:p w14:paraId="7FCC4A5E" w14:textId="028BC979" w:rsidR="003D3E2A" w:rsidRPr="00A56877" w:rsidRDefault="005A61F9" w:rsidP="00974840">
      <w:pPr>
        <w:pStyle w:val="Footnote10"/>
        <w:shd w:val="clear" w:color="auto" w:fill="auto"/>
        <w:tabs>
          <w:tab w:val="left" w:pos="27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6">
    <w:p w14:paraId="7FCC4A5F" w14:textId="704EEC14" w:rsidR="003D3E2A" w:rsidRPr="00A56877" w:rsidRDefault="005A61F9" w:rsidP="00974840">
      <w:pPr>
        <w:pStyle w:val="Footnote10"/>
        <w:shd w:val="clear" w:color="auto" w:fill="auto"/>
        <w:tabs>
          <w:tab w:val="left" w:pos="2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7">
    <w:p w14:paraId="7FCC4A60" w14:textId="4F0BFA76" w:rsidR="003D3E2A" w:rsidRPr="00A56877" w:rsidRDefault="005A61F9" w:rsidP="00974840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5F7DB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8">
    <w:p w14:paraId="391FBFE0" w14:textId="2612F20C" w:rsidR="00CF7861" w:rsidRPr="00A56877" w:rsidRDefault="00CF7861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9">
    <w:p w14:paraId="498FA3DD" w14:textId="7804CF99" w:rsidR="00CF7861" w:rsidRPr="00A56877" w:rsidRDefault="00CF7861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</w:r>
      <w:r w:rsidR="00900606" w:rsidRPr="00A56877">
        <w:rPr>
          <w:rFonts w:asciiTheme="minorHAnsi" w:hAnsiTheme="minorHAnsi" w:cstheme="minorHAnsi"/>
          <w:sz w:val="22"/>
          <w:szCs w:val="22"/>
        </w:rPr>
        <w:t>zakaz realizacji zabudowy przed uzbrojeniem terenu w sieć wodociągową i kanalizacyjną;</w:t>
      </w:r>
    </w:p>
  </w:footnote>
  <w:footnote w:id="10">
    <w:p w14:paraId="0B56271C" w14:textId="77777777" w:rsidR="00EC2207" w:rsidRPr="00A56877" w:rsidRDefault="00EC2207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  <w:t>pełne pokrycie zapotrzebowania na wodę dla istniejącej i projektowanej zabudowy z projektowanej miejskiej sieci wodociągowej</w:t>
      </w:r>
    </w:p>
  </w:footnote>
  <w:footnote w:id="11">
    <w:p w14:paraId="4B8CDDF0" w14:textId="77777777" w:rsidR="00364CDD" w:rsidRPr="00A56877" w:rsidRDefault="00364CDD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  <w:t>Objęcie systemem kanalizacji ogólnospławnej istniejącej i projektowanej zabudowy</w:t>
      </w:r>
    </w:p>
  </w:footnote>
  <w:footnote w:id="12">
    <w:p w14:paraId="32A9C245" w14:textId="5DB07B8F" w:rsidR="00281B0F" w:rsidRPr="00A56877" w:rsidRDefault="00281B0F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</w:r>
      <w:r w:rsidR="005A1A6B" w:rsidRPr="00A56877">
        <w:rPr>
          <w:rFonts w:asciiTheme="minorHAnsi" w:hAnsiTheme="minorHAnsi" w:cstheme="minorHAnsi"/>
          <w:sz w:val="22"/>
          <w:szCs w:val="22"/>
        </w:rPr>
        <w:t xml:space="preserve">Uchwała Rady Gminy Warszawa Białołęka </w:t>
      </w:r>
      <w:r w:rsidR="005A1A6B" w:rsidRPr="00A56877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Ni </w:t>
      </w:r>
      <w:r w:rsidR="005A1A6B" w:rsidRPr="00A568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XXXVII/498/97 </w:t>
      </w:r>
      <w:r w:rsidR="005A1A6B" w:rsidRPr="00A56877">
        <w:rPr>
          <w:rFonts w:asciiTheme="minorHAnsi" w:hAnsiTheme="minorHAnsi" w:cstheme="minorHAnsi"/>
          <w:sz w:val="22"/>
          <w:szCs w:val="22"/>
        </w:rPr>
        <w:t>z dnia 27 czerwca 1997 r. w sprawie miejscowego planu zagospodarowania przestrzennego osiedli Mochtyńska i Kobiałka w gminie Warszawa Białołęka (Dz. U. Woj. Maz. nr 44 z 18.09.1997 r. poz. 152);</w:t>
      </w:r>
    </w:p>
  </w:footnote>
  <w:footnote w:id="13">
    <w:p w14:paraId="7FCC4A63" w14:textId="0CC81957" w:rsidR="003D3E2A" w:rsidRPr="00A56877" w:rsidRDefault="007939C6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</w:r>
      <w:r w:rsidR="00D36068" w:rsidRPr="00A56877">
        <w:rPr>
          <w:rFonts w:asciiTheme="minorHAnsi" w:hAnsiTheme="minorHAnsi" w:cstheme="minorHAnsi"/>
          <w:sz w:val="22"/>
          <w:szCs w:val="22"/>
        </w:rPr>
        <w:t>Dz. U. z 2023 r., poz. 682 z późn. zm.;</w:t>
      </w:r>
    </w:p>
  </w:footnote>
  <w:footnote w:id="14">
    <w:p w14:paraId="7FCC4A64" w14:textId="71AFEF26" w:rsidR="003D3E2A" w:rsidRPr="00A56877" w:rsidRDefault="007939C6" w:rsidP="00974840">
      <w:pPr>
        <w:pStyle w:val="Footnote10"/>
        <w:shd w:val="clear" w:color="auto" w:fill="auto"/>
        <w:tabs>
          <w:tab w:val="left" w:pos="206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</w:r>
      <w:r w:rsidR="00D36068" w:rsidRPr="00A56877">
        <w:rPr>
          <w:rFonts w:asciiTheme="minorHAnsi" w:hAnsiTheme="minorHAnsi" w:cstheme="minorHAnsi"/>
          <w:sz w:val="22"/>
          <w:szCs w:val="22"/>
        </w:rPr>
        <w:t>j.t. Dz. U. z 2022 r., poz. 1225;</w:t>
      </w:r>
    </w:p>
  </w:footnote>
  <w:footnote w:id="15">
    <w:p w14:paraId="7FCC4A65" w14:textId="4BF980AA" w:rsidR="003D3E2A" w:rsidRPr="00A56877" w:rsidRDefault="007939C6" w:rsidP="00974840">
      <w:pPr>
        <w:pStyle w:val="Footnote10"/>
        <w:shd w:val="clear" w:color="auto" w:fill="auto"/>
        <w:tabs>
          <w:tab w:val="left" w:pos="14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ab/>
      </w:r>
      <w:r w:rsidR="003254AA" w:rsidRPr="00A56877">
        <w:rPr>
          <w:rFonts w:asciiTheme="minorHAnsi" w:hAnsiTheme="minorHAnsi" w:cstheme="minorHAnsi"/>
          <w:sz w:val="22"/>
          <w:szCs w:val="22"/>
        </w:rPr>
        <w:t xml:space="preserve">osoba poruszająca się na wózku inwalidzkim, aby dotrzeć do śmietnika musiałaby przejechać po ciągu pieszo-jezdnym (zatwierdzonym decyzją o pozwoleniu na budowę nr </w:t>
      </w:r>
      <w:r w:rsidR="003254AA"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42/2020 </w:t>
      </w:r>
      <w:r w:rsidR="003254AA" w:rsidRPr="00A56877">
        <w:rPr>
          <w:rFonts w:asciiTheme="minorHAnsi" w:hAnsiTheme="minorHAnsi" w:cstheme="minorHAnsi"/>
          <w:sz w:val="22"/>
          <w:szCs w:val="22"/>
        </w:rPr>
        <w:t>z 3.02.2020 r.), którego nawierzchnia została zaprojektowana z tłucznia/kruszywa łamanego;</w:t>
      </w:r>
    </w:p>
  </w:footnote>
  <w:footnote w:id="16">
    <w:p w14:paraId="7FCC4A66" w14:textId="0DCA7120" w:rsidR="003D3E2A" w:rsidRPr="00A56877" w:rsidRDefault="007939C6" w:rsidP="00974840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407F2E" w:rsidRPr="00A56877">
        <w:rPr>
          <w:rFonts w:asciiTheme="minorHAnsi" w:hAnsiTheme="minorHAnsi" w:cstheme="minorHAnsi"/>
          <w:sz w:val="22"/>
          <w:szCs w:val="22"/>
        </w:rPr>
        <w:t xml:space="preserve">decyzje nr: </w:t>
      </w:r>
      <w:r w:rsidR="00407F2E" w:rsidRPr="00A56877">
        <w:rPr>
          <w:rFonts w:asciiTheme="minorHAnsi" w:hAnsiTheme="minorHAnsi" w:cstheme="minorHAnsi"/>
          <w:sz w:val="22"/>
          <w:szCs w:val="22"/>
          <w:lang w:val="ru-RU" w:eastAsia="ru-RU" w:bidi="ru-RU"/>
        </w:rPr>
        <w:t>219/2022, 56/2022, 306/2022;</w:t>
      </w:r>
    </w:p>
  </w:footnote>
  <w:footnote w:id="17">
    <w:p w14:paraId="7FCC4A67" w14:textId="78750BB2" w:rsidR="003D3E2A" w:rsidRPr="00A56877" w:rsidRDefault="007939C6" w:rsidP="00974840">
      <w:pPr>
        <w:pStyle w:val="Footnote10"/>
        <w:shd w:val="clear" w:color="auto" w:fill="auto"/>
        <w:spacing w:before="20" w:after="20" w:line="240" w:lineRule="auto"/>
        <w:ind w:left="1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568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6877">
        <w:rPr>
          <w:rFonts w:asciiTheme="minorHAnsi" w:hAnsiTheme="minorHAnsi" w:cstheme="minorHAnsi"/>
          <w:sz w:val="22"/>
          <w:szCs w:val="22"/>
        </w:rPr>
        <w:t xml:space="preserve"> </w:t>
      </w:r>
      <w:r w:rsidR="00E72C09" w:rsidRPr="00A56877">
        <w:rPr>
          <w:rFonts w:asciiTheme="minorHAnsi" w:hAnsiTheme="minorHAnsi" w:cstheme="minorHAnsi"/>
          <w:sz w:val="22"/>
          <w:szCs w:val="22"/>
        </w:rPr>
        <w:t>decyzja z dn. 12.05.2022 r„ znak: WA.ZUZ.6.4210.194.2022.MSK;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2E15" w14:textId="4B160371" w:rsidR="00D92BFB" w:rsidRPr="00F2427B" w:rsidRDefault="00F2427B" w:rsidP="00F2427B">
    <w:pPr>
      <w:pStyle w:val="Nagwek"/>
    </w:pPr>
    <w:r>
      <w:rPr>
        <w:noProof/>
      </w:rPr>
      <w:drawing>
        <wp:inline distT="0" distB="0" distL="0" distR="0" wp14:anchorId="268EF446" wp14:editId="257B49C9">
          <wp:extent cx="5681345" cy="1067131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345" cy="106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7ED"/>
    <w:multiLevelType w:val="multilevel"/>
    <w:tmpl w:val="D3D4075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E4CC5"/>
    <w:multiLevelType w:val="multilevel"/>
    <w:tmpl w:val="D696C4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411944"/>
    <w:multiLevelType w:val="multilevel"/>
    <w:tmpl w:val="EC10C872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2224E"/>
    <w:multiLevelType w:val="multilevel"/>
    <w:tmpl w:val="7876B2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C53D8"/>
    <w:multiLevelType w:val="multilevel"/>
    <w:tmpl w:val="AA94A4C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720D9E"/>
    <w:multiLevelType w:val="multilevel"/>
    <w:tmpl w:val="0C6CDC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087F66"/>
    <w:multiLevelType w:val="multilevel"/>
    <w:tmpl w:val="700857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CD296D"/>
    <w:multiLevelType w:val="multilevel"/>
    <w:tmpl w:val="CA2A2514"/>
    <w:lvl w:ilvl="0">
      <w:start w:val="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390921"/>
    <w:multiLevelType w:val="multilevel"/>
    <w:tmpl w:val="B59E1A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1127223">
    <w:abstractNumId w:val="2"/>
  </w:num>
  <w:num w:numId="2" w16cid:durableId="1712875694">
    <w:abstractNumId w:val="7"/>
  </w:num>
  <w:num w:numId="3" w16cid:durableId="1990985260">
    <w:abstractNumId w:val="4"/>
  </w:num>
  <w:num w:numId="4" w16cid:durableId="1054354162">
    <w:abstractNumId w:val="1"/>
  </w:num>
  <w:num w:numId="5" w16cid:durableId="1287003126">
    <w:abstractNumId w:val="5"/>
  </w:num>
  <w:num w:numId="6" w16cid:durableId="1366710712">
    <w:abstractNumId w:val="3"/>
  </w:num>
  <w:num w:numId="7" w16cid:durableId="939028010">
    <w:abstractNumId w:val="8"/>
  </w:num>
  <w:num w:numId="8" w16cid:durableId="1574390089">
    <w:abstractNumId w:val="0"/>
  </w:num>
  <w:num w:numId="9" w16cid:durableId="1602449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2A"/>
    <w:rsid w:val="00026C2B"/>
    <w:rsid w:val="000908C6"/>
    <w:rsid w:val="00100F0A"/>
    <w:rsid w:val="00107D31"/>
    <w:rsid w:val="00130B59"/>
    <w:rsid w:val="002144D4"/>
    <w:rsid w:val="002166D8"/>
    <w:rsid w:val="002723E0"/>
    <w:rsid w:val="00281B0F"/>
    <w:rsid w:val="003254AA"/>
    <w:rsid w:val="00364CDD"/>
    <w:rsid w:val="003867E6"/>
    <w:rsid w:val="003D3E2A"/>
    <w:rsid w:val="00407F2E"/>
    <w:rsid w:val="005A1A6B"/>
    <w:rsid w:val="005A61F9"/>
    <w:rsid w:val="005F60C5"/>
    <w:rsid w:val="005F7DB5"/>
    <w:rsid w:val="0067516B"/>
    <w:rsid w:val="00770945"/>
    <w:rsid w:val="007939C6"/>
    <w:rsid w:val="00806537"/>
    <w:rsid w:val="00863D1B"/>
    <w:rsid w:val="008A4B85"/>
    <w:rsid w:val="00900606"/>
    <w:rsid w:val="00974840"/>
    <w:rsid w:val="00A42F5A"/>
    <w:rsid w:val="00A45F41"/>
    <w:rsid w:val="00A56877"/>
    <w:rsid w:val="00A80248"/>
    <w:rsid w:val="00A87B00"/>
    <w:rsid w:val="00B312FD"/>
    <w:rsid w:val="00B52EE3"/>
    <w:rsid w:val="00B8504E"/>
    <w:rsid w:val="00BF7E6E"/>
    <w:rsid w:val="00C40C3B"/>
    <w:rsid w:val="00CB4FED"/>
    <w:rsid w:val="00CE2226"/>
    <w:rsid w:val="00CF7861"/>
    <w:rsid w:val="00D07D4C"/>
    <w:rsid w:val="00D36068"/>
    <w:rsid w:val="00D76966"/>
    <w:rsid w:val="00D92BFB"/>
    <w:rsid w:val="00DB2EC6"/>
    <w:rsid w:val="00E06E77"/>
    <w:rsid w:val="00E2064E"/>
    <w:rsid w:val="00E72C09"/>
    <w:rsid w:val="00E833D0"/>
    <w:rsid w:val="00EC2207"/>
    <w:rsid w:val="00EF5996"/>
    <w:rsid w:val="00F2427B"/>
    <w:rsid w:val="00FC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CC4A10"/>
  <w15:docId w15:val="{92322BA4-BA3A-4F26-9262-4F56B76D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6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Heading11SmallCaps">
    <w:name w:val="Heading #1|1 + Small Caps"/>
    <w:basedOn w:val="Heading11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70"/>
      <w:position w:val="0"/>
      <w:sz w:val="30"/>
      <w:szCs w:val="30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ItalicScaling80">
    <w:name w:val="Body text|2 + Bold;Italic;Scaling 8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80"/>
      <w:position w:val="0"/>
      <w:sz w:val="19"/>
      <w:szCs w:val="19"/>
      <w:u w:val="none"/>
      <w:lang w:val="ru-RU" w:eastAsia="ru-RU" w:bidi="ru-RU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NotBold">
    <w:name w:val="Body text|4 + 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ind w:hanging="220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b/>
      <w:bCs/>
      <w:w w:val="70"/>
      <w:sz w:val="30"/>
      <w:szCs w:val="30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06" w:lineRule="exact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380" w:after="380" w:line="212" w:lineRule="exact"/>
      <w:ind w:hanging="900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220" w:after="120" w:line="283" w:lineRule="exact"/>
      <w:ind w:hanging="40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216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6D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16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6D8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16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67D2-A3D3-4784-907B-A8C19C40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2497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52</cp:revision>
  <dcterms:created xsi:type="dcterms:W3CDTF">2024-06-14T09:45:00Z</dcterms:created>
  <dcterms:modified xsi:type="dcterms:W3CDTF">2024-08-20T10:01:00Z</dcterms:modified>
</cp:coreProperties>
</file>