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38E4" w14:textId="74FA2245" w:rsidR="00E7488D" w:rsidRPr="006431F2" w:rsidRDefault="00083765" w:rsidP="006431F2">
      <w:pPr>
        <w:pStyle w:val="Bodytext20"/>
        <w:shd w:val="clear" w:color="auto" w:fill="auto"/>
        <w:spacing w:before="0"/>
        <w:ind w:left="5529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Warszawa, </w:t>
      </w:r>
      <w:r w:rsidR="00787319">
        <w:rPr>
          <w:rFonts w:asciiTheme="minorHAnsi" w:hAnsiTheme="minorHAnsi" w:cstheme="minorHAnsi"/>
          <w:b w:val="0"/>
          <w:sz w:val="22"/>
          <w:szCs w:val="22"/>
        </w:rPr>
        <w:t xml:space="preserve">30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października 2023 r.</w:t>
      </w:r>
    </w:p>
    <w:p w14:paraId="040938E5" w14:textId="77777777" w:rsidR="00E7488D" w:rsidRPr="006431F2" w:rsidRDefault="00083765" w:rsidP="006431F2">
      <w:pPr>
        <w:pStyle w:val="Bodytext20"/>
        <w:shd w:val="clear" w:color="auto" w:fill="auto"/>
        <w:spacing w:before="0" w:after="999"/>
        <w:ind w:left="24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KW-WP.1712.18.2023.PMA</w:t>
      </w:r>
    </w:p>
    <w:p w14:paraId="040938E6" w14:textId="661AE24B" w:rsidR="00E7488D" w:rsidRPr="00E5270B" w:rsidRDefault="006431F2" w:rsidP="006431F2">
      <w:pPr>
        <w:pStyle w:val="Bodytext20"/>
        <w:shd w:val="clear" w:color="auto" w:fill="auto"/>
        <w:spacing w:before="0" w:after="0" w:line="326" w:lineRule="exact"/>
        <w:ind w:left="572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</w:rPr>
        <w:t>Pani</w:t>
      </w:r>
    </w:p>
    <w:p w14:paraId="74C85607" w14:textId="77777777" w:rsidR="006431F2" w:rsidRPr="00E5270B" w:rsidRDefault="00083765" w:rsidP="006431F2">
      <w:pPr>
        <w:pStyle w:val="Bodytext20"/>
        <w:shd w:val="clear" w:color="auto" w:fill="auto"/>
        <w:spacing w:before="0" w:after="0" w:line="326" w:lineRule="exact"/>
        <w:ind w:left="572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Małgorzata Kwiatkowska </w:t>
      </w:r>
    </w:p>
    <w:p w14:paraId="040938E7" w14:textId="52FDFC63" w:rsidR="00E7488D" w:rsidRPr="00E5270B" w:rsidRDefault="00083765" w:rsidP="006431F2">
      <w:pPr>
        <w:pStyle w:val="Bodytext20"/>
        <w:shd w:val="clear" w:color="auto" w:fill="auto"/>
        <w:spacing w:before="0" w:after="0" w:line="326" w:lineRule="exact"/>
        <w:ind w:left="572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</w:rPr>
        <w:t>Burmistrz</w:t>
      </w:r>
    </w:p>
    <w:p w14:paraId="040938E8" w14:textId="7192764E" w:rsidR="00E7488D" w:rsidRPr="00E5270B" w:rsidRDefault="006431F2" w:rsidP="006431F2">
      <w:pPr>
        <w:pStyle w:val="Bodytext20"/>
        <w:shd w:val="clear" w:color="auto" w:fill="auto"/>
        <w:spacing w:before="0" w:after="1401" w:line="326" w:lineRule="exact"/>
        <w:ind w:left="572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</w:rPr>
        <w:t>Dzielnicy Targówek m.</w:t>
      </w:r>
      <w:r w:rsidR="00083765" w:rsidRPr="00E5270B">
        <w:rPr>
          <w:rFonts w:asciiTheme="minorHAnsi" w:hAnsiTheme="minorHAnsi" w:cstheme="minorHAnsi"/>
          <w:b w:val="0"/>
          <w:sz w:val="22"/>
          <w:szCs w:val="22"/>
        </w:rPr>
        <w:t>st. Warszawy</w:t>
      </w:r>
    </w:p>
    <w:p w14:paraId="040938E9" w14:textId="77777777" w:rsidR="00E7488D" w:rsidRPr="006431F2" w:rsidRDefault="00083765" w:rsidP="006431F2">
      <w:pPr>
        <w:pStyle w:val="Bodytext20"/>
        <w:shd w:val="clear" w:color="auto" w:fill="auto"/>
        <w:spacing w:before="0" w:after="663"/>
        <w:ind w:left="3261" w:right="2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Wystąpienie pokontrolne</w:t>
      </w:r>
    </w:p>
    <w:p w14:paraId="040938EA" w14:textId="77777777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312/2007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Prezydenta m.st. Warszawy z dnia 4 kwietnia 2007 r. w sprawie nadania regulaminu organizacyjnego Urzędu m.st. Warszawy (z późn. zm.), w związku z kontrolą przeprowadzoną przez Biuro Kontroli Urzędu m.st. Warszawy w Urzędzie Dzielnicy Targówek m.st. Warszawy w okresie od 05.04.2023 r. do 20.04.2023 r. z przerwą w dniu 07.04.2023 r., w zakresie organizacji składania oświadczeń o prowadzeniu działalności gospodarczej przez pracowników Urzędu Dzielnicy Targówek m.st. Warszawy i ich weryfikacji w zakresie występowania konfliktu interesów oraz naruszania zakazów określonych w ustawie o pracownikach samorządowych, w okresie od 01.01.2018 r. do 31.12.2022 r., której wyniki zostały przedstawione w protokole kontroli podpisanym 27 kwietnia 2023 r., stosownie do § 32 ust. 5 Zarządzenia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Prezydenta miasta stołecznego Warszawy z dnia 12 grudnia 2019 r. w sprawie zasad i trybu postępowania kontrolnego (dalej: Zarządzenie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1837/2019),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przekazuję Pani niniejszy Projekt wystąpienia pokontrolnego.</w:t>
      </w:r>
    </w:p>
    <w:p w14:paraId="040938EB" w14:textId="5C665845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Celem kontroli było zbadanie i dokonanie oceny prawidłowości działania jednostki kontrolowanej w zakresie przestrzegania wymogów ustalonych w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31 ustawy z dnia 21 listopada 2008 r. o pracownikach samorządowych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"/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,dalej u.p.s.), w tym składania oświadczeń o prowadzeniu działalności gospodarczej (dalej: oświadczenie) przez pracowników samorządowych zatrudnionych na stanowisku urzędniczym, w tym kierowniczym stanowisku urzędniczym oraz Zarządzenia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1001/2015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Prezydenta m. st. Warszawy z dnia 10 lipca 2015 r. z</w:t>
      </w:r>
      <w:r w:rsidR="006431F2" w:rsidRPr="006431F2">
        <w:rPr>
          <w:rFonts w:asciiTheme="minorHAnsi" w:hAnsiTheme="minorHAnsi" w:cstheme="minorHAnsi"/>
          <w:b w:val="0"/>
          <w:sz w:val="22"/>
          <w:szCs w:val="22"/>
        </w:rPr>
        <w:t xml:space="preserve">e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zm. w sprawie składania</w:t>
      </w:r>
    </w:p>
    <w:p w14:paraId="040938EC" w14:textId="6E1D501D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left="1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oświadczeń o prowadzeniu działalności gospodarcz</w:t>
      </w:r>
      <w:r w:rsidR="006431F2" w:rsidRPr="006431F2">
        <w:rPr>
          <w:rFonts w:asciiTheme="minorHAnsi" w:hAnsiTheme="minorHAnsi" w:cstheme="minorHAnsi"/>
          <w:b w:val="0"/>
          <w:sz w:val="22"/>
          <w:szCs w:val="22"/>
        </w:rPr>
        <w:t>ej przez pracowników Urzędu m.st.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 Warszawy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(dalej: Zarządzenie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>1001/2015).</w:t>
      </w:r>
    </w:p>
    <w:p w14:paraId="040938ED" w14:textId="77777777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left="1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Stosownie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 art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30 u.p.s. pracownik samorządowy zatrudniony na stanowisku urzędniczym, w tym kierowniczym stanowisku urzędniczym, nie może wykonywać zajęć pozostających w sprzeczności lub związanych z zajęciami, które wykonuje w ramach obowiązków służbowych, wywołujących uzasadnione podejrzenie o stronniczość lub interesowność oraz zajęć sprzecznych z obowiązkami wynikającymi z ustawy. W przypadku stwierdzenia naruszenia przez pracownika któregokolwiek z tych zakazów, niezwłocznie rozwiązuje się z nim, bez wypowiedzenia, stosunek pracy w trybie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52 § 2 i 3 ustawy Kodeksu pracy lub odwołuje się go ze stanowiska. Stosownie do przepisów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31 u.p.s., pracownik zatrudniony na stanowisku urzędniczym, w tym kierowniczym stanowisku urzędniczym, zobowiązany jest do złożenia oświadczenia o prowadzeniu działalności gospodarczej w terminie 30 dni od dnia podjęcia działalności gospodarczej lub zmiany jej charakteru.</w:t>
      </w:r>
    </w:p>
    <w:p w14:paraId="040938EE" w14:textId="77777777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left="1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Kontrola wykazała, że w Urzędzie Dzielnicy Targówek m.st. Warszawy (dalej: UD Targówek) nie wprowadzono odrębnych od przewidzianych w Zarządzeniu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1001/2015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procedur regulujących proces składania, przechowywania i aktualizowania oświadczeń o prowadzeniu bądź nieprowadzeniu działalności gospodarczej. Jak poinformował Pan Rafał Kropacz Kierownik Zespołu Kadr dla Dzielnicy Targówek (dalej: Kierownik), w kontrolowanym okresie wszyscy zobowiązani pracownicy złożyli wymagane Zarządzeniem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1001/2015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oświadczenia. Kierownik wskazał także, iż w latach 2018-2022 uprawnione organy nie występowały o udostępnienie informacji zawartych ww. oświadczeniach.</w:t>
      </w:r>
    </w:p>
    <w:p w14:paraId="040938EF" w14:textId="77777777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left="1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Na podstawie danych zawartych w „Rejestrze oświadczeń o prowadzeniu działalności gospodarczej" ustalono, że w okresie od 01.01.2018 r. do 31.12.2022 r. zarejestrowano złożenie 101 oświadczeń, w tym 92 złożonych przez pracowników zatrudnionych na stanowiskach urzędniczych 19 złożonych przez pracowników zatrudnionych stanowiskach nieurzędniczych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"/>
      </w:r>
      <w:r w:rsidRPr="006431F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40938F0" w14:textId="77777777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left="1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Należy przy tym wskazać, iż zgodnie z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31 ust. 1 u.p.s. i Zarządzeniem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1001/2015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obowiązek składania ww. oświadczeń dotyczył tylko osób zatrudnionych na stanowiskach urzędniczych, w tym kierowniczych stanowiskach urzędniczych, wobec czego oświadczenia osób zatrudnionych na stanowiskach nieurzędniczych nie powinny być rejestrowane.</w:t>
      </w:r>
    </w:p>
    <w:p w14:paraId="040938F1" w14:textId="77777777" w:rsidR="00E7488D" w:rsidRPr="006431F2" w:rsidRDefault="00083765" w:rsidP="00787319">
      <w:pPr>
        <w:pStyle w:val="Bodytext20"/>
        <w:shd w:val="clear" w:color="auto" w:fill="auto"/>
        <w:spacing w:before="120" w:afterLines="240" w:after="576" w:line="300" w:lineRule="auto"/>
        <w:ind w:left="18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Sprawdzenie Rejestru oraz przekazanych na żądanie kontrolującego zestawień danych i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lastRenderedPageBreak/>
        <w:t>dokumentów dotyczących pracowników zatrudnionych na stanowiskach urzędniczych wykazało, że:</w:t>
      </w:r>
    </w:p>
    <w:p w14:paraId="040938F2" w14:textId="77777777" w:rsidR="00E7488D" w:rsidRPr="006431F2" w:rsidRDefault="00083765" w:rsidP="006431F2">
      <w:pPr>
        <w:pStyle w:val="Bodytext20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244" w:line="326" w:lineRule="exact"/>
        <w:ind w:left="600" w:hanging="2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 okresie kontrolowanym 9 osób, zatrudnionych w UD Targówek, złożyło oświadczenia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3"/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o prowadzeniu działalności gospodarczej. Przekazane do kontroli materiały oraz potwierdzone kopie ww. oświadczeń nie zawierały informacji, czy oraz kto i kiedy przeprowadził analizę ww. oświadczeń pod kątem występowania konfliktu interesów oraz naruszenia zakazów określonych w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art,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30 u.p.s.</w:t>
      </w:r>
    </w:p>
    <w:p w14:paraId="040938F3" w14:textId="77777777" w:rsidR="00E7488D" w:rsidRPr="006431F2" w:rsidRDefault="00083765" w:rsidP="006431F2">
      <w:pPr>
        <w:pStyle w:val="Bodytext20"/>
        <w:shd w:val="clear" w:color="auto" w:fill="auto"/>
        <w:spacing w:before="0" w:after="0" w:line="322" w:lineRule="exact"/>
        <w:ind w:left="54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Jednocześnie ustalono, iż w 3 z ww. 9 przypadków, zakres obowiązków pracownika pokrywał się z charakterem prowadzonej działalności gospodarczej, co mogło prowadzić do naruszenia zakazu określonego w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30 ust. 1 u.p.s. wykonywania zajęć związanych z zajęciami, które pracownik wykonuje w ramach obowiązków służbowych, pozostających w sprzeczności łub wywołujących uzasadnione podejrzenie o stronniczość lub interesowność, tj.:</w:t>
      </w:r>
    </w:p>
    <w:p w14:paraId="040938F4" w14:textId="07FD8A0E" w:rsidR="00E7488D" w:rsidRPr="006431F2" w:rsidRDefault="00083765" w:rsidP="006431F2">
      <w:pPr>
        <w:pStyle w:val="Bodytext20"/>
        <w:shd w:val="clear" w:color="auto" w:fill="auto"/>
        <w:spacing w:before="0" w:after="0" w:line="322" w:lineRule="exact"/>
        <w:ind w:left="54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-w</w:t>
      </w:r>
      <w:r w:rsidR="00E5270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oświadczeniu zarejestrowanym pod numerem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99/2019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charakter prowadzonej działalności wskazano jako usługi geodezyjno-projektowe, a zakres obowiązków pracownika zatrudnionego w Wydziale Infrastruktury obejmował m.in.: realizację zadań inwestycyjnych i remontowych związanych z utrzymaniem i budową dróg i obiektów mostowych (...), realizację zadań inwestycyjnych i remontowych w zakresie formalnego przygotowania (pozyskiwania wykonawców robót i usług w trybie ustawy Prawo Zamówień Publicznych) (...), rozliczanie inwestycji (fakturowanie) (...), zapewnienie nadzoru inwestorskiego w trakcie realizacji inwestycji (...), wykonywanie obowiązków związanych z rękojmią i gwarancją za realizowane roboty oraz prowadzenie rozliczeń i uzgodnień finansowych;</w:t>
      </w:r>
    </w:p>
    <w:p w14:paraId="040938F5" w14:textId="77777777" w:rsidR="00E7488D" w:rsidRPr="006431F2" w:rsidRDefault="00083765" w:rsidP="006431F2">
      <w:pPr>
        <w:pStyle w:val="Bodytext20"/>
        <w:shd w:val="clear" w:color="auto" w:fill="auto"/>
        <w:spacing w:before="0" w:after="0" w:line="322" w:lineRule="exact"/>
        <w:ind w:left="54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- w oświadczeniu zarejestrowanym pod numerem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147/2022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charakter prowadzonej działalności wskazano jako projektowanie specjalistyczne, a zgodnie z informacjami podanymi na stronie internetowej pracownika/przedsiębiorcy oraz w CEiDG to także działalność fotograficzna i działalność związana z organizacją targów, wystaw i kongresów, a zakres obowiązków pracownika zatrudnionego w Wydziale Kultury i Promocji obejmował m.in.: współpraca przy organizacji imprez kulturalnych, dokumentacja fotograficzna imprez i wydarzeń dzielnicowych, przygotowywanie graficznych materiałów informacyjnych i promocyjnych (plakaty, zaproszenia, dyplomy itp.) oraz ich dystrybucja, przygotowywanie zapytań ofertowych, przetargów zgodnie z regulaminem zamówień publicznych;</w:t>
      </w:r>
    </w:p>
    <w:p w14:paraId="040938F6" w14:textId="77777777" w:rsidR="00E7488D" w:rsidRPr="006431F2" w:rsidRDefault="00083765" w:rsidP="006431F2">
      <w:pPr>
        <w:pStyle w:val="Bodytext20"/>
        <w:shd w:val="clear" w:color="auto" w:fill="auto"/>
        <w:spacing w:before="0" w:after="240" w:line="322" w:lineRule="exact"/>
        <w:ind w:left="54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-w oświadczeniu zarejestrowanym pod numerem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149/2022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charakter prowadzonej działalności wskazano jako nadzory inwestorskie, a zakres obowiązków pracownika zatrudnionego w Wydziale Inwestycji obejmował m.in.: zapewnienie nadzorów autorskich, inwestorskich i technicznych, pozyskiwanie wykonawców, przygotowanie umów z wybranym wykonawcą, rozliczenie budowy, pełnienie funkcji inspektora nadzoru inwestorskiego w branży budowlanej.</w:t>
      </w:r>
    </w:p>
    <w:p w14:paraId="040938F7" w14:textId="77777777" w:rsidR="00E7488D" w:rsidRPr="006431F2" w:rsidRDefault="00083765" w:rsidP="006431F2">
      <w:pPr>
        <w:pStyle w:val="Bodytext20"/>
        <w:shd w:val="clear" w:color="auto" w:fill="auto"/>
        <w:spacing w:before="0" w:after="0" w:line="322" w:lineRule="exact"/>
        <w:ind w:left="46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Co prawda Pan Kierownik wskazał, iż pracodawca (Burmistrz Dzielnicy) przeprowadzał analizę złożonych oświadczeń pod kątem występowania konfliktu interesów oraz naruszenia zakazów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lastRenderedPageBreak/>
        <w:t>określonych wart. 30 u.p.s. z uwzględnieniem stanowiska kierowników komórek organizacyjnych, w których zatrudniane były osoby, niemniej brak dokumentów potwierdzających weryfikację oświadczeń nie pozwala na ocenę rzetelności przeprowadzonej analizy.</w:t>
      </w:r>
    </w:p>
    <w:p w14:paraId="040938F8" w14:textId="77777777" w:rsidR="00E7488D" w:rsidRPr="006431F2" w:rsidRDefault="00083765" w:rsidP="006431F2">
      <w:pPr>
        <w:pStyle w:val="Bodytext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224" w:line="326" w:lineRule="exact"/>
        <w:ind w:left="660" w:right="620" w:hanging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 3 przypadkach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4"/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 zarejestrowano oświadczenia podpisane z datą wcześniejszą niż data zatrudnienia pracownika.</w:t>
      </w:r>
    </w:p>
    <w:p w14:paraId="040938F9" w14:textId="77777777" w:rsidR="00E7488D" w:rsidRPr="006431F2" w:rsidRDefault="00083765" w:rsidP="006431F2">
      <w:pPr>
        <w:pStyle w:val="Bodytext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816" w:line="322" w:lineRule="exact"/>
        <w:ind w:left="660" w:hanging="2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Stwierdzono, że w latach 2018-2022 zarejestrowano złożenie 21 oświadczeń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5"/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 obarczonych niekompletnością (23% z ogółu wszystkich zarejestrowanych), co obrazuje poniższa tabela:</w:t>
      </w:r>
    </w:p>
    <w:tbl>
      <w:tblPr>
        <w:tblStyle w:val="Tabelasiatki5ciemnaakcent1"/>
        <w:tblW w:w="8501" w:type="dxa"/>
        <w:tblLayout w:type="fixed"/>
        <w:tblLook w:val="04A0" w:firstRow="1" w:lastRow="0" w:firstColumn="1" w:lastColumn="0" w:noHBand="0" w:noVBand="1"/>
        <w:tblDescription w:val="tabela przedstawiająca procent niekompletnych w stosunku do złożonych oświadczeń w latach 2018 do 2022"/>
      </w:tblPr>
      <w:tblGrid>
        <w:gridCol w:w="3254"/>
        <w:gridCol w:w="874"/>
        <w:gridCol w:w="878"/>
        <w:gridCol w:w="869"/>
        <w:gridCol w:w="864"/>
        <w:gridCol w:w="869"/>
        <w:gridCol w:w="893"/>
      </w:tblGrid>
      <w:tr w:rsidR="00420F26" w:rsidRPr="006431F2" w14:paraId="04093902" w14:textId="77777777" w:rsidTr="00420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DBDBDB" w:themeFill="accent3" w:themeFillTint="66"/>
          </w:tcPr>
          <w:p w14:paraId="040938FA" w14:textId="23296996" w:rsidR="00A7482D" w:rsidRPr="006431F2" w:rsidRDefault="00A7482D" w:rsidP="00A7482D">
            <w:pPr>
              <w:pStyle w:val="Bodytext20"/>
              <w:shd w:val="clear" w:color="auto" w:fill="auto"/>
              <w:spacing w:before="0" w:after="120"/>
              <w:ind w:left="248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Rok</w:t>
            </w:r>
          </w:p>
          <w:p w14:paraId="040938FB" w14:textId="67DD4298" w:rsidR="00A7482D" w:rsidRPr="006431F2" w:rsidRDefault="00A7482D" w:rsidP="00A7482D">
            <w:pPr>
              <w:pStyle w:val="Bodytext20"/>
              <w:shd w:val="clear" w:color="auto" w:fill="auto"/>
              <w:tabs>
                <w:tab w:val="left" w:pos="1675"/>
              </w:tabs>
              <w:spacing w:before="120" w:after="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Bodytext21"/>
                <w:rFonts w:asciiTheme="minorHAnsi" w:hAnsiTheme="minorHAnsi" w:cstheme="minorHAnsi"/>
                <w:bCs w:val="0"/>
                <w:sz w:val="22"/>
                <w:szCs w:val="22"/>
              </w:rPr>
              <w:t>Oświadczenia</w:t>
            </w:r>
          </w:p>
        </w:tc>
        <w:tc>
          <w:tcPr>
            <w:tcW w:w="874" w:type="dxa"/>
            <w:shd w:val="clear" w:color="auto" w:fill="DBDBDB" w:themeFill="accent3" w:themeFillTint="66"/>
          </w:tcPr>
          <w:p w14:paraId="040938FC" w14:textId="045A20CA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878" w:type="dxa"/>
            <w:shd w:val="clear" w:color="auto" w:fill="DBDBDB" w:themeFill="accent3" w:themeFillTint="66"/>
          </w:tcPr>
          <w:p w14:paraId="040938FD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869" w:type="dxa"/>
            <w:shd w:val="clear" w:color="auto" w:fill="DBDBDB" w:themeFill="accent3" w:themeFillTint="66"/>
          </w:tcPr>
          <w:p w14:paraId="040938FE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864" w:type="dxa"/>
            <w:shd w:val="clear" w:color="auto" w:fill="DBDBDB" w:themeFill="accent3" w:themeFillTint="66"/>
          </w:tcPr>
          <w:p w14:paraId="040938FF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869" w:type="dxa"/>
            <w:shd w:val="clear" w:color="auto" w:fill="DBDBDB" w:themeFill="accent3" w:themeFillTint="66"/>
          </w:tcPr>
          <w:p w14:paraId="04093900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893" w:type="dxa"/>
            <w:shd w:val="clear" w:color="auto" w:fill="DBDBDB" w:themeFill="accent3" w:themeFillTint="66"/>
          </w:tcPr>
          <w:p w14:paraId="04093901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</w:tr>
      <w:tr w:rsidR="00420F26" w:rsidRPr="006431F2" w14:paraId="0409390A" w14:textId="77777777" w:rsidTr="00420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DBDBDB" w:themeFill="accent3" w:themeFillTint="66"/>
          </w:tcPr>
          <w:p w14:paraId="04093903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ilość zarejestrowanych oświadczeń</w:t>
            </w:r>
          </w:p>
        </w:tc>
        <w:tc>
          <w:tcPr>
            <w:tcW w:w="874" w:type="dxa"/>
          </w:tcPr>
          <w:p w14:paraId="04093904" w14:textId="26D406EC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878" w:type="dxa"/>
          </w:tcPr>
          <w:p w14:paraId="04093905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869" w:type="dxa"/>
          </w:tcPr>
          <w:p w14:paraId="04093906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64" w:type="dxa"/>
          </w:tcPr>
          <w:p w14:paraId="04093907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69" w:type="dxa"/>
          </w:tcPr>
          <w:p w14:paraId="04093908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93" w:type="dxa"/>
          </w:tcPr>
          <w:p w14:paraId="04093909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  <w:tr w:rsidR="00420F26" w:rsidRPr="006431F2" w14:paraId="04093912" w14:textId="77777777" w:rsidTr="00420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DBDBDB" w:themeFill="accent3" w:themeFillTint="66"/>
          </w:tcPr>
          <w:p w14:paraId="0409390B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ilość niekompletnych oświadczeń</w:t>
            </w:r>
          </w:p>
        </w:tc>
        <w:tc>
          <w:tcPr>
            <w:tcW w:w="874" w:type="dxa"/>
          </w:tcPr>
          <w:p w14:paraId="0409390C" w14:textId="454EF4B0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78" w:type="dxa"/>
          </w:tcPr>
          <w:p w14:paraId="0409390D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69" w:type="dxa"/>
          </w:tcPr>
          <w:p w14:paraId="0409390E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14:paraId="0409390F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69" w:type="dxa"/>
          </w:tcPr>
          <w:p w14:paraId="04093910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93" w:type="dxa"/>
          </w:tcPr>
          <w:p w14:paraId="04093911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</w:tr>
      <w:tr w:rsidR="00420F26" w:rsidRPr="006431F2" w14:paraId="0409391A" w14:textId="77777777" w:rsidTr="00420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  <w:shd w:val="clear" w:color="auto" w:fill="DBDBDB" w:themeFill="accent3" w:themeFillTint="66"/>
          </w:tcPr>
          <w:p w14:paraId="04093913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 w:line="322" w:lineRule="exact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procent niekompletnych w stosunku do złożonych oświadczeń</w:t>
            </w:r>
          </w:p>
        </w:tc>
        <w:tc>
          <w:tcPr>
            <w:tcW w:w="874" w:type="dxa"/>
          </w:tcPr>
          <w:p w14:paraId="04093914" w14:textId="53076431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16%</w:t>
            </w:r>
          </w:p>
        </w:tc>
        <w:tc>
          <w:tcPr>
            <w:tcW w:w="878" w:type="dxa"/>
          </w:tcPr>
          <w:p w14:paraId="04093915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21%</w:t>
            </w:r>
          </w:p>
        </w:tc>
        <w:tc>
          <w:tcPr>
            <w:tcW w:w="869" w:type="dxa"/>
          </w:tcPr>
          <w:p w14:paraId="04093916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18%</w:t>
            </w:r>
          </w:p>
        </w:tc>
        <w:tc>
          <w:tcPr>
            <w:tcW w:w="864" w:type="dxa"/>
          </w:tcPr>
          <w:p w14:paraId="04093917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31%</w:t>
            </w:r>
          </w:p>
        </w:tc>
        <w:tc>
          <w:tcPr>
            <w:tcW w:w="869" w:type="dxa"/>
          </w:tcPr>
          <w:p w14:paraId="04093918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28%</w:t>
            </w:r>
          </w:p>
        </w:tc>
        <w:tc>
          <w:tcPr>
            <w:tcW w:w="893" w:type="dxa"/>
          </w:tcPr>
          <w:p w14:paraId="04093919" w14:textId="77777777" w:rsidR="00A7482D" w:rsidRPr="006431F2" w:rsidRDefault="00A7482D" w:rsidP="00A7482D">
            <w:pPr>
              <w:pStyle w:val="Bodytext20"/>
              <w:shd w:val="clear" w:color="auto" w:fill="auto"/>
              <w:spacing w:before="0"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1F2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23%</w:t>
            </w:r>
          </w:p>
        </w:tc>
      </w:tr>
    </w:tbl>
    <w:p w14:paraId="0409391B" w14:textId="77777777" w:rsidR="00E7488D" w:rsidRPr="006431F2" w:rsidRDefault="00E7488D" w:rsidP="00A7482D">
      <w:pPr>
        <w:rPr>
          <w:rFonts w:asciiTheme="minorHAnsi" w:hAnsiTheme="minorHAnsi" w:cstheme="minorHAnsi"/>
          <w:sz w:val="22"/>
          <w:szCs w:val="22"/>
        </w:rPr>
      </w:pPr>
    </w:p>
    <w:p w14:paraId="0409391C" w14:textId="77777777" w:rsidR="00E7488D" w:rsidRPr="006431F2" w:rsidRDefault="00E7488D" w:rsidP="006431F2">
      <w:pPr>
        <w:rPr>
          <w:rFonts w:asciiTheme="minorHAnsi" w:hAnsiTheme="minorHAnsi" w:cstheme="minorHAnsi"/>
          <w:sz w:val="22"/>
          <w:szCs w:val="22"/>
        </w:rPr>
      </w:pPr>
    </w:p>
    <w:p w14:paraId="0409391D" w14:textId="77777777" w:rsidR="00E7488D" w:rsidRPr="006431F2" w:rsidRDefault="00083765" w:rsidP="006431F2">
      <w:pPr>
        <w:pStyle w:val="Bodytext20"/>
        <w:shd w:val="clear" w:color="auto" w:fill="auto"/>
        <w:spacing w:before="707" w:after="239"/>
        <w:ind w:left="66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Szczegółowa analiza złożonych oświadczeń pod kątem niekompletności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6"/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 wykazała, że:</w:t>
      </w:r>
    </w:p>
    <w:p w14:paraId="0409391E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212" w:line="326" w:lineRule="exact"/>
        <w:ind w:left="860" w:right="620" w:hanging="1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 4 przypadkach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7"/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 zarejestrowano oświadczenia o prowadzeniu działalności gospodarczej, w treści których pracownik nie wskazał jednoznacznie faktu prowadzenia bądź nieprowadzenia takiej działalności;</w:t>
      </w:r>
    </w:p>
    <w:p w14:paraId="0409391F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228" w:line="336" w:lineRule="exact"/>
        <w:ind w:left="860" w:right="620" w:hanging="1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 3 przypadkach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8"/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 zarejestrowano oświadczenia, które nie zawierały adresu zamieszkania oświadczającego;</w:t>
      </w:r>
    </w:p>
    <w:p w14:paraId="04093920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26" w:lineRule="exact"/>
        <w:ind w:left="860" w:right="620" w:hanging="14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lastRenderedPageBreak/>
        <w:t>w 15 przypadkach</w:t>
      </w:r>
      <w:r w:rsidRPr="006431F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9"/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 zarejestrowano oświadczenia, w których nie wskazano komórki organizacyjnej lub stanowiska pracownika składającego oświadczenie.</w:t>
      </w:r>
    </w:p>
    <w:p w14:paraId="04093921" w14:textId="77777777" w:rsidR="00E7488D" w:rsidRPr="006431F2" w:rsidRDefault="00083765" w:rsidP="006431F2">
      <w:pPr>
        <w:pStyle w:val="Bodytext20"/>
        <w:shd w:val="clear" w:color="auto" w:fill="auto"/>
        <w:spacing w:before="0" w:after="240" w:line="322" w:lineRule="exact"/>
        <w:ind w:left="2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Ustalono, że zadania związane z realizacją obowiązku zawartego w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31 u.p.s. oraz w zarządzeniu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1001/2015,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w okresie objętym kontrolą, wykonywał Wydział Kadr i Funduszy Europejskich dla Dzielnicy Targówek (dalej: WKF), a po wejściu w życie zarządzenia Prezydenta m.st. Warszawy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18/2020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z dnia 7 stycznia 2020 r. wykonuje Zespół Kadr dla Dzielnicy Targówek m.st. Warszawy (dalej: ZKD).</w:t>
      </w:r>
    </w:p>
    <w:p w14:paraId="04093922" w14:textId="77777777" w:rsidR="00E7488D" w:rsidRPr="006431F2" w:rsidRDefault="00083765" w:rsidP="006431F2">
      <w:pPr>
        <w:pStyle w:val="Bodytext20"/>
        <w:shd w:val="clear" w:color="auto" w:fill="auto"/>
        <w:spacing w:before="0" w:after="240" w:line="322" w:lineRule="exact"/>
        <w:ind w:left="2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Specyfika i waga wykazanych powyżej nieprawidłowości, brak odpowiedniej staranności i rzetelności w wykonywaniu zadań objętych kontrolą może świadczyć o konieczności zwiększenia bieżącego nadzoru nad ich realizacją.</w:t>
      </w:r>
    </w:p>
    <w:p w14:paraId="04093923" w14:textId="77777777" w:rsidR="00E7488D" w:rsidRPr="006431F2" w:rsidRDefault="00083765" w:rsidP="006431F2">
      <w:pPr>
        <w:pStyle w:val="Bodytext20"/>
        <w:shd w:val="clear" w:color="auto" w:fill="auto"/>
        <w:spacing w:before="0" w:after="0" w:line="322" w:lineRule="exact"/>
        <w:ind w:left="2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Zgodnie z przyjętym podziałem obowiązków i kompetencji między członkami Zarządu Dzielnicy Targówek m.st. Warszawy nadzór nad WKF/ZKD w okresie objętym kontrolą sprawowali:</w:t>
      </w:r>
    </w:p>
    <w:p w14:paraId="04093924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407"/>
        </w:tabs>
        <w:spacing w:before="0" w:after="0" w:line="322" w:lineRule="exact"/>
        <w:ind w:left="2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Pan Burmistrz Sławomir Antonik - od 10.12.2014 do 29.04.2020 r.</w:t>
      </w:r>
    </w:p>
    <w:p w14:paraId="04093925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407"/>
        </w:tabs>
        <w:spacing w:before="0" w:after="437" w:line="322" w:lineRule="exact"/>
        <w:ind w:left="2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Pani Burmistrz Małgorzata Kwiatkowska - od 30.04.2020 r. do chwili obecnej.</w:t>
      </w:r>
    </w:p>
    <w:p w14:paraId="04093926" w14:textId="77777777" w:rsidR="00E7488D" w:rsidRPr="006431F2" w:rsidRDefault="00083765" w:rsidP="006431F2">
      <w:pPr>
        <w:pStyle w:val="Bodytext20"/>
        <w:shd w:val="clear" w:color="auto" w:fill="auto"/>
        <w:spacing w:before="0" w:after="440"/>
        <w:ind w:left="2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 kontrolowanym okresie pracą WKF/ZKD kierował Pan Rafał Kropacz.</w:t>
      </w:r>
    </w:p>
    <w:p w14:paraId="04093927" w14:textId="77777777" w:rsidR="00E7488D" w:rsidRPr="006431F2" w:rsidRDefault="00083765" w:rsidP="006431F2">
      <w:pPr>
        <w:pStyle w:val="Bodytext20"/>
        <w:shd w:val="clear" w:color="auto" w:fill="auto"/>
        <w:spacing w:before="0" w:after="243"/>
        <w:ind w:left="2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Przedstawiając powyższe ustalenia i oceny zalecam:</w:t>
      </w:r>
    </w:p>
    <w:p w14:paraId="04093928" w14:textId="2C55B072" w:rsidR="00E7488D" w:rsidRPr="006431F2" w:rsidRDefault="00083765" w:rsidP="006431F2">
      <w:pPr>
        <w:pStyle w:val="Bodytext20"/>
        <w:numPr>
          <w:ilvl w:val="0"/>
          <w:numId w:val="4"/>
        </w:numPr>
        <w:shd w:val="clear" w:color="auto" w:fill="auto"/>
        <w:tabs>
          <w:tab w:val="left" w:pos="796"/>
        </w:tabs>
        <w:spacing w:before="0" w:after="340" w:line="322" w:lineRule="exact"/>
        <w:ind w:left="7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Każdorazowe dołączanie do złożonych oświadczeń o prowadzeniu działalności gospodarczej informacji o dokonaniu stosownej analizy ww. oświadczeń pod kątem występowania konfliktu interesó</w:t>
      </w:r>
      <w:r w:rsidR="00AC3A52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także naruszenia zakazów określonych w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30 u.p.s. or</w:t>
      </w:r>
      <w:r w:rsidR="00AC3A52">
        <w:rPr>
          <w:rFonts w:asciiTheme="minorHAnsi" w:hAnsiTheme="minorHAnsi" w:cstheme="minorHAnsi"/>
          <w:b w:val="0"/>
          <w:sz w:val="22"/>
          <w:szCs w:val="22"/>
        </w:rPr>
        <w:t xml:space="preserve">az jej wyniku w formie pisemnej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tj. w postaci dokumentu lub adnotacji. W przypadku stwierdzenia naruszenia przez pracownika samorządowego któregokolwiek z zakazów, o których mowa w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30 ust.</w:t>
      </w:r>
      <w:r w:rsidR="0078731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l u.p.s., niezwłocznie rozwiązanie z nim, bez wypowiedzenia, stosunku pracy w trybie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52 § 2 i 3 Kodeksu pracy lub odwołanie go ze stanowiska.</w:t>
      </w:r>
    </w:p>
    <w:p w14:paraId="04093929" w14:textId="77777777" w:rsidR="00E7488D" w:rsidRPr="006431F2" w:rsidRDefault="00083765" w:rsidP="006431F2">
      <w:pPr>
        <w:pStyle w:val="Bodytext20"/>
        <w:numPr>
          <w:ilvl w:val="0"/>
          <w:numId w:val="4"/>
        </w:numPr>
        <w:shd w:val="clear" w:color="auto" w:fill="auto"/>
        <w:tabs>
          <w:tab w:val="left" w:pos="796"/>
        </w:tabs>
        <w:spacing w:before="0" w:after="0" w:line="322" w:lineRule="exact"/>
        <w:ind w:left="7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Stosownie </w:t>
      </w:r>
      <w:r w:rsidRPr="006431F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 art.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31 ustawy o pracownikach samorządowych i Zarządzenia Nr </w:t>
      </w:r>
      <w:r w:rsidRPr="006431F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1001/2015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t>Prezydenta m.st. Warszawy każdorazowe rzetelne sprawdzanie prawidłowości i kompletności składanych oświadczeń, w tym w szczególności:</w:t>
      </w:r>
    </w:p>
    <w:p w14:paraId="0409392A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0" w:line="322" w:lineRule="exact"/>
        <w:ind w:left="1240" w:hanging="10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daty złożenia oświadczenia - nie wcześniej niż w dniu zatrudnienia pracownika;</w:t>
      </w:r>
    </w:p>
    <w:p w14:paraId="0409392B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0" w:line="322" w:lineRule="exact"/>
        <w:ind w:left="1240" w:hanging="10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jednoznacznego wskazania faktu prowadzenia albo nie prowadzenia działalności gospodarczej;</w:t>
      </w:r>
    </w:p>
    <w:p w14:paraId="0409392C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0" w:line="322" w:lineRule="exact"/>
        <w:ind w:left="1240" w:hanging="10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wskazania adresu zamieszkania oświadczającego;</w:t>
      </w:r>
    </w:p>
    <w:p w14:paraId="0409392D" w14:textId="77777777" w:rsidR="00E7488D" w:rsidRPr="006431F2" w:rsidRDefault="00083765" w:rsidP="006431F2">
      <w:pPr>
        <w:pStyle w:val="Bodytext20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240" w:line="322" w:lineRule="exact"/>
        <w:ind w:left="1240" w:hanging="10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wskazania komórki organizacyjnej i stanowiska pracownika.</w:t>
      </w:r>
    </w:p>
    <w:p w14:paraId="0409392E" w14:textId="7ED3E4BD" w:rsidR="00E7488D" w:rsidRPr="006431F2" w:rsidRDefault="00083765" w:rsidP="00787319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oraz § 41 ust. 1 Zarządzenia oczekuję od Pana w terminie nie dłuższym niż 30 dni od daty doręczenia niniejszego Wystąpienia pokontrolnego, </w:t>
      </w:r>
      <w:r w:rsidRPr="006431F2">
        <w:rPr>
          <w:rFonts w:asciiTheme="minorHAnsi" w:hAnsiTheme="minorHAnsi" w:cstheme="minorHAnsi"/>
          <w:b w:val="0"/>
          <w:sz w:val="22"/>
          <w:szCs w:val="22"/>
        </w:rPr>
        <w:lastRenderedPageBreak/>
        <w:t>informacji o sposobie realizacji zaleceń pokontrolnych i wykorzystaniu uwag zawartych w wystąpieniu pokontrolnym łub przyczynach braku realizacji zaleceń pokontrolnych lub niewykorzystaniu uwag bądź o innym sposobie usunięcia stwierdzonych nieprawidłowości lub uchybień.</w:t>
      </w:r>
    </w:p>
    <w:p w14:paraId="0409392F" w14:textId="616AA76D" w:rsidR="00E7488D" w:rsidRPr="006431F2" w:rsidRDefault="00083765" w:rsidP="00787319">
      <w:pPr>
        <w:pStyle w:val="Bodytext20"/>
        <w:shd w:val="clear" w:color="auto" w:fill="auto"/>
        <w:spacing w:beforeLines="120" w:before="288" w:afterLines="240" w:after="576" w:line="300" w:lineRule="auto"/>
        <w:ind w:right="90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Na podstawie § 41 ust 1 Zarządzenia zobowiązuję Pana do przekazania kopii ww. informacji Dyrektorowi Biura Magistratu oraz Dyrektorowi Biura Kontroli Urzędu m.st. Warszawy.</w:t>
      </w:r>
    </w:p>
    <w:p w14:paraId="32F3B1E0" w14:textId="573AAABD" w:rsidR="00E5270B" w:rsidRPr="006431F2" w:rsidRDefault="00E5270B" w:rsidP="00E5270B">
      <w:pPr>
        <w:pStyle w:val="Bodytext20"/>
        <w:shd w:val="clear" w:color="auto" w:fill="auto"/>
        <w:spacing w:before="120" w:afterLines="240" w:after="576" w:line="300" w:lineRule="auto"/>
        <w:ind w:left="4678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PREZYDENT MIASTA STOŁECZNEGO WARSZAWY /-/ Rafał Trzaskowski</w:t>
      </w:r>
    </w:p>
    <w:p w14:paraId="04093931" w14:textId="77777777" w:rsidR="00E7488D" w:rsidRPr="006431F2" w:rsidRDefault="00083765" w:rsidP="006431F2">
      <w:pPr>
        <w:pStyle w:val="Bodytext20"/>
        <w:shd w:val="clear" w:color="auto" w:fill="auto"/>
        <w:spacing w:before="0" w:after="360"/>
        <w:ind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Style w:val="Bodytext22"/>
          <w:rFonts w:asciiTheme="minorHAnsi" w:hAnsiTheme="minorHAnsi" w:cstheme="minorHAnsi"/>
          <w:bCs/>
          <w:sz w:val="22"/>
          <w:szCs w:val="22"/>
        </w:rPr>
        <w:t>Do wiadomości:</w:t>
      </w:r>
    </w:p>
    <w:p w14:paraId="04093932" w14:textId="77777777" w:rsidR="00E7488D" w:rsidRPr="006431F2" w:rsidRDefault="00083765" w:rsidP="006431F2">
      <w:pPr>
        <w:pStyle w:val="Body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120"/>
        <w:ind w:left="36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Katarzyna Gatas- Dyrektor Biuro Zarządzania Zasobami Ludzkimi</w:t>
      </w:r>
    </w:p>
    <w:p w14:paraId="04093933" w14:textId="77777777" w:rsidR="00E7488D" w:rsidRPr="006431F2" w:rsidRDefault="00083765" w:rsidP="006431F2">
      <w:pPr>
        <w:pStyle w:val="Bodytext20"/>
        <w:numPr>
          <w:ilvl w:val="0"/>
          <w:numId w:val="5"/>
        </w:numPr>
        <w:shd w:val="clear" w:color="auto" w:fill="auto"/>
        <w:tabs>
          <w:tab w:val="left" w:pos="714"/>
        </w:tabs>
        <w:spacing w:before="0" w:after="0"/>
        <w:ind w:left="360" w:firstLine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rFonts w:asciiTheme="minorHAnsi" w:hAnsiTheme="minorHAnsi" w:cstheme="minorHAnsi"/>
          <w:b w:val="0"/>
          <w:sz w:val="22"/>
          <w:szCs w:val="22"/>
        </w:rPr>
        <w:t>Jacek Mąka - Dyrektor Biura Zgodności</w:t>
      </w:r>
    </w:p>
    <w:sectPr w:rsidR="00E7488D" w:rsidRPr="006431F2">
      <w:footerReference w:type="default" r:id="rId8"/>
      <w:headerReference w:type="first" r:id="rId9"/>
      <w:footerReference w:type="first" r:id="rId10"/>
      <w:pgSz w:w="11900" w:h="16840"/>
      <w:pgMar w:top="1627" w:right="1324" w:bottom="1492" w:left="150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393E" w14:textId="77777777" w:rsidR="00170CD5" w:rsidRDefault="00083765">
      <w:r>
        <w:separator/>
      </w:r>
    </w:p>
  </w:endnote>
  <w:endnote w:type="continuationSeparator" w:id="0">
    <w:p w14:paraId="04093940" w14:textId="77777777" w:rsidR="00170CD5" w:rsidRDefault="0008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418683"/>
      <w:docPartObj>
        <w:docPartGallery w:val="Page Numbers (Bottom of Page)"/>
        <w:docPartUnique/>
      </w:docPartObj>
    </w:sdtPr>
    <w:sdtEndPr/>
    <w:sdtContent>
      <w:sdt>
        <w:sdtPr>
          <w:id w:val="-1455158695"/>
          <w:docPartObj>
            <w:docPartGallery w:val="Page Numbers (Top of Page)"/>
            <w:docPartUnique/>
          </w:docPartObj>
        </w:sdtPr>
        <w:sdtEndPr/>
        <w:sdtContent>
          <w:p w14:paraId="21DB4DC1" w14:textId="16AE0CFD" w:rsidR="00223FF6" w:rsidRDefault="00223FF6">
            <w:pPr>
              <w:pStyle w:val="Stopka"/>
              <w:jc w:val="right"/>
            </w:pP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5CA7C59" w14:textId="77777777" w:rsidR="00223FF6" w:rsidRDefault="00223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453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8BC97E" w14:textId="05F8B93F" w:rsidR="00223FF6" w:rsidRDefault="00223FF6">
            <w:pPr>
              <w:pStyle w:val="Stopka"/>
              <w:jc w:val="right"/>
            </w:pP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23F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409393B" w14:textId="5DC9179E" w:rsidR="00E7488D" w:rsidRDefault="00E7488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3938" w14:textId="77777777" w:rsidR="00E7488D" w:rsidRDefault="00083765">
      <w:r>
        <w:separator/>
      </w:r>
    </w:p>
  </w:footnote>
  <w:footnote w:type="continuationSeparator" w:id="0">
    <w:p w14:paraId="04093939" w14:textId="77777777" w:rsidR="00E7488D" w:rsidRDefault="00083765">
      <w:r>
        <w:continuationSeparator/>
      </w:r>
    </w:p>
  </w:footnote>
  <w:footnote w:id="1">
    <w:p w14:paraId="0409393E" w14:textId="77777777" w:rsidR="00E7488D" w:rsidRPr="006431F2" w:rsidRDefault="00083765" w:rsidP="009C4C59">
      <w:pPr>
        <w:pStyle w:val="Footnote10"/>
        <w:pBdr>
          <w:top w:val="single" w:sz="4" w:space="1" w:color="auto"/>
        </w:pBdr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6431F2">
        <w:rPr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6431F2">
        <w:rPr>
          <w:b w:val="0"/>
          <w:sz w:val="22"/>
          <w:szCs w:val="22"/>
          <w:lang w:val="pl-PL" w:eastAsia="pl-PL" w:bidi="pl-PL"/>
        </w:rPr>
        <w:t xml:space="preserve"> </w:t>
      </w:r>
      <w:r w:rsidRPr="006431F2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>Dz. U. z 2022 r. poz. 530 t.j.</w:t>
      </w:r>
    </w:p>
  </w:footnote>
  <w:footnote w:id="2">
    <w:p w14:paraId="0409393F" w14:textId="09BFE762" w:rsidR="00E7488D" w:rsidRPr="00E5270B" w:rsidRDefault="00083765" w:rsidP="009C4C5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480" w:firstLine="0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Numer w rejestrze: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60/2018,61/2018,70/2018,76/2018,77/2018,89/2019,96/2019,102/2019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146/2022.</w:t>
      </w:r>
    </w:p>
  </w:footnote>
  <w:footnote w:id="3">
    <w:p w14:paraId="04093940" w14:textId="735DEDB1" w:rsidR="00E7488D" w:rsidRDefault="00083765" w:rsidP="009C4C5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Numer w rejestrze: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55/2018,58/2018,62/2018,79/2018,99/2019,101/2019,128/2021,147/2022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149/2022.</w:t>
      </w:r>
    </w:p>
  </w:footnote>
  <w:footnote w:id="4">
    <w:p w14:paraId="04093941" w14:textId="239AD428" w:rsidR="00E7488D" w:rsidRPr="00E5270B" w:rsidRDefault="00083765" w:rsidP="009C4C59">
      <w:pPr>
        <w:pStyle w:val="Footnote10"/>
        <w:shd w:val="clear" w:color="auto" w:fill="auto"/>
        <w:tabs>
          <w:tab w:val="left" w:pos="29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Numer w rejestrze: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74/2018,75/2018,121/2020.</w:t>
      </w:r>
    </w:p>
  </w:footnote>
  <w:footnote w:id="5">
    <w:p w14:paraId="04093942" w14:textId="7A5821CE" w:rsidR="00E7488D" w:rsidRDefault="00083765" w:rsidP="009C4C5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Numer w rejestrze: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56/2018,62/2018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73/2018,80/2019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84/2019,82/2019,100/2019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106/2019, 107/2019,120/2020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121/2020,122/2021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123/2021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>,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133/2021,136/2021,137/2021,138/2022, 139/2022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,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140/2022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148/2022,150/2022.</w:t>
      </w:r>
    </w:p>
  </w:footnote>
  <w:footnote w:id="6">
    <w:p w14:paraId="04093943" w14:textId="1DA69E25" w:rsidR="00E7488D" w:rsidRPr="00E5270B" w:rsidRDefault="00083765" w:rsidP="009C4C5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>Część oświadczeń była obarczona więcej niż jednym brakiem.</w:t>
      </w:r>
    </w:p>
  </w:footnote>
  <w:footnote w:id="7">
    <w:p w14:paraId="04093944" w14:textId="1C0DA871" w:rsidR="00E7488D" w:rsidRPr="00E5270B" w:rsidRDefault="00083765" w:rsidP="009C4C5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Numer w rejestrze: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80/2019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84/2019,122/2021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123/2021.</w:t>
      </w:r>
    </w:p>
  </w:footnote>
  <w:footnote w:id="8">
    <w:p w14:paraId="04093945" w14:textId="1076183B" w:rsidR="00E7488D" w:rsidRPr="00E5270B" w:rsidRDefault="00083765" w:rsidP="009C4C59">
      <w:pPr>
        <w:pStyle w:val="Footnote10"/>
        <w:shd w:val="clear" w:color="auto" w:fill="auto"/>
        <w:tabs>
          <w:tab w:val="left" w:pos="30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Numer w rejestrze: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136/2021,140/2022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148/2022.</w:t>
      </w:r>
    </w:p>
  </w:footnote>
  <w:footnote w:id="9">
    <w:p w14:paraId="04093946" w14:textId="1D8C489B" w:rsidR="00E7488D" w:rsidRPr="00E5270B" w:rsidRDefault="00083765" w:rsidP="009C4C59">
      <w:pPr>
        <w:pStyle w:val="Footnote10"/>
        <w:shd w:val="clear" w:color="auto" w:fill="auto"/>
        <w:tabs>
          <w:tab w:val="left" w:pos="29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5270B">
        <w:rPr>
          <w:rFonts w:asciiTheme="minorHAnsi" w:hAnsiTheme="minorHAnsi" w:cstheme="minorHAnsi"/>
          <w:b w:val="0"/>
          <w:sz w:val="22"/>
          <w:szCs w:val="22"/>
          <w:vertAlign w:val="superscript"/>
          <w:lang w:val="pl-PL" w:eastAsia="pl-PL" w:bidi="pl-PL"/>
        </w:rPr>
        <w:footnoteRef/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Numer w rejestrze: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56/2018,62/2018,73/2018,82/2019,100/2019,106/2019,107/2019,</w:t>
      </w:r>
    </w:p>
    <w:p w14:paraId="04093947" w14:textId="77777777" w:rsidR="00E7488D" w:rsidRDefault="00083765" w:rsidP="009C4C59">
      <w:pPr>
        <w:pStyle w:val="Footnote10"/>
        <w:shd w:val="clear" w:color="auto" w:fill="auto"/>
        <w:spacing w:before="20" w:after="20" w:line="240" w:lineRule="auto"/>
        <w:ind w:firstLine="0"/>
      </w:pPr>
      <w:r w:rsidRPr="00E5270B">
        <w:rPr>
          <w:rFonts w:asciiTheme="minorHAnsi" w:hAnsiTheme="minorHAnsi" w:cstheme="minorHAnsi"/>
          <w:b w:val="0"/>
          <w:sz w:val="22"/>
          <w:szCs w:val="22"/>
        </w:rPr>
        <w:t xml:space="preserve">120/2020 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i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121/2020,133/2021</w:t>
      </w:r>
      <w:r w:rsidRPr="00E5270B">
        <w:rPr>
          <w:rFonts w:asciiTheme="minorHAnsi" w:hAnsiTheme="minorHAnsi" w:cstheme="minorHAnsi"/>
          <w:b w:val="0"/>
          <w:sz w:val="22"/>
          <w:szCs w:val="22"/>
          <w:lang w:val="pl-PL" w:eastAsia="pl-PL" w:bidi="pl-PL"/>
        </w:rPr>
        <w:t xml:space="preserve">, </w:t>
      </w:r>
      <w:r w:rsidRPr="00E5270B">
        <w:rPr>
          <w:rFonts w:asciiTheme="minorHAnsi" w:hAnsiTheme="minorHAnsi" w:cstheme="minorHAnsi"/>
          <w:b w:val="0"/>
          <w:sz w:val="22"/>
          <w:szCs w:val="22"/>
        </w:rPr>
        <w:t>136/2021,137/2021,138/2022,139/2022,150/2022.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4F2" w14:textId="6268DA83" w:rsidR="000A57AD" w:rsidRDefault="000A57AD">
    <w:pPr>
      <w:pStyle w:val="Nagwek"/>
    </w:pPr>
    <w:r>
      <w:rPr>
        <w:noProof/>
        <w:lang w:bidi="ar-SA"/>
      </w:rPr>
      <w:drawing>
        <wp:inline distT="0" distB="0" distL="0" distR="0" wp14:anchorId="6B93AEB3" wp14:editId="094B0D75">
          <wp:extent cx="5758180" cy="1081563"/>
          <wp:effectExtent l="0" t="0" r="0" b="444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1081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3A1C"/>
    <w:multiLevelType w:val="multilevel"/>
    <w:tmpl w:val="ECF4EF6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A3E2A"/>
    <w:multiLevelType w:val="multilevel"/>
    <w:tmpl w:val="0B1EF8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95ED0"/>
    <w:multiLevelType w:val="multilevel"/>
    <w:tmpl w:val="5558765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C8479D"/>
    <w:multiLevelType w:val="multilevel"/>
    <w:tmpl w:val="4F865DF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D6233C"/>
    <w:multiLevelType w:val="multilevel"/>
    <w:tmpl w:val="016AA8C0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2A47F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8531331">
    <w:abstractNumId w:val="4"/>
  </w:num>
  <w:num w:numId="2" w16cid:durableId="709182897">
    <w:abstractNumId w:val="0"/>
  </w:num>
  <w:num w:numId="3" w16cid:durableId="836962196">
    <w:abstractNumId w:val="3"/>
  </w:num>
  <w:num w:numId="4" w16cid:durableId="4135530">
    <w:abstractNumId w:val="2"/>
  </w:num>
  <w:num w:numId="5" w16cid:durableId="87288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8D"/>
    <w:rsid w:val="00083765"/>
    <w:rsid w:val="000A57AD"/>
    <w:rsid w:val="00170CD5"/>
    <w:rsid w:val="00223FF6"/>
    <w:rsid w:val="00420F26"/>
    <w:rsid w:val="006431F2"/>
    <w:rsid w:val="00787319"/>
    <w:rsid w:val="009C4C59"/>
    <w:rsid w:val="00A7482D"/>
    <w:rsid w:val="00AC3A52"/>
    <w:rsid w:val="00C85ADD"/>
    <w:rsid w:val="00E5270B"/>
    <w:rsid w:val="00E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0938E2"/>
  <w15:docId w15:val="{16C0E101-767D-4C20-B918-628D1088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947F66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Exact0">
    <w:name w:val="Picture caption|2 Exact"/>
    <w:basedOn w:val="Picturecaption2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2A47F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icturecaption1Exact1">
    <w:name w:val="Picture caption|1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2A47F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13ptNotBold">
    <w:name w:val="Body text|3 + 13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2A47F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313ptNotBold0">
    <w:name w:val="Body text|3 + 13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Bodytext317pt">
    <w:name w:val="Body text|3 + 17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2A47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NotBold">
    <w:name w:val="Header or footer|1 + Not Bold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NotBoldItalic">
    <w:name w:val="Body text|2 + Not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00" w:lineRule="exact"/>
      <w:ind w:hanging="100"/>
    </w:pPr>
    <w:rPr>
      <w:rFonts w:ascii="Arial" w:eastAsia="Arial" w:hAnsi="Arial" w:cs="Arial"/>
      <w:b/>
      <w:bCs/>
      <w:sz w:val="18"/>
      <w:szCs w:val="18"/>
      <w:lang w:val="ru-RU" w:eastAsia="ru-RU" w:bidi="ru-RU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380" w:lineRule="exact"/>
    </w:pPr>
    <w:rPr>
      <w:rFonts w:ascii="Arial" w:eastAsia="Arial" w:hAnsi="Arial" w:cs="Arial"/>
      <w:b/>
      <w:bCs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500"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500" w:after="100" w:line="200" w:lineRule="exact"/>
      <w:ind w:hanging="320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5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7A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A5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7AD"/>
    <w:rPr>
      <w:color w:val="000000"/>
    </w:rPr>
  </w:style>
  <w:style w:type="table" w:styleId="Tabela-Siatka">
    <w:name w:val="Table Grid"/>
    <w:basedOn w:val="Standardowy"/>
    <w:uiPriority w:val="39"/>
    <w:rsid w:val="00A7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A748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A748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listy7kolorowaakcent3">
    <w:name w:val="List Table 7 Colorful Accent 3"/>
    <w:basedOn w:val="Standardowy"/>
    <w:uiPriority w:val="52"/>
    <w:rsid w:val="00A7482D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5ciemnaakcent1">
    <w:name w:val="Grid Table 5 Dark Accent 1"/>
    <w:basedOn w:val="Standardowy"/>
    <w:uiPriority w:val="50"/>
    <w:rsid w:val="00420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8ADB-B7BB-47E8-A0C9-36228104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1648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>Urzad Miasta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cp:lastModifiedBy>Kowalczyk Monika (KW)</cp:lastModifiedBy>
  <cp:revision>7</cp:revision>
  <dcterms:created xsi:type="dcterms:W3CDTF">2024-02-15T08:38:00Z</dcterms:created>
  <dcterms:modified xsi:type="dcterms:W3CDTF">2024-08-20T09:46:00Z</dcterms:modified>
</cp:coreProperties>
</file>