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3B36" w14:textId="7CCB627F" w:rsidR="0062752B" w:rsidRPr="0062752B" w:rsidRDefault="0062752B" w:rsidP="00A147FF">
      <w:pPr>
        <w:pStyle w:val="Bodytext20"/>
        <w:shd w:val="clear" w:color="auto" w:fill="auto"/>
        <w:spacing w:before="120" w:after="240" w:line="300" w:lineRule="auto"/>
        <w:ind w:left="6237" w:firstLine="12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2752B">
        <w:rPr>
          <w:rFonts w:asciiTheme="minorHAnsi" w:hAnsiTheme="minorHAnsi" w:cstheme="minorHAnsi"/>
          <w:b w:val="0"/>
          <w:bCs w:val="0"/>
          <w:sz w:val="22"/>
          <w:szCs w:val="22"/>
        </w:rPr>
        <w:t>Warszawa</w:t>
      </w:r>
      <w:r w:rsidR="00A147F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Pr="0062752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23.08.2023 r </w:t>
      </w:r>
    </w:p>
    <w:p w14:paraId="67609978" w14:textId="218EA616" w:rsidR="0062752B" w:rsidRDefault="0062752B" w:rsidP="00A147FF">
      <w:pPr>
        <w:pStyle w:val="Bodytext20"/>
        <w:shd w:val="clear" w:color="auto" w:fill="auto"/>
        <w:spacing w:before="120" w:after="240" w:line="300" w:lineRule="auto"/>
        <w:ind w:left="-142" w:firstLine="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 sprawy:</w:t>
      </w:r>
      <w:r w:rsidR="00A147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KW-WIA.1712.16.2023.MBI</w:t>
      </w:r>
    </w:p>
    <w:p w14:paraId="3B8E023F" w14:textId="7BE515D3" w:rsidR="00736E68" w:rsidRPr="00FB1410" w:rsidRDefault="00204459" w:rsidP="00A147FF">
      <w:pPr>
        <w:pStyle w:val="Bodytext20"/>
        <w:shd w:val="clear" w:color="auto" w:fill="auto"/>
        <w:spacing w:before="240" w:after="680" w:line="300" w:lineRule="auto"/>
        <w:ind w:left="4536" w:firstLine="124"/>
        <w:contextualSpacing/>
        <w:rPr>
          <w:rFonts w:asciiTheme="minorHAnsi" w:hAnsiTheme="minorHAnsi" w:cstheme="minorHAnsi"/>
          <w:sz w:val="22"/>
          <w:szCs w:val="22"/>
        </w:rPr>
      </w:pPr>
      <w:r w:rsidRPr="00FB1410">
        <w:rPr>
          <w:rFonts w:asciiTheme="minorHAnsi" w:hAnsiTheme="minorHAnsi" w:cstheme="minorHAnsi"/>
          <w:sz w:val="22"/>
          <w:szCs w:val="22"/>
        </w:rPr>
        <w:t>Pan</w:t>
      </w:r>
    </w:p>
    <w:p w14:paraId="51F90613" w14:textId="77777777" w:rsidR="006A461F" w:rsidRPr="00FB1410" w:rsidRDefault="00204459" w:rsidP="00A147FF">
      <w:pPr>
        <w:pStyle w:val="Bodytext20"/>
        <w:shd w:val="clear" w:color="auto" w:fill="auto"/>
        <w:spacing w:before="240" w:after="680" w:line="300" w:lineRule="auto"/>
        <w:ind w:left="4660" w:right="104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FB1410">
        <w:rPr>
          <w:rFonts w:asciiTheme="minorHAnsi" w:hAnsiTheme="minorHAnsi" w:cstheme="minorHAnsi"/>
          <w:sz w:val="22"/>
          <w:szCs w:val="22"/>
        </w:rPr>
        <w:t xml:space="preserve">Robert Kempa </w:t>
      </w:r>
    </w:p>
    <w:p w14:paraId="596AE2EA" w14:textId="77777777" w:rsidR="00736E68" w:rsidRPr="00FB1410" w:rsidRDefault="00204459" w:rsidP="00A147FF">
      <w:pPr>
        <w:pStyle w:val="Bodytext20"/>
        <w:shd w:val="clear" w:color="auto" w:fill="auto"/>
        <w:spacing w:before="240" w:after="680" w:line="300" w:lineRule="auto"/>
        <w:ind w:left="4660" w:right="104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FB1410">
        <w:rPr>
          <w:rFonts w:asciiTheme="minorHAnsi" w:hAnsiTheme="minorHAnsi" w:cstheme="minorHAnsi"/>
          <w:sz w:val="22"/>
          <w:szCs w:val="22"/>
        </w:rPr>
        <w:t>Burmistrz</w:t>
      </w:r>
    </w:p>
    <w:p w14:paraId="749006F1" w14:textId="77777777" w:rsidR="00736E68" w:rsidRPr="00FB1410" w:rsidRDefault="00204459" w:rsidP="00A147FF">
      <w:pPr>
        <w:pStyle w:val="Bodytext20"/>
        <w:shd w:val="clear" w:color="auto" w:fill="auto"/>
        <w:spacing w:before="240" w:after="680" w:line="300" w:lineRule="auto"/>
        <w:ind w:left="466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FB1410">
        <w:rPr>
          <w:rFonts w:asciiTheme="minorHAnsi" w:hAnsiTheme="minorHAnsi" w:cstheme="minorHAnsi"/>
          <w:sz w:val="22"/>
          <w:szCs w:val="22"/>
        </w:rPr>
        <w:t>Dzielnicy Ursynów m.st. Warszawy</w:t>
      </w:r>
    </w:p>
    <w:p w14:paraId="546746E2" w14:textId="77777777" w:rsidR="00736E68" w:rsidRPr="00FB1410" w:rsidRDefault="00204459" w:rsidP="00A147FF">
      <w:pPr>
        <w:pStyle w:val="Nagwek1"/>
        <w:spacing w:before="120" w:after="240" w:line="300" w:lineRule="auto"/>
        <w:ind w:left="2835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B1410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Wystąpienia pokontrolne</w:t>
      </w:r>
    </w:p>
    <w:p w14:paraId="19172558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312/2007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Prezydenta m.st. Warszawy z dnia 4 kwietnia 2007 r. w sprawie nadania regulaminu organizacyjnego Urzędu Miasta Stołecznego Warszawy (ze zm.) w związku z kontrolą przeprowadzoną przez Biuro Kontroli Urzędu m.st. Warszawy w Urzędzie Dzielnicy Ursynów m.st. Warszawy (dalej: „UD Ursynów" lub „jednostka kontrolowana") w okresie od 24 marca 2023 r. do 21 kwietnia 2023 r,, w zakresie tematu pn.: „Zbiorniki bezodpływowe i przydomowe oczyszczalnie ścieków'', której wyniki zostały przedstawione w protokole kontroli podpisanym 28 kwietnia 2023 r., stosownie do § 39 ust. 1 i 2 zarządzenia nr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1837/2019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Prezydenta m.st. Warszawy z dnia 12 grudnia 2019 r. w sprawie zasad i trybu postępowania kontrolnego, przekazuję Panu niniejsze wystąpienie pokontrolne, uwzględniające złożone przez Pana zastrzeżenia do projektu wystąpienia pokontrolnego.</w:t>
      </w:r>
    </w:p>
    <w:p w14:paraId="28006142" w14:textId="3F32417B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Celem kontroli była weryfikacja stanu realizacji Dyrektywy Rady Unii Europejskiej nr 91/271/EWG dotyczącej oczyszczania ścieków komunalnych, tzw. dyrektywy ściekowej. Zgodnie z powyższą dyrektywą, a także zgodnie ze znowelizowanym prawem wodnym do końca 2027 r. liczba RLM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"/>
      </w:r>
      <w:r w:rsidR="00694AAE"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niepołączonych do kanalizacji miejskiej w obrębie aglomeracji nie może przekroczyć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2СЭ0.</w:t>
      </w:r>
    </w:p>
    <w:p w14:paraId="319FF4F9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przypadku stwierdzenia nieprawidłowości można liczyć się z dwoma rodzajami konsekwencji tj.:</w:t>
      </w:r>
    </w:p>
    <w:p w14:paraId="6085BFAF" w14:textId="77777777" w:rsidR="00736E68" w:rsidRPr="00FB1410" w:rsidRDefault="00204459" w:rsidP="00A147FF">
      <w:pPr>
        <w:pStyle w:val="Bodytext20"/>
        <w:numPr>
          <w:ilvl w:val="0"/>
          <w:numId w:val="2"/>
        </w:numPr>
        <w:shd w:val="clear" w:color="auto" w:fill="auto"/>
        <w:tabs>
          <w:tab w:val="left" w:pos="346"/>
        </w:tabs>
        <w:spacing w:before="120" w:after="240" w:line="300" w:lineRule="auto"/>
        <w:ind w:left="38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trudności w uzyskiwaniu dofinansowania ze środków unijnych na projekty z zakresu gospodarki wodno-ściekowej;</w:t>
      </w:r>
    </w:p>
    <w:p w14:paraId="06178481" w14:textId="77777777" w:rsidR="00736E68" w:rsidRPr="00FB1410" w:rsidRDefault="00204459" w:rsidP="00A147FF">
      <w:pPr>
        <w:pStyle w:val="Bodytext20"/>
        <w:numPr>
          <w:ilvl w:val="0"/>
          <w:numId w:val="2"/>
        </w:numPr>
        <w:shd w:val="clear" w:color="auto" w:fill="auto"/>
        <w:tabs>
          <w:tab w:val="left" w:pos="346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kary nakładane przez ETS w trybie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260 TFUE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2"/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4F42F9DE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Zakres kontroli obejmował m.in.:</w:t>
      </w:r>
    </w:p>
    <w:p w14:paraId="57788B8B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</w:tabs>
        <w:spacing w:before="120" w:after="240" w:line="300" w:lineRule="auto"/>
        <w:ind w:left="38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sprawdzenie wydanych w latach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2020-2Q22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decyzji nakazujących przyłączenie nieruchomości do istniejącej sieci kanalizacji miejskiej,</w:t>
      </w:r>
    </w:p>
    <w:p w14:paraId="468E41CA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</w:tabs>
        <w:spacing w:before="120" w:after="240" w:line="300" w:lineRule="auto"/>
        <w:ind w:left="38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prowadzenie w UD Ursynów elektronicznej ewidencji zbiorników bezodpływowych na nieczystości płynne oraz ewidencji przydomowych oczyszczalni ścieków,</w:t>
      </w:r>
    </w:p>
    <w:p w14:paraId="5A7ECA9B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</w:tabs>
        <w:spacing w:before="120" w:after="240" w:line="300" w:lineRule="auto"/>
        <w:ind w:left="38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ustalenie czy UD Ursynów sprawdzał posiadanie przez mieszkańców umów oraz dokumentów potwierdzających wywóz nieczystości ciekłych,</w:t>
      </w:r>
    </w:p>
    <w:p w14:paraId="4D2F8F8C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</w:tabs>
        <w:spacing w:before="120" w:after="240" w:line="300" w:lineRule="auto"/>
        <w:ind w:left="38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prowadzenie przez dzielnicę akcji promocyjnych, mających zachęcić właścicieli nieruchomości do przyłączenia ich do istniejącej sieci kanalizacyjnej,</w:t>
      </w:r>
    </w:p>
    <w:p w14:paraId="34A2D5A3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</w:tabs>
        <w:spacing w:before="120" w:after="240" w:line="300" w:lineRule="auto"/>
        <w:ind w:left="38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ustalenie liczby złożonych wniosków o dotację oraz przyznanych dotacji na likwidację zbiorników bezodpływowych.</w:t>
      </w:r>
    </w:p>
    <w:p w14:paraId="65EA97A5" w14:textId="3C40F0EA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Ustawa o utrzymaniu czystości i porządku w gminach z dnia 13 września 1996 r.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3"/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(dalej: „ucpg") stanowi, że zbiornik bezodpływowy to instalacja i urządzenie przeznaczone do gromadzenia nieczystości ciekłych w miejscu jego powstania. Zbiorniki n</w:t>
      </w:r>
      <w:r w:rsidR="0062752B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nieczystości ciekłe mogą być stosowane tylko na działkach budowlanych niemających możliwości przyłączenia do sieci kanalizacyjnej, przy czym nie dopuszcza się ich stosowania na obszarach podlegających szczególnej ochronie środowiska i narażonych na powodzie oraz zalewanie wodami, zgodnie z paragrafem 35 rozporządzenia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4"/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, zbiorniki bezodpływowa na nieczystości ciekłe powinny mieć dno i ściany nieprzepuszczalne, szczelne przykrycie z zamykanym otworem do usuwania nieczystości i odpowietrzenie wyprowadzone co najmniej 0,5 m ponad poziom terenu.</w:t>
      </w:r>
    </w:p>
    <w:p w14:paraId="73C86F14" w14:textId="5CDEEC53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Podstawowym obowiązkiem każdego właściciela nieruchomości jest jej przyłączenie do istniejącej sieci kana</w:t>
      </w:r>
      <w:r w:rsidR="00694AAE"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l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izacyjnej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(art.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5 ust. 1 pkt 2 ucpg). Z obowiązku przyłączenia do istniejącej kanalizacji są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zwolnieni jedynie właściciele nieruchomości, która jest wyposażona w przydomową oczyszczalnię ścieków (wyrok </w:t>
      </w:r>
      <w:r w:rsidRPr="00FB1410">
        <w:rPr>
          <w:rStyle w:val="Bodytext295ptSmallCaps"/>
          <w:rFonts w:asciiTheme="minorHAnsi" w:hAnsiTheme="minorHAnsi" w:cstheme="minorHAnsi"/>
          <w:sz w:val="22"/>
          <w:szCs w:val="22"/>
        </w:rPr>
        <w:t>WSA</w:t>
      </w:r>
      <w:r w:rsidR="0062752B">
        <w:rPr>
          <w:rStyle w:val="Bodytext295ptSmallCaps"/>
          <w:rFonts w:asciiTheme="minorHAnsi" w:hAnsiTheme="minorHAnsi" w:cstheme="minorHAnsi"/>
          <w:sz w:val="22"/>
          <w:szCs w:val="22"/>
        </w:rPr>
        <w:t xml:space="preserve"> </w:t>
      </w:r>
      <w:r w:rsidR="0062752B">
        <w:rPr>
          <w:rStyle w:val="Bodytext6"/>
          <w:rFonts w:asciiTheme="minorHAnsi" w:hAnsiTheme="minorHAnsi" w:cstheme="minorHAnsi"/>
          <w:b w:val="0"/>
          <w:bCs w:val="0"/>
          <w:sz w:val="22"/>
          <w:szCs w:val="22"/>
        </w:rPr>
        <w:t>w Opolu</w:t>
      </w:r>
      <w:r w:rsidR="0062752B" w:rsidRPr="00FB1410">
        <w:rPr>
          <w:rStyle w:val="Bodytext295ptSmallCaps"/>
          <w:rFonts w:asciiTheme="minorHAnsi" w:hAnsiTheme="minorHAnsi" w:cstheme="minorHAnsi"/>
          <w:sz w:val="22"/>
          <w:szCs w:val="22"/>
        </w:rPr>
        <w:t xml:space="preserve"> </w:t>
      </w:r>
      <w:r w:rsidRPr="00FB1410">
        <w:rPr>
          <w:rStyle w:val="Bodytext295ptSmallCaps"/>
          <w:rFonts w:asciiTheme="minorHAnsi" w:hAnsiTheme="minorHAnsi" w:cstheme="minorHAnsi"/>
          <w:sz w:val="22"/>
          <w:szCs w:val="22"/>
        </w:rPr>
        <w:t xml:space="preserve">z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16 września 2008 r., sygn. akt II SA/Op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124/08).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Niewykonanie przez właściciela ciążącego na nim obowiązku podłączenia do istniejącej sieci kanalizacyjnej uprawnia </w:t>
      </w:r>
      <w:r w:rsidRPr="00FB1410">
        <w:rPr>
          <w:rStyle w:val="Bodytext6"/>
          <w:rFonts w:asciiTheme="minorHAnsi" w:hAnsiTheme="minorHAnsi" w:cstheme="minorHAnsi"/>
          <w:b w:val="0"/>
          <w:bCs w:val="0"/>
          <w:sz w:val="22"/>
          <w:szCs w:val="22"/>
        </w:rPr>
        <w:t xml:space="preserve">wójta, burmistrza lub prezydenta miasta (dalej: wójt) do wydania decyzji administracyjnej nakazującej przyłączenie nieruchomości do sieci kanalizacyjnej </w:t>
      </w:r>
      <w:r w:rsidRPr="00FB1410">
        <w:rPr>
          <w:rStyle w:val="Bodytext6"/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(art. </w:t>
      </w:r>
      <w:r w:rsidRPr="00FB1410">
        <w:rPr>
          <w:rStyle w:val="Bodytext6"/>
          <w:rFonts w:asciiTheme="minorHAnsi" w:hAnsiTheme="minorHAnsi" w:cstheme="minorHAnsi"/>
          <w:b w:val="0"/>
          <w:bCs w:val="0"/>
          <w:sz w:val="22"/>
          <w:szCs w:val="22"/>
        </w:rPr>
        <w:t>5 ust. 7 ucpg). Decyzja ta nie ma charakteru uznaniowego.</w:t>
      </w:r>
    </w:p>
    <w:p w14:paraId="6B5A3FCF" w14:textId="5ED0680C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toku kontroli stwierdzono, iż proces likwidacji zbiorników bezodpływowych przebiega w niezadawalającym tempie. W okresie kontrolowanym na terenie Dzielnicy Ursynów zwiększyła się liczba zbiorników bezodpływowych z 1338 do 1440. UD Ursynów nie prowadził samodzielnych akcji promocyjnych, j</w:t>
      </w:r>
      <w:r w:rsidR="00694AAE"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dnak do każdej decyzji nakazującej przyłączenie nieruchomości do sieci kanalizacyjnej była załączana informacja o możliwości ubiegania się o dotację miejską. W latach 2020-2022 na podstawie decyzji nakazujących zlikwidowano jedynie 10 sztuk zbiorników bezodpływowych. Pozytywnie natomiast należy ocenić zatrudnienie w Urzędzie Dzielnicy „ekodoradcy", który będzie m.in. pomagał mieszkańcom w wypełnianiu wniosków o dotacje na likwidację zbiorników bezodpływowych.</w:t>
      </w:r>
    </w:p>
    <w:p w14:paraId="004ED79F" w14:textId="77777777" w:rsidR="00736E68" w:rsidRPr="00FB1410" w:rsidRDefault="00204459" w:rsidP="00A147FF">
      <w:pPr>
        <w:pStyle w:val="Bodytext20"/>
        <w:numPr>
          <w:ilvl w:val="0"/>
          <w:numId w:val="4"/>
        </w:numPr>
        <w:shd w:val="clear" w:color="auto" w:fill="auto"/>
        <w:tabs>
          <w:tab w:val="left" w:pos="300"/>
        </w:tabs>
        <w:spacing w:before="120" w:after="240" w:line="300" w:lineRule="auto"/>
        <w:ind w:left="300" w:hanging="3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Dzielnica prowadzi elektroniczną ewidencję w zakresie zbiorników bezodpływowych</w:t>
      </w:r>
    </w:p>
    <w:p w14:paraId="6BB2A622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80" w:right="4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i przydomowych oczyszczani ścieków. Z danych wynika, iż liczba zbiorników bezodpływowych w Dzielnicy Ursynów wynosiła:</w:t>
      </w:r>
    </w:p>
    <w:p w14:paraId="3F9C491C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679"/>
        </w:tabs>
        <w:spacing w:before="120" w:after="240" w:line="300" w:lineRule="auto"/>
        <w:ind w:left="30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2020 r.-1338 szt.,</w:t>
      </w:r>
    </w:p>
    <w:p w14:paraId="69AD8878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679"/>
        </w:tabs>
        <w:spacing w:before="120" w:after="240" w:line="300" w:lineRule="auto"/>
        <w:ind w:left="30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2021 r.-1448 szt.,</w:t>
      </w:r>
    </w:p>
    <w:p w14:paraId="41594081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679"/>
        </w:tabs>
        <w:spacing w:before="120" w:after="240" w:line="300" w:lineRule="auto"/>
        <w:ind w:left="640" w:right="70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2022 r. -1440 szt., z czego w 232 punktach adresowych była możliwość przyłączenia do sieci.</w:t>
      </w:r>
    </w:p>
    <w:p w14:paraId="180C77B2" w14:textId="086D4BE4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0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Jak wyjaśniła jednostka kontrolowana, cyt.: „(...) W latach ubiegłych nie otrzymaliśmy od MPWiK analogicznych wykazów danych; analizując dane MPWiK z 232 punktów adresowych: 8 dotyczy nieruchomości gdzie zlokalizowane są przydomowe oczyszczalnie ścieków, (których nakaz przyłączenia do sieci nie dotyczy), natomiast d</w:t>
      </w:r>
      <w:r w:rsidR="00694AAE"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l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a 61 nieruchomości wydaliśmy już w latach ubiegłych nakaz przyłączenia do sieci".</w:t>
      </w:r>
    </w:p>
    <w:p w14:paraId="3158B18B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00" w:right="18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Kontrola wykazała, iż w latach 2020-2022 niezmiennie w 8 punktach adresowych, nieruchomości wyposażone były w przydomowe oczyszczanie ścieków. Zgodnie z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5 ust. 1 pkt 2 ustawy z dnia 13 września 1996 r. o utrzymaniu czystości i porządku w gminach właściciele tych nieruchomości zwolnieni są z obowiązku wykonania przyłącza.</w:t>
      </w:r>
    </w:p>
    <w:p w14:paraId="329FFF15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0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Ustalono, iż co roku UD Ursynów przekazuje do Biura Ochrony Środowiska Urzędu m.st.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Warszawy (dalej również BOŚ) informacje o ilości zbiorników bezodpływowych i przydomowych oczyszczalni ścieków oraz o ilości wydanych decyzji nakazujących przyłączenie do sieci.</w:t>
      </w:r>
    </w:p>
    <w:p w14:paraId="3F099D73" w14:textId="43E22DAA" w:rsidR="00736E68" w:rsidRPr="00FB1410" w:rsidRDefault="00204459" w:rsidP="00A147FF">
      <w:pPr>
        <w:pStyle w:val="Bodytext20"/>
        <w:numPr>
          <w:ilvl w:val="0"/>
          <w:numId w:val="4"/>
        </w:numPr>
        <w:shd w:val="clear" w:color="auto" w:fill="auto"/>
        <w:tabs>
          <w:tab w:val="left" w:pos="300"/>
        </w:tabs>
        <w:spacing w:before="120" w:after="240" w:line="300" w:lineRule="auto"/>
        <w:ind w:left="300" w:hanging="3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Obowiązek przyłączenia do sieci miejskiej egzekwowany był pi zez UD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>Ursyn</w:t>
      </w:r>
      <w:r w:rsidR="00694AAE"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>ów</w:t>
      </w:r>
      <w:r w:rsidR="0062752B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poprzez wydawanie decyzji nakazujących. Urząd Dzielnicy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>Ursyn</w:t>
      </w:r>
      <w:r w:rsidR="00694AAE"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>ów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m.st. Warszawy w okresie kontrolowanym wydał łącznie 64 decyzje, z czego:</w:t>
      </w:r>
    </w:p>
    <w:p w14:paraId="6EEA0FEE" w14:textId="77777777" w:rsidR="00736E68" w:rsidRPr="00FB1410" w:rsidRDefault="00204459" w:rsidP="00A147FF">
      <w:pPr>
        <w:pStyle w:val="Bodytext60"/>
        <w:numPr>
          <w:ilvl w:val="0"/>
          <w:numId w:val="3"/>
        </w:numPr>
        <w:shd w:val="clear" w:color="auto" w:fill="auto"/>
        <w:tabs>
          <w:tab w:val="left" w:pos="679"/>
        </w:tabs>
        <w:spacing w:before="120" w:after="240" w:line="300" w:lineRule="auto"/>
        <w:ind w:left="300"/>
        <w:rPr>
          <w:rFonts w:asciiTheme="minorHAnsi" w:hAnsiTheme="minorHAnsi" w:cstheme="minorHAnsi"/>
          <w:sz w:val="22"/>
          <w:szCs w:val="22"/>
        </w:rPr>
      </w:pPr>
      <w:r w:rsidRPr="00FB1410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V/ </w:t>
      </w:r>
      <w:r w:rsidRPr="00FB1410">
        <w:rPr>
          <w:rFonts w:asciiTheme="minorHAnsi" w:hAnsiTheme="minorHAnsi" w:cstheme="minorHAnsi"/>
          <w:sz w:val="22"/>
          <w:szCs w:val="22"/>
        </w:rPr>
        <w:t>2020 r. - łącznie wydano 24 decyzje (19 umarzających</w:t>
      </w:r>
      <w:r w:rsidRPr="00FB1410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FB1410">
        <w:rPr>
          <w:rFonts w:asciiTheme="minorHAnsi" w:hAnsiTheme="minorHAnsi" w:cstheme="minorHAnsi"/>
          <w:sz w:val="22"/>
          <w:szCs w:val="22"/>
        </w:rPr>
        <w:t xml:space="preserve"> i 5 nakazujących);</w:t>
      </w:r>
    </w:p>
    <w:p w14:paraId="2471FE6C" w14:textId="77777777" w:rsidR="00736E68" w:rsidRPr="00FB1410" w:rsidRDefault="00204459" w:rsidP="00A147FF">
      <w:pPr>
        <w:pStyle w:val="Bodytext60"/>
        <w:numPr>
          <w:ilvl w:val="0"/>
          <w:numId w:val="3"/>
        </w:numPr>
        <w:shd w:val="clear" w:color="auto" w:fill="auto"/>
        <w:tabs>
          <w:tab w:val="left" w:pos="679"/>
        </w:tabs>
        <w:spacing w:before="120" w:after="240" w:line="300" w:lineRule="auto"/>
        <w:ind w:left="300"/>
        <w:rPr>
          <w:rFonts w:asciiTheme="minorHAnsi" w:hAnsiTheme="minorHAnsi" w:cstheme="minorHAnsi"/>
          <w:sz w:val="22"/>
          <w:szCs w:val="22"/>
        </w:rPr>
      </w:pPr>
      <w:r w:rsidRPr="00FB1410">
        <w:rPr>
          <w:rFonts w:asciiTheme="minorHAnsi" w:hAnsiTheme="minorHAnsi" w:cstheme="minorHAnsi"/>
          <w:sz w:val="22"/>
          <w:szCs w:val="22"/>
        </w:rPr>
        <w:t>w 2021 r. - łącznie wydano 34 decyzje (3 umarzające i 31 nakazujących);</w:t>
      </w:r>
    </w:p>
    <w:p w14:paraId="443A2A82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679"/>
        </w:tabs>
        <w:spacing w:before="120" w:after="240" w:line="300" w:lineRule="auto"/>
        <w:ind w:left="30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702? r. - łącznie wydano 6 decyzje (2 umarzające i 4 nakazujące).</w:t>
      </w:r>
    </w:p>
    <w:p w14:paraId="067D9CB0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okresie kontrolowanym w związku z wydaniem 40 decyzji nakazujących zlikwidowano jedynie 10 szt. szamb, tj.:</w:t>
      </w:r>
    </w:p>
    <w:p w14:paraId="1BF0CF27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723"/>
        </w:tabs>
        <w:spacing w:before="120" w:after="240" w:line="300" w:lineRule="auto"/>
        <w:ind w:left="3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2020 r.-3 szt.,</w:t>
      </w:r>
    </w:p>
    <w:p w14:paraId="0047BC07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723"/>
        </w:tabs>
        <w:spacing w:before="120" w:after="240" w:line="300" w:lineRule="auto"/>
        <w:ind w:left="3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2021 r.-7 szt.,</w:t>
      </w:r>
    </w:p>
    <w:p w14:paraId="5B04F623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723"/>
        </w:tabs>
        <w:spacing w:before="120" w:after="240" w:line="300" w:lineRule="auto"/>
        <w:ind w:left="3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2022 r. - O szt.</w:t>
      </w:r>
    </w:p>
    <w:p w14:paraId="68639340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pozostałych 30 przypadkach wydanych decyzji nakazujących w okresie kontrolowanym jednostka kontrolowana nie wszczynała postępowania egzekucyjnego. Z wyjaśnień wynika, iż cyt.: „ ....obowiązek przyłączenia do istniejącej sieci wynika wprost z przepisów prawa, a prawomocne decyzje wymagają weryfikacji ich wykonania. Mając jednak na uwadze zgłaszane przez mieszkańców problemy dotyczące sfinansowania inwestycji, których koszt często przekracza ich możliwości również z uwzględnieniem dotacji miejskiej, weryfikacja wykonania decyzji jest odkładana w czasie. Dotyczy to w szczególności osób w podeszłym wieku, utrzymujących się z emerytur lub rent. Nie bez znaczenia jest fakt, że dotacja na likwidację zbiorników wypłacana jest już po realizacji inwestycji, co wiąże się z koniecznością zebrania wystarczających środków przed przystąpieniem do jej realizacji. W przypadku osób znajdujących się w szczególnie trudnej sytuacji finansowej, może to wpływać to na zaniechanie wykonywania obowiązku.</w:t>
      </w:r>
    </w:p>
    <w:p w14:paraId="4F14F41D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Rozumiejąc ciężką sytuację finansową, już w grudniu 2017 r., kiedy wysokość udzielanej dotacji miejskiej wynosiła 3 000 zł, wystąpiliśmy do Biura Ochrony Środowiska Urzędu m.st. Warszawy (do wiadomości Zastępcy Prezydenta m.st. Warszawy Pana Michała Olszewskiego) z propozycją rozważenia możliwości zmiany zasad przyznawania dotacji na likwidację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zbiorników bezodpływowych. W piśmie zwracaliśmy uwagę, że zazwyczaj brak wykonania przyłącza wynika ze złej sytuacji finansowej lub życiowej mieszkańców, którzy czują się bezradni wobec obowiązków wynikających z przepisów prawa...".</w:t>
      </w:r>
    </w:p>
    <w:p w14:paraId="71E5CBA8" w14:textId="337CFA80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Ustalono, że realizacją zadań związanych z likwidacją zbiorników bezodpływowych zajmuje się dwóch pracowników merytorycznych, (w tym - w okresie objętym kontrolą - jeden pracownik na zastępstwo), którzy-jak wyjaśniła jednostka kontrolowana poza sprawami z zakresu gospodarki ściekowej realizują również zadania związane z prowadzeniem postępowań w sprawie usunięcia odpadów z miejsc nieprzeznacz</w:t>
      </w:r>
      <w:r w:rsidR="00694AAE"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nych do ich składowania lub magazynowania, dopuszczalnego poziomu hałasu, zgłoszeń instalacji mogących negatywnie oddziaływać na środowisko, opinii, sprawozdań i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in.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Czas przeznaczony na dane zadanie uzależniony jest od ilości interwencji mieszkańców, kierowanych do Wydziału wniosków oraz skomplikowaniem prowadzonych spraw.".</w:t>
      </w:r>
    </w:p>
    <w:p w14:paraId="17C2E50B" w14:textId="1316F5C0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zakresie postępowań egzekucyjnych w trakcie kontroli ustalono, iż w 2019 r. (tj. przed okresem kontrolowanym) jednostka kontrolowana skierowała 21 upomnień dotyczących wykonania decyzji nakazujących przyłączenie do sieci, z czego na początku 2020 r. w 6 przypadkach obowiązek przyłączenia został wykonany. Jednostka kontrolowana wyjaśniła, iż w 2020 r. postępowania egzekucyjne nie były realizowane systematycznie z uwagi na Sars-Cov2 oraz utrudnioną sytuacją kadrową. Zgodnie z ustawą z dnia 17 czerwca 1966 r. o postępowaniu egzekucyjnym w administracji po niewykonaniu obowiązku wynikającego z decyzji wysyłane są upomnienia, a następnie w przypadku braku jakichkolwiek działań zmierzających do wykonania przyłącza na w</w:t>
      </w:r>
      <w:r w:rsidR="0062752B">
        <w:rPr>
          <w:rFonts w:asciiTheme="minorHAnsi" w:hAnsiTheme="minorHAnsi" w:cstheme="minorHAnsi"/>
          <w:b w:val="0"/>
          <w:bCs w:val="0"/>
          <w:sz w:val="22"/>
          <w:szCs w:val="22"/>
        </w:rPr>
        <w:t>łaś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ciciela nieruchomości nakładana jest grzywna w celu przymuszenia. Zgodnie z wyjaśnieniami jednostki cyt.: „Grzywna w celu przymuszenia może być nakładana kilkakrotnie w tej samej lub wyższej kwocie, przy czym każdorazowo nakładana g</w:t>
      </w:r>
      <w:r w:rsidR="0062752B">
        <w:rPr>
          <w:rFonts w:asciiTheme="minorHAnsi" w:hAnsiTheme="minorHAnsi" w:cstheme="minorHAnsi"/>
          <w:b w:val="0"/>
          <w:bCs w:val="0"/>
          <w:sz w:val="22"/>
          <w:szCs w:val="22"/>
        </w:rPr>
        <w:t>rz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ywna na osoby fizyczne nie może przekraczać 10 000 zł, a grzywny nakładane wielokrotnie nie mogą łącznie przekroczyć 50 0C0 zł".</w:t>
      </w:r>
    </w:p>
    <w:p w14:paraId="2AD997F6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Z wyjaśnień UD Ursynów wynika, że koszty przyłączenia do kanalizacji miejskiej mogą wynosić od kilku do nawet kilkudziesięciu tysięcy złotych, w zależności od projektanta, wykonawcy, a przede wszystkim odległości budynku mieszkalnego od istniejącej sieci. UD Ursynów nie posiada wykazu nieruchomości, dla których została wydana decyzja nakazująca przyłączenie do sieci kanalizacji sanitarnej, a właściciel znajduje się w trudnej sytuacji materialnej, uniemożliwiającej pokrycie kosztów wykonania przyłącza;</w:t>
      </w:r>
    </w:p>
    <w:p w14:paraId="78A77E59" w14:textId="77777777" w:rsidR="00736E68" w:rsidRPr="00FB1410" w:rsidRDefault="00204459" w:rsidP="00A147FF">
      <w:pPr>
        <w:pStyle w:val="Bodytext20"/>
        <w:numPr>
          <w:ilvl w:val="0"/>
          <w:numId w:val="4"/>
        </w:numPr>
        <w:shd w:val="clear" w:color="auto" w:fill="auto"/>
        <w:tabs>
          <w:tab w:val="left" w:pos="294"/>
        </w:tabs>
        <w:spacing w:before="120" w:after="240" w:line="30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Zgodnie z uchwałą nr XL'(/487/2019 Rady m.st. Warszawy z 26.09.7019 r. w sprawie zasad udzielania dotacji celowej na finansowanie lub dofinansowanie inwestycji na terenie m.st. Warszawy, zmienionej uchwałą nr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>LXX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11/2404/2022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z 17.11.2022 r., dotacjami w za kiesie przyłączy do sieci kanalizacyjnej dla mieszkańców m.st. Warszawy zajmuje się Biuro Ochrony Środowiska.</w:t>
      </w:r>
    </w:p>
    <w:p w14:paraId="4CA70F32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W zakresie liczby złożonych wniosków i wysokości wypłaconych dotacji dla mieszkańców Dzielnicy Ursynów m.st. Warszawy» przeznaczonych na likwidację szamb i podłączenie do kanalizacji miejskiej w okresie kontrolowanym Biuro Ochrony Środowiska przekazało następujące dane:</w:t>
      </w:r>
    </w:p>
    <w:p w14:paraId="3FFEDC89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before="120" w:after="240" w:line="300" w:lineRule="auto"/>
        <w:ind w:left="3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7.020 r.- wpłynęło 31 wniosków, udzielono 31 dotacji w łącznej wysokości 124 000,00 PLN,</w:t>
      </w:r>
    </w:p>
    <w:p w14:paraId="2F5F58C6" w14:textId="01368D0F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before="120" w:after="240" w:line="300" w:lineRule="auto"/>
        <w:ind w:left="3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2021 r.--w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łynęło 12 wniosków, udzielono 12 donacji w łącznej wysokości 48 000,00 PLN,</w:t>
      </w:r>
    </w:p>
    <w:p w14:paraId="77DD7812" w14:textId="214D1C5F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before="120" w:after="240" w:line="300" w:lineRule="auto"/>
        <w:ind w:left="3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2022 r. - wpłynęło 11 wniosków, udziel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>ono 11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dotacji w łącznej wysokości 44 000,00 PLN.</w:t>
      </w:r>
    </w:p>
    <w:p w14:paraId="06544A12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latach 2020-2022 dotacja wynosiła 4000 zł, a od roku 2023 dotacja wynosi 6000 zł.</w:t>
      </w:r>
    </w:p>
    <w:p w14:paraId="6AAA4E02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3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Od marca 2023 r. w UD Ursynów zatrudniona jest osoba na stanowisku „Ekodoradca", która jak wyjaśnia jednostka cyt.: „(...) promuje m.in. działania na rzecz pi wyłączania nieruchomości do miejskiej sieci kanalizacji sanitarnej. Ekodoradca pomaga także w wypełnianiu i składaniu wniosków o dotację miejską na likwidację zbiorników bezodpływowych, z uwzględnieniem właścicieli nieruchomości, którzy zostali już zobowiązani decyzją do przyłączenia budynku da istniejącej sieci, ale obowiązku jeszcze nie wykonali,"</w:t>
      </w:r>
    </w:p>
    <w:p w14:paraId="227F88C8" w14:textId="77777777" w:rsidR="00736E68" w:rsidRPr="00FB1410" w:rsidRDefault="00204459" w:rsidP="00A147FF">
      <w:pPr>
        <w:pStyle w:val="Bodytext20"/>
        <w:numPr>
          <w:ilvl w:val="0"/>
          <w:numId w:val="4"/>
        </w:numPr>
        <w:shd w:val="clear" w:color="auto" w:fill="auto"/>
        <w:tabs>
          <w:tab w:val="left" w:pos="294"/>
        </w:tabs>
        <w:spacing w:before="120" w:after="240" w:line="30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Pakcie kontroli ustalono, ii z ośmiu losowo wybranych do kontroli postępowań administracyjnych w sprawie wydania decyzji nakazujących przyłączenie nieruchomości do sieci kanalizacyjnej - w dwóch przypadkach jednostka kontrolowana z opóźnieniem wszczęła postępowanie administracyjne:</w:t>
      </w:r>
    </w:p>
    <w:p w14:paraId="06E8D3E7" w14:textId="7581EA6D" w:rsidR="00736E68" w:rsidRPr="006D5A0D" w:rsidRDefault="00204459" w:rsidP="00A147FF">
      <w:pPr>
        <w:pStyle w:val="Bodytext20"/>
        <w:numPr>
          <w:ilvl w:val="0"/>
          <w:numId w:val="5"/>
        </w:numPr>
        <w:shd w:val="clear" w:color="auto" w:fill="auto"/>
        <w:tabs>
          <w:tab w:val="left" w:pos="704"/>
        </w:tabs>
        <w:spacing w:before="120" w:after="240" w:line="300" w:lineRule="auto"/>
        <w:ind w:left="3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MPWiK przekazało zestawienie nume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ów po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ządkowych nieruchomości niepodłąc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>zo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nych do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6D5A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sieci kanalizacyjnej, będących w zasięgu istniejącej kanalizacji w dniu </w:t>
      </w:r>
      <w:r w:rsidRPr="006D5A0D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8.Л6.7017 </w:t>
      </w:r>
      <w:r w:rsidRPr="006D5A0D">
        <w:rPr>
          <w:rFonts w:asciiTheme="minorHAnsi" w:hAnsiTheme="minorHAnsi" w:cstheme="minorHAnsi"/>
          <w:b w:val="0"/>
          <w:bCs w:val="0"/>
          <w:sz w:val="22"/>
          <w:szCs w:val="22"/>
        </w:rPr>
        <w:t>r., u WOŚ dopiero po trzech latach, tj.: w 2020 r. wszczął postępowanie administracyjne p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6D5A0D">
        <w:rPr>
          <w:rFonts w:asciiTheme="minorHAnsi" w:hAnsiTheme="minorHAnsi" w:cstheme="minorHAnsi"/>
          <w:b w:val="0"/>
          <w:bCs w:val="0"/>
          <w:sz w:val="22"/>
          <w:szCs w:val="22"/>
        </w:rPr>
        <w:t>zyłączenia do sieci nieruchomości położonej przy ul.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(dane zanonimizowane) </w:t>
      </w:r>
      <w:r w:rsidRPr="006D5A0D">
        <w:rPr>
          <w:rFonts w:asciiTheme="minorHAnsi" w:hAnsiTheme="minorHAnsi" w:cstheme="minorHAnsi"/>
          <w:b w:val="0"/>
          <w:bCs w:val="0"/>
          <w:sz w:val="22"/>
          <w:szCs w:val="22"/>
        </w:rPr>
        <w:t>w Warszawie.</w:t>
      </w:r>
    </w:p>
    <w:p w14:paraId="40907939" w14:textId="0571EA9F" w:rsidR="00736E68" w:rsidRPr="006D5A0D" w:rsidRDefault="00204459" w:rsidP="00A147FF">
      <w:pPr>
        <w:pStyle w:val="Bodytext20"/>
        <w:numPr>
          <w:ilvl w:val="0"/>
          <w:numId w:val="5"/>
        </w:numPr>
        <w:shd w:val="clear" w:color="auto" w:fill="auto"/>
        <w:tabs>
          <w:tab w:val="left" w:pos="704"/>
        </w:tabs>
        <w:spacing w:before="120" w:after="240" w:line="300" w:lineRule="auto"/>
        <w:ind w:left="3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MPWiK przekazało zestawienie numerów porządkowych nieruchomości niepodłączonych do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6D5A0D">
        <w:rPr>
          <w:rFonts w:asciiTheme="minorHAnsi" w:hAnsiTheme="minorHAnsi" w:cstheme="minorHAnsi"/>
          <w:b w:val="0"/>
          <w:bCs w:val="0"/>
          <w:sz w:val="22"/>
          <w:szCs w:val="22"/>
        </w:rPr>
        <w:t>sieci kanalizacyjnej, będących w zasięgu istniejącej kanalizacji w dniu 25.05.2021 r., a WOŚ dopiero po up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>ł</w:t>
      </w:r>
      <w:r w:rsidRPr="006D5A0D">
        <w:rPr>
          <w:rFonts w:asciiTheme="minorHAnsi" w:hAnsiTheme="minorHAnsi" w:cstheme="minorHAnsi"/>
          <w:b w:val="0"/>
          <w:bCs w:val="0"/>
          <w:sz w:val="22"/>
          <w:szCs w:val="22"/>
        </w:rPr>
        <w:t>ywie roku tj.: w 2022 r. wszczął postępowanie administracy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>j</w:t>
      </w:r>
      <w:r w:rsidRPr="006D5A0D">
        <w:rPr>
          <w:rFonts w:asciiTheme="minorHAnsi" w:hAnsiTheme="minorHAnsi" w:cstheme="minorHAnsi"/>
          <w:b w:val="0"/>
          <w:bCs w:val="0"/>
          <w:sz w:val="22"/>
          <w:szCs w:val="22"/>
        </w:rPr>
        <w:t>ne dla nieruchomości p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6D5A0D">
        <w:rPr>
          <w:rFonts w:asciiTheme="minorHAnsi" w:hAnsiTheme="minorHAnsi" w:cstheme="minorHAnsi"/>
          <w:b w:val="0"/>
          <w:bCs w:val="0"/>
          <w:sz w:val="22"/>
          <w:szCs w:val="22"/>
        </w:rPr>
        <w:t>zy u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>l</w:t>
      </w:r>
      <w:r w:rsidRPr="006D5A0D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(dane zanonimizowane) </w:t>
      </w:r>
      <w:r w:rsidRPr="006D5A0D">
        <w:rPr>
          <w:rFonts w:asciiTheme="minorHAnsi" w:hAnsiTheme="minorHAnsi" w:cstheme="minorHAnsi"/>
          <w:b w:val="0"/>
          <w:bCs w:val="0"/>
          <w:sz w:val="22"/>
          <w:szCs w:val="22"/>
        </w:rPr>
        <w:t>w Warszawie.</w:t>
      </w:r>
    </w:p>
    <w:p w14:paraId="52513EC4" w14:textId="632DAD8A" w:rsidR="00736E68" w:rsidRPr="00FB1410" w:rsidRDefault="00204459" w:rsidP="00A147FF">
      <w:pPr>
        <w:pStyle w:val="Bodytext20"/>
        <w:shd w:val="clear" w:color="auto" w:fill="auto"/>
        <w:tabs>
          <w:tab w:val="left" w:pos="3081"/>
        </w:tabs>
        <w:spacing w:before="120" w:after="240" w:line="300" w:lineRule="auto"/>
        <w:ind w:left="46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Style w:val="Bodytext29ptNotBold"/>
          <w:rFonts w:asciiTheme="minorHAnsi" w:hAnsiTheme="minorHAnsi" w:cstheme="minorHAnsi"/>
          <w:sz w:val="22"/>
          <w:szCs w:val="22"/>
        </w:rPr>
        <w:t xml:space="preserve">W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powyższym zakresie jednostka kontrolowana wyjaśniła, iż w </w:t>
      </w:r>
      <w:r w:rsidRPr="00FB1410">
        <w:rPr>
          <w:rStyle w:val="Bodytext29ptNotBold"/>
          <w:rFonts w:asciiTheme="minorHAnsi" w:hAnsiTheme="minorHAnsi" w:cstheme="minorHAnsi"/>
          <w:sz w:val="22"/>
          <w:szCs w:val="22"/>
        </w:rPr>
        <w:t xml:space="preserve">obu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przypadkach były podjęte wcześniejsze próby wszczęcia postępowania w sprawie przyłączenia nieruchomości do sieci ale zawiadomienia nie były odbierane przez właścicieli posesji. W przypadku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nieruchomości położonej przy ul</w:t>
      </w:r>
      <w:r w:rsidR="006D5A0D" w:rsidRPr="006D5A0D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(dane zanonimizowane)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 Warszawie cyt.: „.„sytuacja dotycząca własności (posiadacza)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nieruchomości została wyjaśniona w 2020 r. przy postępowaniu w sprawie usunięcia odpadów z terenu ww. nieruchomości. Na podstawie powziętych informacji 2 października 2020 r. ponownie podjęliśmy próbę wszczęcia postępowania w sprawie przyłączenia nieruchomości przy ul.</w:t>
      </w:r>
      <w:r w:rsidR="006D5A0D" w:rsidRPr="006D5A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.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(dane zanonimizowane)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do istniejącej sieci kanalizacji sanitarnej, które skutecznie zakończyliśmy decyzją</w:t>
      </w:r>
      <w:r w:rsidR="006D5A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nr l/P/2021 z 12 stycznia 2021 r. (...) Zestawienie MPWiK z 25 maja 2021 r. dotyczące wykazu nieruchomości, które nie są podłączone do sieci kanalizacyjnej, ale są w jej zasięgu, zawierało ponad 400 punktów adresowych. Biorąc pod uwagę ilość realizowanych zadań, postępowania te wszczynane są przy uwzględnieniu możliwości czasowych i zasobów kadrowych (...) Zaznaczam też, że w okresie, którego dotyczy kontrola trwał stan epidemii, w czasie którego obowiązywała ustawa z dnia 2 marca 2020 r. o szczególnych rozwiązaniach związanych z zapobieganiem, przeciwdziałaniem i zwalczaniem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COVID-19, 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innych chorób zakaźnych oraz wywołanych nimi sytuacji kryzysowych. Zgodnie z ustawą czasowo zostało wstrzymane rozpoczęcie i bieg terminów określonych przepisami prawa administracyjnego, czego efektem było skumulowanie się prowadzonych postępowań i brak możliwości czasowych podejmowania dodatkowych spraw z urzędu”.</w:t>
      </w:r>
    </w:p>
    <w:p w14:paraId="11E1D021" w14:textId="77777777" w:rsidR="00736E68" w:rsidRPr="00FB1410" w:rsidRDefault="00204459" w:rsidP="00A147FF">
      <w:pPr>
        <w:pStyle w:val="Bodytext20"/>
        <w:numPr>
          <w:ilvl w:val="0"/>
          <w:numId w:val="4"/>
        </w:numPr>
        <w:shd w:val="clear" w:color="auto" w:fill="auto"/>
        <w:tabs>
          <w:tab w:val="left" w:pos="854"/>
        </w:tabs>
        <w:spacing w:before="120" w:after="240" w:line="300" w:lineRule="auto"/>
        <w:ind w:left="46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Dzielnica nie przeprowadzała kontroli nieruchomości w zakresie sprawdzania posiadania przez mieszkańców umów oraz dokumentów potwierdzających wywóz nieczystości ciekłych. Kontrole przeprowadzała Straż Miejska m.st. Warszawy na podstawie posiadanych uprawnień do wykonywania funkcji kontrolnych w zakresie przestrzegania i stosowania przepisów ustawy z dnia 13 września 1996 r. o utrzymaniu czystości i porządku w gminach oraz przekazywała do UD Ursynów informacje o skontrolowanych nieruchomościach, które nie były przyłączone do sieci kanalizacyjnej, w celu wydania ewentualnych decyzji nakazujących.</w:t>
      </w:r>
    </w:p>
    <w:p w14:paraId="1EFA3D2F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Przedstawiając powyższe ustalenia i oceny zalecam:</w:t>
      </w:r>
    </w:p>
    <w:p w14:paraId="0109FA96" w14:textId="77777777" w:rsidR="00736E68" w:rsidRPr="00FB1410" w:rsidRDefault="00204459" w:rsidP="00A147FF">
      <w:pPr>
        <w:pStyle w:val="Bodytext20"/>
        <w:numPr>
          <w:ilvl w:val="0"/>
          <w:numId w:val="6"/>
        </w:numPr>
        <w:shd w:val="clear" w:color="auto" w:fill="auto"/>
        <w:tabs>
          <w:tab w:val="left" w:pos="489"/>
        </w:tabs>
        <w:spacing w:before="120" w:after="240" w:line="300" w:lineRule="auto"/>
        <w:ind w:left="460" w:hanging="3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Podjąć działania w celu zwiększenia tempa procesu likwidacji zbiorników bezodpływowych na terenie Dzielnicy Ursynów, w tym poprzez:</w:t>
      </w:r>
    </w:p>
    <w:p w14:paraId="76DEFD0B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1454"/>
        </w:tabs>
        <w:spacing w:before="120" w:after="240" w:line="300" w:lineRule="auto"/>
        <w:ind w:left="1460" w:right="4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wszczynanie postępowań administracyjnych po uzyskaniu numerów porządkowych nieruchomości niepodłączonych do sieci kanalizacyjnej, będących w zasięgu istniejącej kanalizacji;</w:t>
      </w:r>
    </w:p>
    <w:p w14:paraId="639E83CF" w14:textId="77777777" w:rsidR="00736E68" w:rsidRPr="00FB1410" w:rsidRDefault="00204459" w:rsidP="00A147FF">
      <w:pPr>
        <w:pStyle w:val="Bodytext20"/>
        <w:numPr>
          <w:ilvl w:val="0"/>
          <w:numId w:val="3"/>
        </w:numPr>
        <w:shd w:val="clear" w:color="auto" w:fill="auto"/>
        <w:tabs>
          <w:tab w:val="left" w:pos="1454"/>
        </w:tabs>
        <w:spacing w:before="120" w:after="240" w:line="300" w:lineRule="auto"/>
        <w:ind w:left="1460" w:right="130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egzekwowanie decyzji nakazujących przyłączenie nieruchomości do sieci kanalizacyjnej.</w:t>
      </w:r>
    </w:p>
    <w:p w14:paraId="53338878" w14:textId="77777777" w:rsidR="00736E68" w:rsidRPr="00FB1410" w:rsidRDefault="00204459" w:rsidP="00A147FF">
      <w:pPr>
        <w:pStyle w:val="Bodytext20"/>
        <w:numPr>
          <w:ilvl w:val="0"/>
          <w:numId w:val="6"/>
        </w:numPr>
        <w:shd w:val="clear" w:color="auto" w:fill="auto"/>
        <w:tabs>
          <w:tab w:val="left" w:pos="489"/>
        </w:tabs>
        <w:spacing w:before="120" w:after="240" w:line="300" w:lineRule="auto"/>
        <w:ind w:left="16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Prowadzić działalność informacyjną i doradczą skierowaną do mieszkańców dzielnicy</w:t>
      </w:r>
    </w:p>
    <w:p w14:paraId="7B074F7D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46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 konieczności przyłączenia nieruchomości do istniejącej sieci kanalizacyjnej, w tym o możliwości uzyskania dotacji w tym zakresie.</w:t>
      </w:r>
    </w:p>
    <w:p w14:paraId="62815DD4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Na podstawie § 22 ust. 10 regulaminu organizacyjnego oraz § 41 ust. 1 zarządzenia oczekuję od Pana w terminie nie dłuższym niż 30 dni od dnia doręczenia niniejszego wystąpienia pokontrolnego,</w:t>
      </w:r>
    </w:p>
    <w:p w14:paraId="17F96BC1" w14:textId="153DA6CF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left="280" w:right="66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informacji o </w:t>
      </w:r>
      <w:r w:rsidR="00FB1410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posobie realizacji zaleceń pokontrolnych i wykorzystaniu uwag zawartych w wystąpieniu pokontrolnym lub przyczynach braku realizacji zaleceń pokontrolnych lub niewykorzystaniu uwag bądź o innym sposobie usunięcia stwi</w:t>
      </w:r>
      <w:r w:rsidR="00FB1410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rdzonych nieprawidłowości lub uchybień.</w:t>
      </w:r>
    </w:p>
    <w:p w14:paraId="1E2585E3" w14:textId="77777777" w:rsidR="006A461F" w:rsidRDefault="00204459" w:rsidP="00A147FF">
      <w:pPr>
        <w:pStyle w:val="Bodytext20"/>
        <w:shd w:val="clear" w:color="auto" w:fill="auto"/>
        <w:spacing w:before="120" w:after="240" w:line="300" w:lineRule="auto"/>
        <w:ind w:left="28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Jednocześnie, na podstawie § 41 ust. 1 Zarządzenia, zobowiązuję Pana Burmistrza do przekazania kopii ww. informacji Zastępcy Prezydenta m.st. Warszawy, Dyrektorowi Koordynatorowi ds. zielonej Warszawy, Dyrektorowi Biura Ochrony Środowiska m.st. Warszawy oraz Dyrektorowi Biura Infrastruktury.</w:t>
      </w:r>
    </w:p>
    <w:p w14:paraId="1C954FE5" w14:textId="5EDC4E77" w:rsidR="006D5A0D" w:rsidRPr="00FB1410" w:rsidRDefault="006D5A0D" w:rsidP="00A147FF">
      <w:pPr>
        <w:pStyle w:val="Bodytext20"/>
        <w:shd w:val="clear" w:color="auto" w:fill="auto"/>
        <w:spacing w:before="120" w:after="240" w:line="300" w:lineRule="auto"/>
        <w:ind w:left="5245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PREZYDENT MIASTA STOŁECZNEGO WARSZAWY </w:t>
      </w:r>
      <w:r w:rsidR="00A147FF">
        <w:rPr>
          <w:rFonts w:asciiTheme="minorHAnsi" w:hAnsiTheme="minorHAnsi" w:cstheme="minorHAnsi"/>
          <w:b w:val="0"/>
          <w:bCs w:val="0"/>
          <w:sz w:val="22"/>
          <w:szCs w:val="22"/>
        </w:rPr>
        <w:t>/-/ Rafał Trzaskowski</w:t>
      </w:r>
    </w:p>
    <w:p w14:paraId="208E24AB" w14:textId="77777777" w:rsidR="00736E68" w:rsidRPr="00FB1410" w:rsidRDefault="00204459" w:rsidP="00A147F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Style w:val="Bodytext21"/>
          <w:rFonts w:asciiTheme="minorHAnsi" w:hAnsiTheme="minorHAnsi" w:cstheme="minorHAnsi"/>
          <w:sz w:val="22"/>
          <w:szCs w:val="22"/>
        </w:rPr>
        <w:t>Do wiadomości:</w:t>
      </w:r>
    </w:p>
    <w:p w14:paraId="08216760" w14:textId="77777777" w:rsidR="00736E68" w:rsidRPr="00FB1410" w:rsidRDefault="00204459" w:rsidP="00A147FF">
      <w:pPr>
        <w:pStyle w:val="Bodytext20"/>
        <w:numPr>
          <w:ilvl w:val="0"/>
          <w:numId w:val="7"/>
        </w:numPr>
        <w:shd w:val="clear" w:color="auto" w:fill="auto"/>
        <w:tabs>
          <w:tab w:val="left" w:pos="909"/>
        </w:tabs>
        <w:spacing w:before="120" w:after="240" w:line="300" w:lineRule="auto"/>
        <w:ind w:left="58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Pan Michał Olszewski - Zastępca Prezydenta m.st. Warszawy</w:t>
      </w:r>
    </w:p>
    <w:p w14:paraId="04878AA5" w14:textId="77777777" w:rsidR="00736E68" w:rsidRPr="00FB1410" w:rsidRDefault="00204459" w:rsidP="00A147FF">
      <w:pPr>
        <w:pStyle w:val="Bodytext20"/>
        <w:numPr>
          <w:ilvl w:val="0"/>
          <w:numId w:val="7"/>
        </w:numPr>
        <w:shd w:val="clear" w:color="auto" w:fill="auto"/>
        <w:tabs>
          <w:tab w:val="left" w:pos="909"/>
        </w:tabs>
        <w:spacing w:before="120" w:after="240" w:line="300" w:lineRule="auto"/>
        <w:ind w:left="58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Pani Magdalena Młochowska - Dyrektor Koordynator ds. zielonej Warszawy.</w:t>
      </w:r>
    </w:p>
    <w:p w14:paraId="5EDE9B54" w14:textId="77777777" w:rsidR="00736E68" w:rsidRDefault="00204459" w:rsidP="00A147FF">
      <w:pPr>
        <w:pStyle w:val="Bodytext20"/>
        <w:numPr>
          <w:ilvl w:val="0"/>
          <w:numId w:val="7"/>
        </w:numPr>
        <w:shd w:val="clear" w:color="auto" w:fill="auto"/>
        <w:tabs>
          <w:tab w:val="left" w:pos="909"/>
        </w:tabs>
        <w:spacing w:before="120" w:after="240" w:line="300" w:lineRule="auto"/>
        <w:ind w:left="58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Pani Dorota Jedynak - Dyrektor Biura Ochrony Środowiska m.st. Warszawy.</w:t>
      </w:r>
    </w:p>
    <w:p w14:paraId="099358AF" w14:textId="2D9B537F" w:rsidR="003C61F2" w:rsidRPr="00FB1410" w:rsidRDefault="003C61F2" w:rsidP="00A147FF">
      <w:pPr>
        <w:pStyle w:val="Bodytext20"/>
        <w:numPr>
          <w:ilvl w:val="0"/>
          <w:numId w:val="7"/>
        </w:numPr>
        <w:shd w:val="clear" w:color="auto" w:fill="auto"/>
        <w:tabs>
          <w:tab w:val="left" w:pos="909"/>
        </w:tabs>
        <w:spacing w:before="120" w:after="240" w:line="300" w:lineRule="auto"/>
        <w:ind w:left="58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Pan Robert Bański – Dyrektor Biura Infrastruktury.</w:t>
      </w:r>
    </w:p>
    <w:sectPr w:rsidR="003C61F2" w:rsidRPr="00FB1410" w:rsidSect="003C61F2">
      <w:footerReference w:type="default" r:id="rId7"/>
      <w:headerReference w:type="first" r:id="rId8"/>
      <w:footerReference w:type="first" r:id="rId9"/>
      <w:type w:val="continuous"/>
      <w:pgSz w:w="11900" w:h="16840"/>
      <w:pgMar w:top="2052" w:right="1472" w:bottom="1706" w:left="167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608A" w14:textId="77777777" w:rsidR="00B94957" w:rsidRDefault="00B94957">
      <w:r>
        <w:separator/>
      </w:r>
    </w:p>
  </w:endnote>
  <w:endnote w:type="continuationSeparator" w:id="0">
    <w:p w14:paraId="6A514FF9" w14:textId="77777777" w:rsidR="00B94957" w:rsidRDefault="00B9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9728"/>
      <w:docPartObj>
        <w:docPartGallery w:val="Page Numbers (Bottom of Page)"/>
        <w:docPartUnique/>
      </w:docPartObj>
    </w:sdtPr>
    <w:sdtEndPr/>
    <w:sdtContent>
      <w:sdt>
        <w:sdtPr>
          <w:id w:val="1695336837"/>
          <w:docPartObj>
            <w:docPartGallery w:val="Page Numbers (Top of Page)"/>
            <w:docPartUnique/>
          </w:docPartObj>
        </w:sdtPr>
        <w:sdtEndPr/>
        <w:sdtContent>
          <w:p w14:paraId="2A8568A7" w14:textId="2043F63F" w:rsidR="003C61F2" w:rsidRDefault="003C61F2">
            <w:pPr>
              <w:pStyle w:val="Stopka"/>
              <w:jc w:val="right"/>
            </w:pPr>
            <w:r w:rsidRPr="003C61F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91B2C7B" w14:textId="77777777" w:rsidR="003C61F2" w:rsidRDefault="003C61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7671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F73DAF" w14:textId="1AC55FAD" w:rsidR="003C61F2" w:rsidRPr="003C61F2" w:rsidRDefault="003C61F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C61F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C61F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2EC6D0E" w14:textId="77777777" w:rsidR="003C61F2" w:rsidRDefault="003C6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5CF5" w14:textId="77777777" w:rsidR="00B94957" w:rsidRDefault="00B94957">
      <w:r>
        <w:separator/>
      </w:r>
    </w:p>
  </w:footnote>
  <w:footnote w:type="continuationSeparator" w:id="0">
    <w:p w14:paraId="7851C361" w14:textId="77777777" w:rsidR="00B94957" w:rsidRDefault="00B94957">
      <w:r>
        <w:continuationSeparator/>
      </w:r>
    </w:p>
  </w:footnote>
  <w:footnote w:id="1">
    <w:p w14:paraId="597B1DA3" w14:textId="77777777" w:rsidR="00736E68" w:rsidRPr="00FB1410" w:rsidRDefault="00204459" w:rsidP="00AD51CF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ab/>
        <w:t>RLM (równoważna liczba mieszkańców) zgodnie z dyrektywą oznacza ładunek organiczny ulegający biodegradacji, wyrażony pięciodobowym biochemicznym zapotrzebowaniem tlenu (BZT5), w ilości 60 g tlenu na dzień. Zgodnie z publikacją Krajowego Zarządu Gospodarki Wodnej przy obliczaniu RLM aglomeracji należy uwzględnić:</w:t>
      </w:r>
    </w:p>
    <w:p w14:paraId="632CDA64" w14:textId="77777777" w:rsidR="00736E68" w:rsidRPr="00FB1410" w:rsidRDefault="00204459" w:rsidP="00AD51CF">
      <w:pPr>
        <w:pStyle w:val="Footnote10"/>
        <w:numPr>
          <w:ilvl w:val="0"/>
          <w:numId w:val="1"/>
        </w:numPr>
        <w:shd w:val="clear" w:color="auto" w:fill="auto"/>
        <w:tabs>
          <w:tab w:val="left" w:pos="336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stałych mieszkańców (1 mieszkaniec = 1RLM),</w:t>
      </w:r>
    </w:p>
    <w:p w14:paraId="4AC328E9" w14:textId="77777777" w:rsidR="00736E68" w:rsidRPr="00FB1410" w:rsidRDefault="00204459" w:rsidP="00AD51CF">
      <w:pPr>
        <w:pStyle w:val="Footnote10"/>
        <w:numPr>
          <w:ilvl w:val="0"/>
          <w:numId w:val="1"/>
        </w:numPr>
        <w:shd w:val="clear" w:color="auto" w:fill="auto"/>
        <w:tabs>
          <w:tab w:val="left" w:pos="341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miejsca noclegowe (1 miejsca = 1RLM),</w:t>
      </w:r>
    </w:p>
    <w:p w14:paraId="3C0552C7" w14:textId="77777777" w:rsidR="00736E68" w:rsidRPr="00FB1410" w:rsidRDefault="00204459" w:rsidP="00AD51CF">
      <w:pPr>
        <w:pStyle w:val="Footnote10"/>
        <w:numPr>
          <w:ilvl w:val="0"/>
          <w:numId w:val="1"/>
        </w:numPr>
        <w:shd w:val="clear" w:color="auto" w:fill="auto"/>
        <w:tabs>
          <w:tab w:val="left" w:pos="331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ścieki przemysłowe, odprowadzane do systemu zbierania lub oczyszczalni ścieków komunalnych.</w:t>
      </w:r>
    </w:p>
  </w:footnote>
  <w:footnote w:id="2">
    <w:p w14:paraId="334577DB" w14:textId="02888B4C" w:rsidR="00736E68" w:rsidRPr="00FB1410" w:rsidRDefault="00204459" w:rsidP="00AD51CF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Do tej pory ukarano m.in. Belgię i Grecję. W Belgii KE (Komisja Europejska) zażądała 15 min euro ryczałtu i 62 tys. euro za każdy dzień dalszego naruszenia. W Grecji europejski trybunał zasądzi/ zapłatę 10 min auro i 3,64 min euro za każde pół roku zwłoki - była t</w:t>
      </w:r>
      <w:r w:rsidR="00694AAE"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kara za brak oczyszczalni ścieków w sześciu miastach.</w:t>
      </w:r>
    </w:p>
  </w:footnote>
  <w:footnote w:id="3">
    <w:p w14:paraId="0B13E50D" w14:textId="77777777" w:rsidR="00736E68" w:rsidRPr="00FB1410" w:rsidRDefault="00204459" w:rsidP="00AD51CF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Dz.U. z 2022 r. poz. 2519.</w:t>
      </w:r>
    </w:p>
  </w:footnote>
  <w:footnote w:id="4">
    <w:p w14:paraId="1546EB0F" w14:textId="77777777" w:rsidR="00736E68" w:rsidRPr="00FB1410" w:rsidRDefault="00204459" w:rsidP="00AD51CF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820"/>
        <w:rPr>
          <w:rFonts w:asciiTheme="minorHAnsi" w:hAnsiTheme="minorHAnsi" w:cstheme="minorHAnsi"/>
          <w:b w:val="0"/>
          <w:bCs w:val="0"/>
        </w:rPr>
      </w:pPr>
      <w:r w:rsidRPr="00FB1410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1410">
        <w:rPr>
          <w:rFonts w:asciiTheme="minorHAnsi" w:hAnsiTheme="minorHAnsi" w:cstheme="minorHAnsi"/>
          <w:b w:val="0"/>
          <w:bCs w:val="0"/>
          <w:sz w:val="22"/>
          <w:szCs w:val="22"/>
        </w:rPr>
        <w:tab/>
        <w:t>Rozporządzenie Ministra Infrastruktury w sprawie warunków technicznych, jakim powinny odpowiadać budynki i ich usytuowanie (Dz. U. 2022, poz. 1225).</w:t>
      </w:r>
    </w:p>
  </w:footnote>
  <w:footnote w:id="5">
    <w:p w14:paraId="5CB44EED" w14:textId="77777777" w:rsidR="00736E68" w:rsidRPr="00FB1410" w:rsidRDefault="00204459" w:rsidP="00AD51CF">
      <w:pPr>
        <w:pStyle w:val="Footnote20"/>
        <w:shd w:val="clear" w:color="auto" w:fill="auto"/>
        <w:tabs>
          <w:tab w:val="left" w:pos="12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B1410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B1410">
        <w:rPr>
          <w:rFonts w:asciiTheme="minorHAnsi" w:hAnsiTheme="minorHAnsi" w:cstheme="minorHAnsi"/>
          <w:sz w:val="22"/>
          <w:szCs w:val="22"/>
        </w:rPr>
        <w:tab/>
        <w:t>Decyzje umarzające - wydawane m.in. po przyłączeniu nieruchomości do sieci kanalizacyjnej.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E713" w14:textId="31B64BDE" w:rsidR="003C61F2" w:rsidRDefault="003C61F2">
    <w:pPr>
      <w:pStyle w:val="Nagwek"/>
    </w:pPr>
    <w:r>
      <w:rPr>
        <w:noProof/>
      </w:rPr>
      <w:drawing>
        <wp:inline distT="0" distB="0" distL="0" distR="0" wp14:anchorId="39894A02" wp14:editId="2A6C5C35">
          <wp:extent cx="5560060" cy="1044350"/>
          <wp:effectExtent l="0" t="0" r="254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0060" cy="104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F62"/>
    <w:multiLevelType w:val="multilevel"/>
    <w:tmpl w:val="FD72CC2E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E05E8"/>
    <w:multiLevelType w:val="multilevel"/>
    <w:tmpl w:val="80D6077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E558F"/>
    <w:multiLevelType w:val="multilevel"/>
    <w:tmpl w:val="407408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A1F42"/>
    <w:multiLevelType w:val="multilevel"/>
    <w:tmpl w:val="C5B0771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983E7E"/>
    <w:multiLevelType w:val="multilevel"/>
    <w:tmpl w:val="5E1EFEE8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7C7A3A"/>
    <w:multiLevelType w:val="multilevel"/>
    <w:tmpl w:val="CD6AF62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A47170"/>
    <w:multiLevelType w:val="multilevel"/>
    <w:tmpl w:val="55B0D6C0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2282946">
    <w:abstractNumId w:val="1"/>
  </w:num>
  <w:num w:numId="2" w16cid:durableId="1593775453">
    <w:abstractNumId w:val="0"/>
  </w:num>
  <w:num w:numId="3" w16cid:durableId="804540059">
    <w:abstractNumId w:val="6"/>
  </w:num>
  <w:num w:numId="4" w16cid:durableId="427582348">
    <w:abstractNumId w:val="3"/>
  </w:num>
  <w:num w:numId="5" w16cid:durableId="1382052384">
    <w:abstractNumId w:val="4"/>
  </w:num>
  <w:num w:numId="6" w16cid:durableId="719398689">
    <w:abstractNumId w:val="5"/>
  </w:num>
  <w:num w:numId="7" w16cid:durableId="559678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68"/>
    <w:rsid w:val="00204459"/>
    <w:rsid w:val="00323698"/>
    <w:rsid w:val="0037448D"/>
    <w:rsid w:val="003C61F2"/>
    <w:rsid w:val="0062752B"/>
    <w:rsid w:val="00694AAE"/>
    <w:rsid w:val="006A461F"/>
    <w:rsid w:val="006D5A0D"/>
    <w:rsid w:val="00736E68"/>
    <w:rsid w:val="008D2B2F"/>
    <w:rsid w:val="00A147FF"/>
    <w:rsid w:val="00AD51CF"/>
    <w:rsid w:val="00B7245A"/>
    <w:rsid w:val="00B94957"/>
    <w:rsid w:val="00DD5E40"/>
    <w:rsid w:val="00ED22BB"/>
    <w:rsid w:val="00F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A37820"/>
  <w15:docId w15:val="{6E6330FD-D5D5-4357-A3E2-56937888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2">
    <w:name w:val="Footnote|2_"/>
    <w:basedOn w:val="Domylnaczcionkaakapitu"/>
    <w:link w:val="Footnote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Exact">
    <w:name w:val="Body text|3 Exact"/>
    <w:basedOn w:val="Domylnaczcionkaakapitu"/>
    <w:link w:val="Bodytext3"/>
    <w:rPr>
      <w:rFonts w:ascii="Arial" w:eastAsia="Arial" w:hAnsi="Arial" w:cs="Arial"/>
      <w:b/>
      <w:bCs/>
      <w:i/>
      <w:iCs/>
      <w:smallCaps w:val="0"/>
      <w:strike w:val="0"/>
      <w:sz w:val="102"/>
      <w:szCs w:val="102"/>
      <w:u w:val="none"/>
      <w:lang w:val="ru-RU" w:eastAsia="ru-RU" w:bidi="ru-RU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Exact">
    <w:name w:val="Body text|4 Exact"/>
    <w:basedOn w:val="Domylnaczcionkaakapitu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Exact">
    <w:name w:val="Body text|5 Exact"/>
    <w:basedOn w:val="Domylnaczcionkaakapitu"/>
    <w:link w:val="Bodytext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5ptSmallCaps">
    <w:name w:val="Body text|2 + 9.5 pt;Small Caps"/>
    <w:basedOn w:val="Bodytext2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ptNotBold">
    <w:name w:val="Body text|2 + 9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icturecaption1">
    <w:name w:val="Picture caption|1_"/>
    <w:basedOn w:val="Domylnaczcionkaakapitu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Bodytext7">
    <w:name w:val="Body text|7_"/>
    <w:basedOn w:val="Domylnaczcionkaakapitu"/>
    <w:link w:val="Bodytext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">
    <w:name w:val="Body text|3"/>
    <w:basedOn w:val="Normalny"/>
    <w:link w:val="Bodytext3Exact"/>
    <w:pPr>
      <w:shd w:val="clear" w:color="auto" w:fill="FFFFFF"/>
      <w:spacing w:line="1140" w:lineRule="exact"/>
    </w:pPr>
    <w:rPr>
      <w:rFonts w:ascii="Arial" w:eastAsia="Arial" w:hAnsi="Arial" w:cs="Arial"/>
      <w:b/>
      <w:bCs/>
      <w:i/>
      <w:iCs/>
      <w:sz w:val="102"/>
      <w:szCs w:val="102"/>
      <w:lang w:val="ru-RU" w:eastAsia="ru-RU" w:bidi="ru-RU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190" w:lineRule="exact"/>
      <w:ind w:hanging="38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">
    <w:name w:val="Body text|4"/>
    <w:basedOn w:val="Normalny"/>
    <w:link w:val="Bodytext4Exact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">
    <w:name w:val="Body text|5"/>
    <w:basedOn w:val="Normalny"/>
    <w:link w:val="Bodytext5Exact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  <w:lang w:val="ru-RU" w:eastAsia="ru-RU" w:bidi="ru-RU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after="120" w:line="312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alny"/>
    <w:link w:val="Picturecaption1"/>
    <w:qFormat/>
    <w:pPr>
      <w:shd w:val="clear" w:color="auto" w:fill="FFFFFF"/>
      <w:spacing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0">
    <w:name w:val="Body text|7"/>
    <w:basedOn w:val="Normalny"/>
    <w:link w:val="Bodytext7"/>
    <w:pPr>
      <w:shd w:val="clear" w:color="auto" w:fill="FFFFFF"/>
      <w:spacing w:line="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4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61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A4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61F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B1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8</Pages>
  <Words>2420</Words>
  <Characters>14525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8</cp:revision>
  <dcterms:created xsi:type="dcterms:W3CDTF">2023-08-29T07:37:00Z</dcterms:created>
  <dcterms:modified xsi:type="dcterms:W3CDTF">2024-08-20T09:27:00Z</dcterms:modified>
</cp:coreProperties>
</file>