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945E0" w14:textId="555569FF" w:rsidR="00511AC3" w:rsidRPr="00511AC3" w:rsidRDefault="00511AC3" w:rsidP="00B42D3C">
      <w:pPr>
        <w:spacing w:before="120" w:after="240"/>
        <w:ind w:left="5954"/>
        <w:rPr>
          <w:rFonts w:cstheme="minorHAnsi"/>
          <w:color w:val="000000"/>
          <w:szCs w:val="22"/>
        </w:rPr>
      </w:pPr>
      <w:r w:rsidRPr="00511AC3">
        <w:rPr>
          <w:rFonts w:cstheme="minorHAnsi"/>
          <w:color w:val="000000"/>
          <w:szCs w:val="22"/>
        </w:rPr>
        <w:t xml:space="preserve">Warszawa, </w:t>
      </w:r>
      <w:r w:rsidR="00DD3E18">
        <w:rPr>
          <w:rFonts w:cstheme="minorHAnsi"/>
          <w:color w:val="000000"/>
          <w:szCs w:val="22"/>
        </w:rPr>
        <w:t xml:space="preserve">30 </w:t>
      </w:r>
      <w:r w:rsidR="007B73E1">
        <w:rPr>
          <w:rFonts w:cstheme="minorHAnsi"/>
          <w:color w:val="000000"/>
          <w:szCs w:val="22"/>
        </w:rPr>
        <w:t>październik</w:t>
      </w:r>
      <w:r w:rsidRPr="00511AC3">
        <w:rPr>
          <w:rFonts w:cstheme="minorHAnsi"/>
          <w:color w:val="000000"/>
          <w:szCs w:val="22"/>
        </w:rPr>
        <w:t>a 2024 r.</w:t>
      </w:r>
    </w:p>
    <w:p w14:paraId="3138DC4F" w14:textId="58130A91" w:rsidR="00E60D07" w:rsidRPr="005535AB" w:rsidRDefault="00E60D07" w:rsidP="00B42D3C">
      <w:pPr>
        <w:spacing w:before="120" w:after="240"/>
        <w:rPr>
          <w:rFonts w:cstheme="minorHAnsi"/>
          <w:color w:val="000000"/>
          <w:szCs w:val="22"/>
        </w:rPr>
      </w:pPr>
      <w:r w:rsidRPr="005535AB">
        <w:rPr>
          <w:rFonts w:cstheme="minorHAnsi"/>
          <w:b/>
          <w:color w:val="000000"/>
          <w:szCs w:val="22"/>
        </w:rPr>
        <w:t>znak sprawy</w:t>
      </w:r>
      <w:r w:rsidRPr="00DD3E18">
        <w:rPr>
          <w:rFonts w:cstheme="minorHAnsi"/>
          <w:b/>
          <w:color w:val="000000"/>
          <w:szCs w:val="22"/>
        </w:rPr>
        <w:t>: KW-WGF.1711.6.2024.MWB</w:t>
      </w:r>
    </w:p>
    <w:p w14:paraId="6D6885C2" w14:textId="77777777" w:rsidR="00E60D07" w:rsidRPr="005535AB" w:rsidRDefault="00E60D07" w:rsidP="00B42D3C">
      <w:pPr>
        <w:spacing w:before="240" w:after="680"/>
        <w:ind w:left="5529" w:hanging="567"/>
        <w:contextualSpacing/>
        <w:rPr>
          <w:rFonts w:cstheme="minorHAnsi"/>
          <w:b/>
          <w:bCs/>
          <w:szCs w:val="22"/>
        </w:rPr>
      </w:pPr>
      <w:r>
        <w:rPr>
          <w:rFonts w:cstheme="minorHAnsi"/>
          <w:b/>
          <w:bCs/>
          <w:szCs w:val="22"/>
        </w:rPr>
        <w:t>Pan</w:t>
      </w:r>
    </w:p>
    <w:p w14:paraId="5DE05E9F" w14:textId="77777777" w:rsidR="00E60D07" w:rsidRPr="005535AB" w:rsidRDefault="00E60D07" w:rsidP="00B42D3C">
      <w:pPr>
        <w:spacing w:before="240" w:after="680"/>
        <w:ind w:left="5529" w:hanging="567"/>
        <w:contextualSpacing/>
        <w:rPr>
          <w:rFonts w:cstheme="minorHAns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>Arkadiusz Przybylski</w:t>
      </w:r>
    </w:p>
    <w:p w14:paraId="039AD4A7" w14:textId="77777777" w:rsidR="00E60D07" w:rsidRPr="005535AB" w:rsidRDefault="00E60D07" w:rsidP="00B42D3C">
      <w:pPr>
        <w:spacing w:before="240" w:after="680"/>
        <w:ind w:left="5529" w:hanging="567"/>
        <w:contextualSpacing/>
        <w:rPr>
          <w:rFonts w:cstheme="minorHAnsi"/>
          <w:b/>
          <w:bCs/>
          <w:szCs w:val="22"/>
        </w:rPr>
      </w:pPr>
      <w:r>
        <w:rPr>
          <w:rFonts w:cstheme="minorHAnsi"/>
          <w:b/>
          <w:bCs/>
          <w:szCs w:val="22"/>
        </w:rPr>
        <w:t>p.o. Dyrektora</w:t>
      </w:r>
    </w:p>
    <w:p w14:paraId="65DCCACE" w14:textId="77777777" w:rsidR="00E60D07" w:rsidRDefault="00E60D07" w:rsidP="00B42D3C">
      <w:pPr>
        <w:spacing w:before="240" w:after="680"/>
        <w:ind w:left="5528" w:hanging="567"/>
        <w:contextualSpacing/>
        <w:rPr>
          <w:rFonts w:cstheme="minorHAnsi"/>
          <w:b/>
          <w:bCs/>
          <w:szCs w:val="22"/>
        </w:rPr>
      </w:pPr>
      <w:r>
        <w:rPr>
          <w:rFonts w:cstheme="minorHAnsi"/>
          <w:b/>
          <w:bCs/>
          <w:szCs w:val="22"/>
        </w:rPr>
        <w:t>Zakładu Gospodarowania Nieruchomościami</w:t>
      </w:r>
    </w:p>
    <w:p w14:paraId="625D2D41" w14:textId="77777777" w:rsidR="00E60D07" w:rsidRPr="002705AE" w:rsidRDefault="00E60D07" w:rsidP="00B42D3C">
      <w:pPr>
        <w:spacing w:before="240" w:after="680"/>
        <w:ind w:left="5528" w:hanging="567"/>
        <w:contextualSpacing/>
        <w:rPr>
          <w:rFonts w:cstheme="minorHAnsi"/>
          <w:b/>
          <w:bCs/>
          <w:szCs w:val="22"/>
        </w:rPr>
      </w:pPr>
      <w:r>
        <w:rPr>
          <w:rFonts w:cstheme="minorHAnsi"/>
          <w:b/>
          <w:bCs/>
          <w:szCs w:val="22"/>
        </w:rPr>
        <w:t>w Dzielnicy Bielany m.st. Warszawy</w:t>
      </w:r>
    </w:p>
    <w:p w14:paraId="2B9E1073" w14:textId="753C064B" w:rsidR="00E60D07" w:rsidRPr="005535AB" w:rsidRDefault="007B73E1" w:rsidP="00B42D3C">
      <w:pPr>
        <w:keepNext/>
        <w:keepLines/>
        <w:spacing w:before="120" w:after="240"/>
        <w:ind w:left="3261"/>
        <w:outlineLvl w:val="0"/>
        <w:rPr>
          <w:rFonts w:eastAsiaTheme="majorEastAsia" w:cstheme="minorHAnsi"/>
          <w:b/>
          <w:bCs/>
          <w:kern w:val="32"/>
          <w:szCs w:val="22"/>
        </w:rPr>
      </w:pPr>
      <w:r>
        <w:rPr>
          <w:rFonts w:eastAsiaTheme="majorEastAsia" w:cstheme="minorHAnsi"/>
          <w:b/>
          <w:bCs/>
          <w:kern w:val="32"/>
          <w:szCs w:val="22"/>
        </w:rPr>
        <w:t>Wystąpienie pokontrolne</w:t>
      </w:r>
    </w:p>
    <w:p w14:paraId="3660B832" w14:textId="3A486EC4" w:rsidR="007B73E1" w:rsidRDefault="007B73E1" w:rsidP="00B42D3C">
      <w:pPr>
        <w:tabs>
          <w:tab w:val="left" w:pos="0"/>
        </w:tabs>
        <w:spacing w:before="120" w:after="240"/>
        <w:rPr>
          <w:rFonts w:cstheme="minorHAnsi"/>
          <w:iCs/>
          <w:szCs w:val="22"/>
        </w:rPr>
      </w:pPr>
      <w:r w:rsidRPr="00AC1062">
        <w:rPr>
          <w:rFonts w:cstheme="minorHAnsi"/>
          <w:iCs/>
          <w:szCs w:val="22"/>
        </w:rPr>
        <w:t>Na podstawie § 22 ust. 10 Regulaminu organizacyjnego Urzędu m.st. Warszawy, stanowi</w:t>
      </w:r>
      <w:r>
        <w:rPr>
          <w:rFonts w:cstheme="minorHAnsi"/>
          <w:iCs/>
          <w:szCs w:val="22"/>
        </w:rPr>
        <w:t>ącego załącznik do zarządzenia n</w:t>
      </w:r>
      <w:r w:rsidRPr="00AC1062">
        <w:rPr>
          <w:rFonts w:cstheme="minorHAnsi"/>
          <w:iCs/>
          <w:szCs w:val="22"/>
        </w:rPr>
        <w:t xml:space="preserve">r 312/2007 Prezydenta m.st. Warszawy z 4 kwietnia 2007 r. w sprawie nadania regulaminu organizacyjnego Urzędu m.st. Warszawy (ze zm.), </w:t>
      </w:r>
      <w:r w:rsidRPr="00AC1062">
        <w:rPr>
          <w:rFonts w:cstheme="minorHAnsi"/>
          <w:szCs w:val="22"/>
        </w:rPr>
        <w:t xml:space="preserve">w związku </w:t>
      </w:r>
      <w:r w:rsidRPr="00AC1062">
        <w:rPr>
          <w:rFonts w:cstheme="minorHAnsi"/>
          <w:iCs/>
          <w:szCs w:val="22"/>
        </w:rPr>
        <w:t>kontrolą przeprowadzoną przez Biuro Kontroli Urzędu m.st. Warszawy w</w:t>
      </w:r>
      <w:r w:rsidRPr="00AC1062">
        <w:rPr>
          <w:szCs w:val="22"/>
        </w:rPr>
        <w:t xml:space="preserve"> </w:t>
      </w:r>
      <w:r>
        <w:rPr>
          <w:rFonts w:cstheme="minorHAnsi"/>
          <w:iCs/>
          <w:szCs w:val="22"/>
        </w:rPr>
        <w:t xml:space="preserve">Zakładzie Gospodarowania Nieruchomościami w Dzielnicy Bielany m.st. Warszawy, </w:t>
      </w:r>
      <w:r w:rsidRPr="00AC1062">
        <w:rPr>
          <w:rFonts w:cstheme="minorHAnsi"/>
          <w:iCs/>
          <w:szCs w:val="22"/>
        </w:rPr>
        <w:t xml:space="preserve">w okresie od </w:t>
      </w:r>
      <w:r>
        <w:rPr>
          <w:rFonts w:cstheme="minorHAnsi"/>
          <w:iCs/>
          <w:szCs w:val="22"/>
        </w:rPr>
        <w:t xml:space="preserve">29 lipca </w:t>
      </w:r>
      <w:r w:rsidRPr="00AC1062">
        <w:rPr>
          <w:rFonts w:cstheme="minorHAnsi"/>
          <w:iCs/>
          <w:szCs w:val="22"/>
        </w:rPr>
        <w:t xml:space="preserve">2024 r. do </w:t>
      </w:r>
      <w:r>
        <w:rPr>
          <w:rFonts w:cstheme="minorHAnsi"/>
          <w:iCs/>
          <w:szCs w:val="22"/>
        </w:rPr>
        <w:t>14 sierpnia</w:t>
      </w:r>
      <w:r w:rsidRPr="00AC1062">
        <w:rPr>
          <w:rFonts w:cstheme="minorHAnsi"/>
          <w:iCs/>
          <w:szCs w:val="22"/>
        </w:rPr>
        <w:t xml:space="preserve"> 2024 r., w zakresie „</w:t>
      </w:r>
      <w:r>
        <w:rPr>
          <w:rFonts w:cstheme="minorHAnsi"/>
          <w:iCs/>
          <w:szCs w:val="22"/>
        </w:rPr>
        <w:t>Dokonanie wyceny majątku m.st. Warszawy, który jest w ewidencji pozabilansowej z wartością zerową</w:t>
      </w:r>
      <w:r w:rsidRPr="00AC1062">
        <w:rPr>
          <w:rFonts w:cstheme="minorHAnsi"/>
          <w:iCs/>
          <w:szCs w:val="22"/>
        </w:rPr>
        <w:t xml:space="preserve">” za okres od </w:t>
      </w:r>
      <w:r>
        <w:rPr>
          <w:rFonts w:cstheme="minorHAnsi"/>
          <w:iCs/>
          <w:szCs w:val="22"/>
        </w:rPr>
        <w:t>1 stycznia 2023 r. do 30 maja 2024</w:t>
      </w:r>
      <w:r w:rsidRPr="00AC1062">
        <w:rPr>
          <w:rFonts w:cstheme="minorHAnsi"/>
          <w:iCs/>
          <w:szCs w:val="22"/>
        </w:rPr>
        <w:t xml:space="preserve"> r., której wyniki zostały przedstawione w protokole kontroli podpisanym </w:t>
      </w:r>
      <w:r>
        <w:rPr>
          <w:rFonts w:cstheme="minorHAnsi"/>
          <w:iCs/>
          <w:szCs w:val="22"/>
        </w:rPr>
        <w:t>14 sierpnia</w:t>
      </w:r>
      <w:r w:rsidRPr="00AC1062">
        <w:rPr>
          <w:rFonts w:cstheme="minorHAnsi"/>
          <w:iCs/>
          <w:szCs w:val="22"/>
        </w:rPr>
        <w:t xml:space="preserve"> 2024 r.,</w:t>
      </w:r>
      <w:r w:rsidRPr="00AC1062">
        <w:rPr>
          <w:rFonts w:cstheme="minorHAnsi"/>
          <w:szCs w:val="22"/>
        </w:rPr>
        <w:t xml:space="preserve"> stosownie do </w:t>
      </w:r>
      <w:r w:rsidR="00FE6D85">
        <w:rPr>
          <w:rFonts w:cstheme="minorHAnsi"/>
          <w:iCs/>
          <w:szCs w:val="22"/>
        </w:rPr>
        <w:t>§ 39 ust. 1 i ust. 4</w:t>
      </w:r>
      <w:r w:rsidRPr="00D87F87">
        <w:rPr>
          <w:rFonts w:cstheme="minorHAnsi"/>
          <w:iCs/>
          <w:szCs w:val="22"/>
        </w:rPr>
        <w:t xml:space="preserve"> </w:t>
      </w:r>
      <w:r w:rsidRPr="00AC1062">
        <w:rPr>
          <w:rFonts w:cstheme="minorHAnsi"/>
          <w:szCs w:val="22"/>
        </w:rPr>
        <w:t>zarządzenia nr 1837/2019 Prezydenta m.s.t Warszawy z 12 grudnia 2019 r. w sprawie zasad i trybu postępowania kontrolnego (zwanego dalej: Zarządzeniem),</w:t>
      </w:r>
      <w:r>
        <w:rPr>
          <w:rFonts w:cstheme="minorHAnsi"/>
          <w:szCs w:val="22"/>
        </w:rPr>
        <w:t xml:space="preserve"> </w:t>
      </w:r>
      <w:r w:rsidRPr="00803A50">
        <w:rPr>
          <w:rFonts w:cstheme="minorHAnsi"/>
          <w:szCs w:val="22"/>
        </w:rPr>
        <w:t>w związku z zaakceptowaniem przez Pana stanowiska Biura Kontroli w sprawie złożonych zastrzeżeń do projektu wystąpienia,</w:t>
      </w:r>
      <w:r w:rsidRPr="00AC1062">
        <w:rPr>
          <w:rFonts w:cstheme="minorHAnsi"/>
          <w:szCs w:val="22"/>
        </w:rPr>
        <w:t xml:space="preserve"> przekazuję </w:t>
      </w:r>
      <w:r>
        <w:rPr>
          <w:rFonts w:cstheme="minorHAnsi"/>
          <w:szCs w:val="22"/>
        </w:rPr>
        <w:t>wystąpienie pokontrolne</w:t>
      </w:r>
      <w:r w:rsidRPr="00AC1062">
        <w:rPr>
          <w:rFonts w:cstheme="minorHAnsi"/>
          <w:szCs w:val="22"/>
        </w:rPr>
        <w:t>.</w:t>
      </w:r>
    </w:p>
    <w:p w14:paraId="6098F8EC" w14:textId="6B090649" w:rsidR="00164767" w:rsidRPr="00164767" w:rsidRDefault="002476A8" w:rsidP="00B42D3C">
      <w:pPr>
        <w:spacing w:before="120" w:after="240"/>
      </w:pPr>
      <w:r>
        <w:rPr>
          <w:rFonts w:cstheme="minorHAnsi"/>
          <w:szCs w:val="22"/>
        </w:rPr>
        <w:t xml:space="preserve">W księgach </w:t>
      </w:r>
      <w:r w:rsidR="00DD477C">
        <w:rPr>
          <w:rFonts w:cstheme="minorHAnsi"/>
          <w:szCs w:val="22"/>
        </w:rPr>
        <w:t>pomocniczych (księgi inwentarzowe)</w:t>
      </w:r>
      <w:r>
        <w:rPr>
          <w:rFonts w:cstheme="minorHAnsi"/>
          <w:szCs w:val="22"/>
        </w:rPr>
        <w:t xml:space="preserve"> </w:t>
      </w:r>
      <w:r w:rsidR="00511AC3">
        <w:rPr>
          <w:rFonts w:cstheme="minorHAnsi"/>
          <w:iCs/>
          <w:szCs w:val="22"/>
        </w:rPr>
        <w:t>Zakładu Gospodarowania Nieruchomościami w Dzielnicy Bielany m.st. Warszawy</w:t>
      </w:r>
      <w:r w:rsidR="00511AC3" w:rsidRPr="001B6FE8">
        <w:rPr>
          <w:rFonts w:cstheme="minorHAnsi"/>
          <w:szCs w:val="22"/>
        </w:rPr>
        <w:t xml:space="preserve"> </w:t>
      </w:r>
      <w:r w:rsidR="00A10D03">
        <w:rPr>
          <w:rFonts w:cstheme="minorHAnsi"/>
          <w:szCs w:val="22"/>
        </w:rPr>
        <w:t>(dalej: ZGN</w:t>
      </w:r>
      <w:r w:rsidR="00511AC3">
        <w:rPr>
          <w:rFonts w:cstheme="minorHAnsi"/>
          <w:szCs w:val="22"/>
        </w:rPr>
        <w:t xml:space="preserve"> lub Zakład</w:t>
      </w:r>
      <w:r w:rsidR="00511AC3" w:rsidRPr="001B6FE8">
        <w:rPr>
          <w:rFonts w:cstheme="minorHAnsi"/>
          <w:szCs w:val="22"/>
        </w:rPr>
        <w:t>)</w:t>
      </w:r>
      <w:r w:rsidR="00511AC3">
        <w:rPr>
          <w:rFonts w:cstheme="minorHAnsi"/>
          <w:szCs w:val="22"/>
        </w:rPr>
        <w:t xml:space="preserve">, według stanu na 30 czerwca </w:t>
      </w:r>
      <w:r>
        <w:rPr>
          <w:rFonts w:cstheme="minorHAnsi"/>
          <w:szCs w:val="22"/>
        </w:rPr>
        <w:t>2024 r.</w:t>
      </w:r>
      <w:r w:rsidR="002C0711">
        <w:rPr>
          <w:rFonts w:cstheme="minorHAnsi"/>
          <w:szCs w:val="22"/>
        </w:rPr>
        <w:t>,</w:t>
      </w:r>
      <w:r>
        <w:rPr>
          <w:rFonts w:cstheme="minorHAnsi"/>
          <w:szCs w:val="22"/>
        </w:rPr>
        <w:t xml:space="preserve"> ujęto łącznie 472 składniki majątku</w:t>
      </w:r>
      <w:r w:rsidR="00116538">
        <w:rPr>
          <w:rStyle w:val="Odwoanieprzypisudolnego"/>
          <w:rFonts w:cstheme="minorHAnsi"/>
          <w:szCs w:val="22"/>
        </w:rPr>
        <w:footnoteReference w:id="1"/>
      </w:r>
      <w:r w:rsidR="00DD477C">
        <w:rPr>
          <w:rFonts w:cstheme="minorHAnsi"/>
          <w:szCs w:val="22"/>
        </w:rPr>
        <w:t xml:space="preserve"> </w:t>
      </w:r>
      <w:r w:rsidR="00534DFC">
        <w:rPr>
          <w:rFonts w:cstheme="minorHAnsi"/>
          <w:szCs w:val="22"/>
        </w:rPr>
        <w:t xml:space="preserve">o wartości 62 648 466,17 zł (netto), </w:t>
      </w:r>
      <w:r>
        <w:rPr>
          <w:rFonts w:cstheme="minorHAnsi"/>
          <w:szCs w:val="22"/>
        </w:rPr>
        <w:t>w tym 415 nieruchomości</w:t>
      </w:r>
      <w:r w:rsidR="00116538">
        <w:rPr>
          <w:rFonts w:cstheme="minorHAnsi"/>
          <w:szCs w:val="22"/>
        </w:rPr>
        <w:t xml:space="preserve"> (grupa 1 KŚT</w:t>
      </w:r>
      <w:r w:rsidR="00116538">
        <w:rPr>
          <w:rStyle w:val="Odwoanieprzypisudolnego"/>
          <w:rFonts w:cstheme="minorHAnsi"/>
          <w:szCs w:val="22"/>
        </w:rPr>
        <w:footnoteReference w:id="2"/>
      </w:r>
      <w:r w:rsidR="00116538">
        <w:rPr>
          <w:rFonts w:cstheme="minorHAnsi"/>
          <w:szCs w:val="22"/>
        </w:rPr>
        <w:t>)</w:t>
      </w:r>
      <w:r w:rsidR="00534DFC">
        <w:rPr>
          <w:rFonts w:cstheme="minorHAnsi"/>
          <w:szCs w:val="22"/>
        </w:rPr>
        <w:t xml:space="preserve"> o wartości 57 233 558,18 zł (netto)</w:t>
      </w:r>
      <w:r>
        <w:rPr>
          <w:rFonts w:cstheme="minorHAnsi"/>
          <w:szCs w:val="22"/>
        </w:rPr>
        <w:t xml:space="preserve">. </w:t>
      </w:r>
      <w:r w:rsidR="00164767">
        <w:t xml:space="preserve">W księgach inwentarzowych dla </w:t>
      </w:r>
      <w:r w:rsidR="00E541B2">
        <w:t>każdego wyodrębnionego składnika</w:t>
      </w:r>
      <w:r w:rsidR="00164767">
        <w:t xml:space="preserve"> majątku określono</w:t>
      </w:r>
      <w:r w:rsidR="002E4E86">
        <w:t xml:space="preserve"> nr inwentarzowy</w:t>
      </w:r>
      <w:r w:rsidR="00534DFC">
        <w:t xml:space="preserve">, </w:t>
      </w:r>
      <w:r w:rsidR="00116538">
        <w:t>podział rodzajowy i symbole klasyfikacji środków trwałych zgodnie z KŚT</w:t>
      </w:r>
      <w:r w:rsidR="00534DFC">
        <w:t>, zastosowaną stawkę odpisu umorzeniowego</w:t>
      </w:r>
      <w:r w:rsidR="00116538">
        <w:rPr>
          <w:rStyle w:val="Odwoanieprzypisudolnego"/>
        </w:rPr>
        <w:footnoteReference w:id="3"/>
      </w:r>
      <w:r w:rsidR="00534DFC">
        <w:t xml:space="preserve">, </w:t>
      </w:r>
      <w:r w:rsidR="00164767">
        <w:t>wartość początkową, w</w:t>
      </w:r>
      <w:r w:rsidR="00534DFC">
        <w:t>artość umorzeń oraz wartość netto</w:t>
      </w:r>
      <w:r w:rsidR="002E4E86">
        <w:t>,</w:t>
      </w:r>
      <w:r w:rsidR="002E4E86" w:rsidRPr="002E4E86">
        <w:t xml:space="preserve"> </w:t>
      </w:r>
      <w:r w:rsidR="002E4E86">
        <w:t>w przypadku nieruchomości wykazywano dane dot. powierzchni.</w:t>
      </w:r>
      <w:r w:rsidR="00164767">
        <w:t xml:space="preserve"> </w:t>
      </w:r>
      <w:r w:rsidR="00DD477C">
        <w:t xml:space="preserve">Zapisy </w:t>
      </w:r>
      <w:r w:rsidR="00DD477C">
        <w:lastRenderedPageBreak/>
        <w:t>w księdze głównej prowadzono na kontach 011-„Środki trwałe”, 013-„Pozostałe środki trwałe” oraz 020-„</w:t>
      </w:r>
      <w:r w:rsidR="00DD477C" w:rsidRPr="00DD477C">
        <w:t>Wartości niematerialne i prawne</w:t>
      </w:r>
      <w:r w:rsidR="00DD477C">
        <w:t>”.</w:t>
      </w:r>
    </w:p>
    <w:p w14:paraId="5249C116" w14:textId="61B489A4" w:rsidR="00C85C55" w:rsidRPr="00DD3E18" w:rsidRDefault="00C85C55" w:rsidP="00B42D3C">
      <w:pPr>
        <w:spacing w:before="120" w:after="240"/>
        <w:rPr>
          <w:bCs/>
        </w:rPr>
      </w:pPr>
      <w:r w:rsidRPr="00DD3E18">
        <w:rPr>
          <w:bCs/>
          <w:szCs w:val="22"/>
          <w:lang w:bidi="pl-PL"/>
        </w:rPr>
        <w:t xml:space="preserve">Ustalenia kontroli wskazują, że jedynie dostatecznie należy ocenić działania Zakładu w obszarze objętym kontrolą, w związku ze stwierdzonymi </w:t>
      </w:r>
      <w:r w:rsidR="005C29A6" w:rsidRPr="00DD3E18">
        <w:rPr>
          <w:bCs/>
          <w:szCs w:val="22"/>
          <w:lang w:bidi="pl-PL"/>
        </w:rPr>
        <w:t>nieprawidłowościami w zakresie ewidencjonowania nieruchomości.</w:t>
      </w:r>
      <w:r w:rsidR="005C29A6" w:rsidRPr="00DD3E18">
        <w:rPr>
          <w:bCs/>
        </w:rPr>
        <w:t xml:space="preserve"> </w:t>
      </w:r>
      <w:r w:rsidR="005C29A6" w:rsidRPr="00DD3E18">
        <w:rPr>
          <w:bCs/>
          <w:szCs w:val="22"/>
          <w:lang w:bidi="pl-PL"/>
        </w:rPr>
        <w:t>Powyższa ocena wskazuje na zaburzenia w realizacji celów kontroli zarządczej określonych w § 4 pkt 1 i 3</w:t>
      </w:r>
      <w:r w:rsidR="00BB5BDE" w:rsidRPr="00DD3E18">
        <w:rPr>
          <w:bCs/>
          <w:szCs w:val="22"/>
          <w:lang w:bidi="pl-PL"/>
        </w:rPr>
        <w:t xml:space="preserve"> </w:t>
      </w:r>
      <w:r w:rsidR="005C29A6" w:rsidRPr="00DD3E18">
        <w:rPr>
          <w:bCs/>
          <w:szCs w:val="22"/>
          <w:lang w:bidi="pl-PL"/>
        </w:rPr>
        <w:t>zarządzenia nr 1613/2011 Prezydenta m.st. Warszawy z 11 października 2011 r. w sprawie zasad funkcjonowania kontroli zarządczej w mieście stołecznym Warszawie (ze zm.)</w:t>
      </w:r>
      <w:r w:rsidR="002877FA" w:rsidRPr="00DD3E18">
        <w:rPr>
          <w:bCs/>
          <w:szCs w:val="22"/>
          <w:lang w:bidi="pl-PL"/>
        </w:rPr>
        <w:t>, a tym samym</w:t>
      </w:r>
      <w:r w:rsidR="00BB5BDE" w:rsidRPr="00DD3E18">
        <w:rPr>
          <w:bCs/>
          <w:szCs w:val="22"/>
          <w:lang w:bidi="pl-PL"/>
        </w:rPr>
        <w:t xml:space="preserve"> </w:t>
      </w:r>
      <w:r w:rsidR="00BB5BDE" w:rsidRPr="00DD3E18">
        <w:rPr>
          <w:rFonts w:ascii="Calibri" w:hAnsi="Calibri" w:cs="Calibri"/>
          <w:bCs/>
          <w:szCs w:val="22"/>
        </w:rPr>
        <w:t>funkcjonowania efektywnej kontroli zarządczej, która należy do</w:t>
      </w:r>
      <w:r w:rsidR="00F34E76" w:rsidRPr="00DD3E18">
        <w:rPr>
          <w:rFonts w:ascii="Calibri" w:hAnsi="Calibri" w:cs="Calibri"/>
          <w:bCs/>
          <w:szCs w:val="22"/>
        </w:rPr>
        <w:t xml:space="preserve"> zadań</w:t>
      </w:r>
      <w:r w:rsidR="00BB5BDE" w:rsidRPr="00DD3E18">
        <w:rPr>
          <w:rFonts w:ascii="Calibri" w:hAnsi="Calibri" w:cs="Calibri"/>
          <w:bCs/>
          <w:szCs w:val="22"/>
        </w:rPr>
        <w:t xml:space="preserve"> kierownika jednostki sektora finansów publicznych</w:t>
      </w:r>
      <w:r w:rsidR="00BB5BDE" w:rsidRPr="00DD3E18">
        <w:rPr>
          <w:rFonts w:ascii="Calibri" w:hAnsi="Calibri"/>
          <w:bCs/>
          <w:szCs w:val="22"/>
          <w:vertAlign w:val="superscript"/>
        </w:rPr>
        <w:footnoteReference w:id="4"/>
      </w:r>
      <w:r w:rsidR="005F6D20" w:rsidRPr="00DD3E18">
        <w:rPr>
          <w:rFonts w:ascii="Calibri" w:hAnsi="Calibri" w:cs="Calibri"/>
          <w:bCs/>
          <w:szCs w:val="22"/>
        </w:rPr>
        <w:t>.</w:t>
      </w:r>
    </w:p>
    <w:p w14:paraId="29B4126F" w14:textId="585DC854" w:rsidR="00CB1176" w:rsidRDefault="00DD477C" w:rsidP="00B42D3C">
      <w:pPr>
        <w:spacing w:before="120" w:after="240"/>
      </w:pPr>
      <w:r>
        <w:t xml:space="preserve">Ustalono, że prowadzono </w:t>
      </w:r>
      <w:r w:rsidR="00F44F98">
        <w:t>w księgach</w:t>
      </w:r>
      <w:r>
        <w:t xml:space="preserve"> </w:t>
      </w:r>
      <w:r w:rsidR="00F44F98">
        <w:t xml:space="preserve">zapisy </w:t>
      </w:r>
      <w:r>
        <w:t>na koncie 010 „Majątek pozostający poza ewidencją ŚT [środków trwałych] ZGN”</w:t>
      </w:r>
      <w:r w:rsidR="00CB1176">
        <w:t>, którego saldo na 31 grudnia 2023 r.</w:t>
      </w:r>
      <w:r w:rsidR="001C01AE">
        <w:t xml:space="preserve"> </w:t>
      </w:r>
      <w:r w:rsidR="00CB1176">
        <w:t>wynosiło  44 534 744,11 zł. Zgodnie z danymi</w:t>
      </w:r>
      <w:r w:rsidR="000B799D">
        <w:t xml:space="preserve"> ewidencji</w:t>
      </w:r>
      <w:r w:rsidR="00F8616F">
        <w:t xml:space="preserve"> jest to majątek, który stanowi grunty</w:t>
      </w:r>
      <w:r w:rsidR="00F8616F">
        <w:rPr>
          <w:rStyle w:val="Odwoanieprzypisudolnego"/>
        </w:rPr>
        <w:footnoteReference w:id="5"/>
      </w:r>
      <w:r w:rsidR="00F8616F">
        <w:t xml:space="preserve"> ujęte w ewidencji Miasta st. Warszawy,</w:t>
      </w:r>
      <w:r w:rsidR="004B03B2">
        <w:t xml:space="preserve"> 4</w:t>
      </w:r>
      <w:r w:rsidR="00F8616F">
        <w:t xml:space="preserve"> nieruchomości</w:t>
      </w:r>
      <w:r w:rsidR="00F8616F">
        <w:rPr>
          <w:rStyle w:val="Odwoanieprzypisudolnego"/>
        </w:rPr>
        <w:footnoteReference w:id="6"/>
      </w:r>
      <w:r w:rsidR="00F8616F">
        <w:t xml:space="preserve"> wobec których - zgodnie z wyjaśnieniami Zastępcy</w:t>
      </w:r>
      <w:r w:rsidR="00F8616F" w:rsidRPr="00AB7FE6">
        <w:t xml:space="preserve"> Dyrektora</w:t>
      </w:r>
      <w:r w:rsidR="00F8616F">
        <w:t xml:space="preserve"> Zakładu - ZGN  jest zarządcą, natomiast ujęte są w ewidencji majątku Urzędu </w:t>
      </w:r>
      <w:r w:rsidR="004B03B2">
        <w:t>Dzielnicy Bielany</w:t>
      </w:r>
      <w:r w:rsidR="00F8616F">
        <w:t>.</w:t>
      </w:r>
    </w:p>
    <w:p w14:paraId="12A3C91A" w14:textId="56339308" w:rsidR="00E3192E" w:rsidRDefault="004B03B2" w:rsidP="00B42D3C">
      <w:pPr>
        <w:spacing w:before="120" w:after="240"/>
      </w:pPr>
      <w:r>
        <w:t>W</w:t>
      </w:r>
      <w:r w:rsidR="00F44F98">
        <w:t xml:space="preserve"> ewidencj</w:t>
      </w:r>
      <w:r>
        <w:t>i</w:t>
      </w:r>
      <w:r w:rsidR="00F44F98">
        <w:t xml:space="preserve"> </w:t>
      </w:r>
      <w:r>
        <w:t>pomocniczej</w:t>
      </w:r>
      <w:r w:rsidR="00F44F98" w:rsidRPr="00F44F98">
        <w:t xml:space="preserve"> (księgi inwentarzowe</w:t>
      </w:r>
      <w:r w:rsidR="00F44F98">
        <w:t xml:space="preserve">) </w:t>
      </w:r>
      <w:r w:rsidR="00F44F98" w:rsidRPr="00F44F98">
        <w:t xml:space="preserve">pn. </w:t>
      </w:r>
      <w:r w:rsidR="00F44F98">
        <w:t>„</w:t>
      </w:r>
      <w:r w:rsidR="00F44F98" w:rsidRPr="00F44F98">
        <w:t xml:space="preserve">Zestawienie środków trwałych dla amortyzacji bilansowej na termin 2024-06 – rodzaj ewidencji: </w:t>
      </w:r>
      <w:r w:rsidR="00F44F98" w:rsidRPr="002E4E86">
        <w:t>pozabilansowa</w:t>
      </w:r>
      <w:r w:rsidR="00F44F98" w:rsidRPr="00F44F98">
        <w:t xml:space="preserve"> – atrybuty ŚT: wszystkie</w:t>
      </w:r>
      <w:r w:rsidR="00F44F98">
        <w:t>”</w:t>
      </w:r>
      <w:r w:rsidR="00F44F98" w:rsidRPr="00F44F98">
        <w:t xml:space="preserve"> ujęto </w:t>
      </w:r>
      <w:r w:rsidR="00F44F98">
        <w:t>25</w:t>
      </w:r>
      <w:r>
        <w:t xml:space="preserve"> pozycji</w:t>
      </w:r>
      <w:r w:rsidR="00F44F98">
        <w:t>, w tym 4</w:t>
      </w:r>
      <w:r>
        <w:t xml:space="preserve"> ww. nieruchomości oraz </w:t>
      </w:r>
      <w:r w:rsidRPr="004B03B2">
        <w:rPr>
          <w:rFonts w:eastAsiaTheme="minorHAnsi" w:cstheme="minorBidi"/>
          <w:noProof/>
          <w:szCs w:val="22"/>
          <w:lang w:eastAsia="en-US"/>
        </w:rPr>
        <w:t>8</w:t>
      </w:r>
      <w:r>
        <w:rPr>
          <w:rFonts w:eastAsiaTheme="minorHAnsi" w:cstheme="minorBidi"/>
          <w:noProof/>
          <w:szCs w:val="22"/>
          <w:lang w:eastAsia="en-US"/>
        </w:rPr>
        <w:t xml:space="preserve"> innych</w:t>
      </w:r>
      <w:r w:rsidRPr="004B03B2">
        <w:rPr>
          <w:rFonts w:eastAsiaTheme="minorHAnsi" w:cstheme="minorBidi"/>
          <w:noProof/>
          <w:szCs w:val="22"/>
          <w:lang w:eastAsia="en-US"/>
        </w:rPr>
        <w:t xml:space="preserve"> nieruchomości</w:t>
      </w:r>
      <w:r w:rsidRPr="004B03B2">
        <w:rPr>
          <w:rFonts w:eastAsiaTheme="minorHAnsi" w:cstheme="minorBidi"/>
          <w:noProof/>
          <w:szCs w:val="22"/>
          <w:vertAlign w:val="superscript"/>
          <w:lang w:eastAsia="en-US"/>
        </w:rPr>
        <w:footnoteReference w:id="7"/>
      </w:r>
      <w:r>
        <w:rPr>
          <w:rFonts w:eastAsiaTheme="minorHAnsi" w:cstheme="minorBidi"/>
          <w:noProof/>
          <w:szCs w:val="22"/>
          <w:lang w:eastAsia="en-US"/>
        </w:rPr>
        <w:t xml:space="preserve">, które </w:t>
      </w:r>
      <w:r w:rsidRPr="004B03B2">
        <w:rPr>
          <w:rFonts w:eastAsiaTheme="minorHAnsi" w:cstheme="minorBidi"/>
          <w:noProof/>
          <w:szCs w:val="22"/>
          <w:lang w:eastAsia="en-US"/>
        </w:rPr>
        <w:t>zostały przekazane w zarząd innym jednostkom na podstawie zarządzeń Prezydenta m.st. Warszawy.</w:t>
      </w:r>
      <w:r w:rsidR="00F50396">
        <w:rPr>
          <w:rFonts w:eastAsiaTheme="minorHAnsi" w:cstheme="minorBidi"/>
          <w:noProof/>
          <w:szCs w:val="22"/>
          <w:lang w:eastAsia="en-US"/>
        </w:rPr>
        <w:t xml:space="preserve"> Saldo zapisów wynosiło</w:t>
      </w:r>
      <w:r>
        <w:t xml:space="preserve"> 0 zł (zero zł).</w:t>
      </w:r>
      <w:r w:rsidR="00F50396" w:rsidRPr="00F50396">
        <w:t xml:space="preserve"> </w:t>
      </w:r>
      <w:r w:rsidR="00F50396">
        <w:t xml:space="preserve">Zastępca Dyrektora ZGN w sprawie wyjaśnił: „(…) </w:t>
      </w:r>
      <w:r w:rsidR="00F50396">
        <w:rPr>
          <w:rFonts w:cstheme="minorHAnsi"/>
        </w:rPr>
        <w:t>numery inwentarzowe ośmiu nieruchomości, które zostały zdjęte z zasobów ZGN Bielany i przekazane w zarząd innym jednostkom na mocy odpowiednich zarządzeń nadal figurują w ewidencji pozabilansowej Środków Trwałych z wartością i powierzchnią zerową ze względu na ograniczenia systemu komputerowego modułu Środki Trwałe</w:t>
      </w:r>
      <w:r w:rsidR="00F50396">
        <w:t>”.</w:t>
      </w:r>
      <w:r w:rsidR="00E47384" w:rsidRPr="00E47384">
        <w:t xml:space="preserve"> </w:t>
      </w:r>
      <w:r w:rsidR="00E47384">
        <w:t>W 1 przypadku</w:t>
      </w:r>
      <w:r w:rsidR="00E47384">
        <w:rPr>
          <w:rStyle w:val="Odwoanieprzypisudolnego"/>
        </w:rPr>
        <w:footnoteReference w:id="8"/>
      </w:r>
      <w:r w:rsidR="00E47384">
        <w:t>, j</w:t>
      </w:r>
      <w:r w:rsidR="00E47384" w:rsidRPr="00E47384">
        <w:t>ak wyjaśnił</w:t>
      </w:r>
      <w:r w:rsidR="00E47384">
        <w:t xml:space="preserve"> Z</w:t>
      </w:r>
      <w:r w:rsidR="00E47384" w:rsidRPr="00E47384">
        <w:t>astępca Dyrektora</w:t>
      </w:r>
      <w:r w:rsidR="00E47384">
        <w:t xml:space="preserve"> ZGN</w:t>
      </w:r>
      <w:r w:rsidR="00E47384" w:rsidRPr="00E47384">
        <w:t>: „</w:t>
      </w:r>
      <w:r w:rsidR="00E47384">
        <w:t>[są to]</w:t>
      </w:r>
      <w:r w:rsidR="00E47384" w:rsidRPr="00E47384">
        <w:t xml:space="preserve"> boksy motocyklowe, które stanowią udział m.st. Warszawy we Wspólnocie Mieszkaniowej nieruchomości </w:t>
      </w:r>
      <w:r w:rsidR="00E47384">
        <w:t>(..)</w:t>
      </w:r>
      <w:r w:rsidR="00E47384" w:rsidRPr="00E47384">
        <w:t>, w której wszystkie lokale mieszkalne zostały wyodrębnione”.</w:t>
      </w:r>
    </w:p>
    <w:p w14:paraId="5ED652EB" w14:textId="72B84793" w:rsidR="00E47384" w:rsidRDefault="00E47384" w:rsidP="00B42D3C">
      <w:pPr>
        <w:spacing w:before="120" w:after="240"/>
      </w:pPr>
      <w:r>
        <w:t>Wskazać należy, że stosownie do art. 3 ust. 1 pkt 15 ustawy z dnia 29 września 1994 r. o rachunkowości</w:t>
      </w:r>
      <w:r>
        <w:rPr>
          <w:rStyle w:val="Odwoanieprzypisudolnego"/>
        </w:rPr>
        <w:footnoteReference w:id="9"/>
      </w:r>
      <w:r>
        <w:t xml:space="preserve"> „</w:t>
      </w:r>
      <w:r w:rsidRPr="00F5397E">
        <w:t>Środki trwałe oddane do używania na podstawie umowy najmu, dzierżawy lub leasingu zalicza się do aktywów trwałych jednej ze stron</w:t>
      </w:r>
      <w:r>
        <w:t xml:space="preserve"> (..)”, zatem mając na uwadze art. 4 ust. 2, </w:t>
      </w:r>
      <w:r>
        <w:lastRenderedPageBreak/>
        <w:t>art. 13 ust. 1 pkt 5 w zw. z art. 16 ust. 1 i art. 18, art. 24 ust. 2, ZGN nie powinien w księgach rachunkowych ujmować tych nieruchomości.</w:t>
      </w:r>
    </w:p>
    <w:p w14:paraId="5FA3DF1A" w14:textId="5BF2C390" w:rsidR="00164767" w:rsidRDefault="00E47384" w:rsidP="00B42D3C">
      <w:pPr>
        <w:spacing w:before="120" w:after="240"/>
      </w:pPr>
      <w:r>
        <w:t xml:space="preserve">W przypadku </w:t>
      </w:r>
      <w:r w:rsidR="003B3E8C">
        <w:t>pozostałych 12</w:t>
      </w:r>
      <w:r w:rsidR="006762F4">
        <w:t xml:space="preserve"> nieruchomości</w:t>
      </w:r>
      <w:r w:rsidR="006762F4">
        <w:rPr>
          <w:rStyle w:val="Odwoanieprzypisudolnego"/>
        </w:rPr>
        <w:footnoteReference w:id="10"/>
      </w:r>
      <w:r w:rsidR="006762F4">
        <w:t xml:space="preserve"> ujętych w ewidencji pozabilansowej</w:t>
      </w:r>
      <w:r w:rsidR="00E3192E">
        <w:t xml:space="preserve"> w wartości 0,00</w:t>
      </w:r>
      <w:r>
        <w:t xml:space="preserve">zł (zero zł), na </w:t>
      </w:r>
      <w:r w:rsidR="000B799D">
        <w:t>podstawie</w:t>
      </w:r>
      <w:r>
        <w:t xml:space="preserve"> kartotek ustalono, że w</w:t>
      </w:r>
      <w:r w:rsidR="006762F4">
        <w:t xml:space="preserve"> 9 przypadkach </w:t>
      </w:r>
      <w:r>
        <w:t>przyjmując</w:t>
      </w:r>
      <w:r w:rsidR="006762F4">
        <w:t xml:space="preserve"> </w:t>
      </w:r>
      <w:r w:rsidR="000B799D">
        <w:t xml:space="preserve">w latach 1966-2014 </w:t>
      </w:r>
      <w:r w:rsidR="006762F4">
        <w:t xml:space="preserve">nieruchomości </w:t>
      </w:r>
      <w:r w:rsidR="00491A99">
        <w:t xml:space="preserve">w zarząd i administrację </w:t>
      </w:r>
      <w:r>
        <w:t xml:space="preserve">Zakład </w:t>
      </w:r>
      <w:r w:rsidR="000B799D">
        <w:t>nie sporządził</w:t>
      </w:r>
      <w:r>
        <w:t xml:space="preserve"> </w:t>
      </w:r>
      <w:r w:rsidR="00491A99">
        <w:t>dokumentów określających wartość nieruchomości</w:t>
      </w:r>
      <w:r w:rsidR="000B799D">
        <w:t xml:space="preserve"> bądź</w:t>
      </w:r>
      <w:r w:rsidR="000B799D" w:rsidRPr="000B799D">
        <w:t xml:space="preserve"> </w:t>
      </w:r>
      <w:r w:rsidR="000B799D">
        <w:t>nie wyegzekwował określenia ich wartości przez przekazującego</w:t>
      </w:r>
      <w:r w:rsidR="00491A99">
        <w:rPr>
          <w:rStyle w:val="Odwoanieprzypisudolnego"/>
        </w:rPr>
        <w:footnoteReference w:id="11"/>
      </w:r>
      <w:r w:rsidR="002877FA">
        <w:rPr>
          <w:vertAlign w:val="superscript"/>
        </w:rPr>
        <w:t>,</w:t>
      </w:r>
      <w:r w:rsidR="000B799D">
        <w:rPr>
          <w:rStyle w:val="Odwoanieprzypisudolnego"/>
        </w:rPr>
        <w:footnoteReference w:id="12"/>
      </w:r>
      <w:r w:rsidR="00491A99">
        <w:t xml:space="preserve">. W </w:t>
      </w:r>
      <w:r w:rsidR="002E4E86">
        <w:t>przypadku</w:t>
      </w:r>
      <w:r w:rsidR="00491A99">
        <w:t xml:space="preserve"> 3 nieruchomości</w:t>
      </w:r>
      <w:r w:rsidR="00BB5BDE" w:rsidRPr="005F6D20">
        <w:rPr>
          <w:vertAlign w:val="superscript"/>
        </w:rPr>
        <w:t>12</w:t>
      </w:r>
      <w:r w:rsidR="00E3192E">
        <w:rPr>
          <w:color w:val="FF0000"/>
          <w:vertAlign w:val="superscript"/>
        </w:rPr>
        <w:t xml:space="preserve"> </w:t>
      </w:r>
      <w:r w:rsidR="00E3192E">
        <w:t>wystawiono dokument „Protokół przekazania –</w:t>
      </w:r>
      <w:r w:rsidR="003D60A4">
        <w:t xml:space="preserve"> PT</w:t>
      </w:r>
      <w:r w:rsidR="00E3192E">
        <w:t>”</w:t>
      </w:r>
      <w:r w:rsidR="003D60A4">
        <w:t xml:space="preserve"> z wartością 0,00 zł</w:t>
      </w:r>
      <w:r w:rsidR="00E3192E">
        <w:t xml:space="preserve"> (zero zł)</w:t>
      </w:r>
      <w:r w:rsidR="003D60A4">
        <w:t>.</w:t>
      </w:r>
      <w:r w:rsidR="009543DB">
        <w:t xml:space="preserve"> Zgodnie z wyjaśnieniami Zastępcy Dyrektora ZGN, 3 nieruchomości</w:t>
      </w:r>
      <w:r w:rsidR="009543DB">
        <w:rPr>
          <w:rStyle w:val="Odwoanieprzypisudolnego"/>
        </w:rPr>
        <w:footnoteReference w:id="13"/>
      </w:r>
      <w:r w:rsidR="009543DB">
        <w:t xml:space="preserve"> decyzją Powiatowego Inspektora Budowlanego zostały wyłączone z użytkowania, w 1 przypadku</w:t>
      </w:r>
      <w:r w:rsidR="006A41A0">
        <w:rPr>
          <w:rStyle w:val="Odwoanieprzypisudolnego"/>
        </w:rPr>
        <w:footnoteReference w:id="14"/>
      </w:r>
      <w:r w:rsidR="009543DB">
        <w:t xml:space="preserve"> nieruchomoś</w:t>
      </w:r>
      <w:r w:rsidR="006A41A0">
        <w:t>ć objęta jest post</w:t>
      </w:r>
      <w:r w:rsidR="00F34E76">
        <w:t>ę</w:t>
      </w:r>
      <w:r w:rsidR="006A41A0">
        <w:t>powaniem roszczeniowym spadkobierców.</w:t>
      </w:r>
    </w:p>
    <w:p w14:paraId="66650450" w14:textId="0B4565AD" w:rsidR="00281792" w:rsidRDefault="00281792" w:rsidP="00B42D3C">
      <w:pPr>
        <w:spacing w:before="120" w:after="240"/>
        <w:rPr>
          <w:rFonts w:cstheme="minorHAnsi"/>
        </w:rPr>
      </w:pPr>
      <w:r>
        <w:t xml:space="preserve">W sprawozdaniu finansowym (bilansie) sporządzonym na 31 grudnia 2023 r. </w:t>
      </w:r>
      <w:r w:rsidRPr="00281792">
        <w:t>oraz „Informacji o stanie mienia m.st. Warszawy za rok 2023”</w:t>
      </w:r>
      <w:r>
        <w:t xml:space="preserve"> </w:t>
      </w:r>
      <w:r>
        <w:rPr>
          <w:rFonts w:cstheme="minorHAnsi"/>
        </w:rPr>
        <w:t xml:space="preserve">wykazano dane dotyczące wartości nieruchomości, wynikające z ewidencji księgowej </w:t>
      </w:r>
      <w:r w:rsidR="00F34E76">
        <w:rPr>
          <w:rFonts w:cstheme="minorHAnsi"/>
        </w:rPr>
        <w:t>konta</w:t>
      </w:r>
      <w:r>
        <w:rPr>
          <w:rFonts w:cstheme="minorHAnsi"/>
        </w:rPr>
        <w:t xml:space="preserve"> </w:t>
      </w:r>
      <w:r>
        <w:t>011-„Środki trwałe”.</w:t>
      </w:r>
    </w:p>
    <w:p w14:paraId="12A28F8B" w14:textId="3345322A" w:rsidR="00C85C55" w:rsidRDefault="00252629" w:rsidP="00B42D3C">
      <w:pPr>
        <w:spacing w:before="120" w:after="240"/>
        <w:rPr>
          <w:rFonts w:cstheme="minorHAnsi"/>
        </w:rPr>
      </w:pPr>
      <w:r>
        <w:t xml:space="preserve">W obszernych wyjaśnieniach </w:t>
      </w:r>
      <w:r w:rsidR="006A41A0">
        <w:t>dotyczących określania wartości - wyceny</w:t>
      </w:r>
      <w:r w:rsidR="009543DB">
        <w:t xml:space="preserve"> nieruchomości, Z</w:t>
      </w:r>
      <w:r w:rsidR="003D60A4">
        <w:t>astępca Dyrektora</w:t>
      </w:r>
      <w:r w:rsidR="009543DB">
        <w:t xml:space="preserve"> ZGN</w:t>
      </w:r>
      <w:r>
        <w:t xml:space="preserve"> wskazał: „</w:t>
      </w:r>
      <w:r>
        <w:rPr>
          <w:rFonts w:cstheme="minorHAnsi"/>
        </w:rPr>
        <w:t xml:space="preserve">Początkowa wartość księgowa </w:t>
      </w:r>
      <w:r w:rsidRPr="004F6FE7">
        <w:rPr>
          <w:rFonts w:cstheme="minorHAnsi"/>
        </w:rPr>
        <w:t>wprowadzana jest do ewidencji Środków Trwałych na podstawie dowodu PT. Je</w:t>
      </w:r>
      <w:r>
        <w:rPr>
          <w:rFonts w:cstheme="minorHAnsi"/>
        </w:rPr>
        <w:t xml:space="preserve">żeli </w:t>
      </w:r>
      <w:r w:rsidRPr="004F6FE7">
        <w:rPr>
          <w:rFonts w:cstheme="minorHAnsi"/>
        </w:rPr>
        <w:t xml:space="preserve">nieruchomość przekazana do zarządzania ZGN </w:t>
      </w:r>
      <w:r>
        <w:rPr>
          <w:rFonts w:cstheme="minorHAnsi"/>
        </w:rPr>
        <w:t xml:space="preserve">Bielany </w:t>
      </w:r>
      <w:r w:rsidRPr="004F6FE7">
        <w:rPr>
          <w:rFonts w:cstheme="minorHAnsi"/>
        </w:rPr>
        <w:t>nie posiada takiego dokumentu</w:t>
      </w:r>
      <w:r>
        <w:rPr>
          <w:rFonts w:cstheme="minorHAnsi"/>
        </w:rPr>
        <w:t>,</w:t>
      </w:r>
      <w:r w:rsidRPr="004F6FE7">
        <w:rPr>
          <w:rFonts w:cstheme="minorHAnsi"/>
        </w:rPr>
        <w:t xml:space="preserve"> </w:t>
      </w:r>
      <w:r>
        <w:rPr>
          <w:rFonts w:cstheme="minorHAnsi"/>
        </w:rPr>
        <w:t xml:space="preserve">włączana jest do zasobów jedynie jej powierzchnia, natomiast </w:t>
      </w:r>
      <w:r w:rsidRPr="004F6FE7">
        <w:rPr>
          <w:rFonts w:cstheme="minorHAnsi"/>
        </w:rPr>
        <w:t xml:space="preserve">do ewidencji </w:t>
      </w:r>
      <w:r>
        <w:rPr>
          <w:rFonts w:cstheme="minorHAnsi"/>
        </w:rPr>
        <w:t xml:space="preserve">ŚT ujmowana jest </w:t>
      </w:r>
      <w:r w:rsidRPr="004F6FE7">
        <w:rPr>
          <w:rFonts w:cstheme="minorHAnsi"/>
        </w:rPr>
        <w:t xml:space="preserve">pozabilansowo z zerową wartością. </w:t>
      </w:r>
      <w:r>
        <w:rPr>
          <w:rFonts w:cstheme="minorHAnsi"/>
        </w:rPr>
        <w:t>T</w:t>
      </w:r>
      <w:r w:rsidRPr="004F6FE7">
        <w:rPr>
          <w:rFonts w:cstheme="minorHAnsi"/>
        </w:rPr>
        <w:t>aka sytuacja zachodzi w przypadku budynków przedwojennych, o nie</w:t>
      </w:r>
      <w:r>
        <w:rPr>
          <w:rFonts w:cstheme="minorHAnsi"/>
        </w:rPr>
        <w:t>uregulowanym stanie prawnym</w:t>
      </w:r>
      <w:r w:rsidRPr="004F6FE7">
        <w:rPr>
          <w:rFonts w:cstheme="minorHAnsi"/>
        </w:rPr>
        <w:t>, z roszczeniami</w:t>
      </w:r>
      <w:r>
        <w:rPr>
          <w:rFonts w:cstheme="minorHAnsi"/>
        </w:rPr>
        <w:t>, wyłączonych z użytko</w:t>
      </w:r>
      <w:r w:rsidR="006A41A0">
        <w:rPr>
          <w:rFonts w:cstheme="minorHAnsi"/>
        </w:rPr>
        <w:t xml:space="preserve">wania decyzją PINB (…) </w:t>
      </w:r>
      <w:r w:rsidR="003D60A4">
        <w:rPr>
          <w:rFonts w:cstheme="minorHAnsi"/>
        </w:rPr>
        <w:t>Wobec braku konieczności wystawienia dokumentu PT d</w:t>
      </w:r>
      <w:r w:rsidR="003D60A4" w:rsidRPr="00DF01B2">
        <w:rPr>
          <w:rFonts w:cstheme="minorHAnsi"/>
        </w:rPr>
        <w:t xml:space="preserve">la nieruchomości </w:t>
      </w:r>
      <w:r w:rsidR="003D60A4">
        <w:rPr>
          <w:rFonts w:cstheme="minorHAnsi"/>
        </w:rPr>
        <w:t xml:space="preserve">(…) nie </w:t>
      </w:r>
      <w:r w:rsidR="003D60A4" w:rsidRPr="00DF01B2">
        <w:rPr>
          <w:rFonts w:cstheme="minorHAnsi"/>
        </w:rPr>
        <w:t xml:space="preserve">podejmowano działań zmierzających do ich wyceny, poza wyceną do celów ubezpieczeń w/w </w:t>
      </w:r>
      <w:r w:rsidR="003D60A4">
        <w:rPr>
          <w:rFonts w:cstheme="minorHAnsi"/>
        </w:rPr>
        <w:t>nieruchomości” oraz „(…) w</w:t>
      </w:r>
      <w:r w:rsidR="003D60A4" w:rsidRPr="00541D3A">
        <w:rPr>
          <w:rFonts w:cstheme="minorHAnsi"/>
        </w:rPr>
        <w:t xml:space="preserve">yceny nieruchomości </w:t>
      </w:r>
      <w:r w:rsidR="003D60A4">
        <w:rPr>
          <w:rFonts w:cstheme="minorHAnsi"/>
        </w:rPr>
        <w:t xml:space="preserve">i jej corocznej aktualizacji </w:t>
      </w:r>
      <w:r w:rsidR="003D60A4" w:rsidRPr="00541D3A">
        <w:rPr>
          <w:rFonts w:cstheme="minorHAnsi"/>
        </w:rPr>
        <w:t xml:space="preserve">na potrzeby ubezpieczenia </w:t>
      </w:r>
      <w:r w:rsidR="003D60A4">
        <w:rPr>
          <w:rFonts w:cstheme="minorHAnsi"/>
        </w:rPr>
        <w:t>budynków</w:t>
      </w:r>
      <w:r w:rsidR="003D60A4" w:rsidRPr="00541D3A">
        <w:rPr>
          <w:rFonts w:cstheme="minorHAnsi"/>
        </w:rPr>
        <w:t xml:space="preserve"> </w:t>
      </w:r>
      <w:r w:rsidR="00C85C55">
        <w:rPr>
          <w:rFonts w:cstheme="minorHAnsi"/>
        </w:rPr>
        <w:t>(..)</w:t>
      </w:r>
      <w:r w:rsidR="003D60A4" w:rsidRPr="00541D3A">
        <w:rPr>
          <w:rFonts w:cstheme="minorHAnsi"/>
        </w:rPr>
        <w:t xml:space="preserve"> dokonujemy </w:t>
      </w:r>
      <w:r w:rsidR="003D60A4">
        <w:rPr>
          <w:rFonts w:cstheme="minorHAnsi"/>
        </w:rPr>
        <w:t xml:space="preserve">odpowiednio wg wskaźnika GUS lub Wojewody </w:t>
      </w:r>
      <w:r w:rsidR="003D60A4" w:rsidRPr="00541D3A">
        <w:rPr>
          <w:rFonts w:cstheme="minorHAnsi"/>
        </w:rPr>
        <w:t>w oparciu o</w:t>
      </w:r>
      <w:r w:rsidR="003D60A4">
        <w:rPr>
          <w:rFonts w:cstheme="minorHAnsi"/>
        </w:rPr>
        <w:t xml:space="preserve"> przyjęte </w:t>
      </w:r>
      <w:r w:rsidR="003D60A4" w:rsidRPr="00541D3A">
        <w:rPr>
          <w:rFonts w:cstheme="minorHAnsi"/>
        </w:rPr>
        <w:t xml:space="preserve">ustalenia ze spotkania </w:t>
      </w:r>
      <w:r w:rsidR="003D60A4">
        <w:rPr>
          <w:rFonts w:cstheme="minorHAnsi"/>
        </w:rPr>
        <w:t>z Biurem Administracyjnym oraz Biurem Polityki Lokalowej Urzędu m.st. Warszawy</w:t>
      </w:r>
      <w:r w:rsidR="003D60A4" w:rsidRPr="00541D3A">
        <w:rPr>
          <w:rFonts w:cstheme="minorHAnsi"/>
        </w:rPr>
        <w:t xml:space="preserve"> w</w:t>
      </w:r>
      <w:r w:rsidR="003D60A4">
        <w:rPr>
          <w:rFonts w:cstheme="minorHAnsi"/>
        </w:rPr>
        <w:t> </w:t>
      </w:r>
      <w:r w:rsidR="003D60A4" w:rsidRPr="00541D3A">
        <w:rPr>
          <w:rFonts w:cstheme="minorHAnsi"/>
        </w:rPr>
        <w:t xml:space="preserve">dniu 18.04.2024 r. </w:t>
      </w:r>
      <w:r w:rsidR="003D60A4">
        <w:rPr>
          <w:rFonts w:cstheme="minorHAnsi"/>
        </w:rPr>
        <w:t>dotyczącym obliczania wysokości sum ubezpieczenia dla budynków znajdujących się w zasobie m.st. Warszawy”.</w:t>
      </w:r>
    </w:p>
    <w:p w14:paraId="386A1B1E" w14:textId="6C45D4D3" w:rsidR="00BB5BDE" w:rsidRDefault="00617C94" w:rsidP="00B42D3C">
      <w:pPr>
        <w:spacing w:before="120" w:after="240"/>
        <w:rPr>
          <w:rFonts w:cstheme="minorHAnsi"/>
        </w:rPr>
      </w:pPr>
      <w:r>
        <w:rPr>
          <w:rFonts w:cstheme="minorHAnsi"/>
        </w:rPr>
        <w:lastRenderedPageBreak/>
        <w:t>Powyższe wyjaśnienia nie znajdują uwzględnienia, gdyż z</w:t>
      </w:r>
      <w:r w:rsidR="00164767">
        <w:rPr>
          <w:rFonts w:cstheme="minorHAnsi"/>
        </w:rPr>
        <w:t xml:space="preserve">godnie z </w:t>
      </w:r>
      <w:r w:rsidR="006A41A0">
        <w:rPr>
          <w:rFonts w:cstheme="minorHAnsi"/>
        </w:rPr>
        <w:t xml:space="preserve">art. 149 </w:t>
      </w:r>
      <w:r>
        <w:rPr>
          <w:rFonts w:cstheme="minorHAnsi"/>
        </w:rPr>
        <w:t xml:space="preserve">(i dalsze) </w:t>
      </w:r>
      <w:r w:rsidR="00164767">
        <w:rPr>
          <w:rFonts w:cstheme="minorHAnsi"/>
        </w:rPr>
        <w:t xml:space="preserve">ustawy </w:t>
      </w:r>
      <w:r>
        <w:rPr>
          <w:rFonts w:cstheme="minorHAnsi"/>
        </w:rPr>
        <w:t xml:space="preserve">z dnia 21 sierpnia 1997 r. </w:t>
      </w:r>
      <w:r w:rsidR="00164767">
        <w:rPr>
          <w:rFonts w:cstheme="minorHAnsi"/>
        </w:rPr>
        <w:t>o gospodarowaniu nieruchomościami</w:t>
      </w:r>
      <w:r w:rsidR="00164767">
        <w:rPr>
          <w:rStyle w:val="Odwoanieprzypisudolnego"/>
          <w:rFonts w:cstheme="minorHAnsi"/>
        </w:rPr>
        <w:footnoteReference w:id="15"/>
      </w:r>
      <w:r w:rsidR="00543E7A">
        <w:rPr>
          <w:rFonts w:cstheme="minorHAnsi"/>
        </w:rPr>
        <w:t xml:space="preserve"> </w:t>
      </w:r>
      <w:r w:rsidRPr="00617C94">
        <w:rPr>
          <w:rFonts w:cstheme="minorHAnsi"/>
        </w:rPr>
        <w:t xml:space="preserve">wszystkich nieruchomości, bez względu na ich rodzaj, położenie i przeznaczenie, a także bez względu na podmiot własności i cel </w:t>
      </w:r>
      <w:r>
        <w:rPr>
          <w:rFonts w:cstheme="minorHAnsi"/>
        </w:rPr>
        <w:t>powinny podlegać wycenie, w oparciu o obowiązujące wytyczne w sprawie wyceny nieruchomości</w:t>
      </w:r>
      <w:r>
        <w:rPr>
          <w:rStyle w:val="Odwoanieprzypisudolnego"/>
          <w:rFonts w:cstheme="minorHAnsi"/>
        </w:rPr>
        <w:footnoteReference w:id="16"/>
      </w:r>
      <w:r>
        <w:rPr>
          <w:rFonts w:cstheme="minorHAnsi"/>
        </w:rPr>
        <w:t>. Zasób nieruchomości, który pozostaje w zakresie wpływów ZGN, stanowi majątek trwały m.st. Warsza</w:t>
      </w:r>
      <w:r w:rsidR="00250050">
        <w:rPr>
          <w:rFonts w:cstheme="minorHAnsi"/>
        </w:rPr>
        <w:t>wy, który należy ujmować w sprawozdaniach finansowych ZGN oraz innych, obowiązujących w zakresie prezentacji danych dot. pos</w:t>
      </w:r>
      <w:r w:rsidR="00B40BF0">
        <w:rPr>
          <w:rFonts w:cstheme="minorHAnsi"/>
        </w:rPr>
        <w:t xml:space="preserve">iadanych zasobów, w tym mając na uwadze </w:t>
      </w:r>
      <w:r w:rsidR="00BB5BDE">
        <w:rPr>
          <w:rFonts w:cstheme="minorHAnsi"/>
        </w:rPr>
        <w:t>uchwałę nr</w:t>
      </w:r>
      <w:r w:rsidR="00BB5BDE" w:rsidRPr="00BB5BDE">
        <w:rPr>
          <w:rFonts w:cstheme="minorHAnsi"/>
        </w:rPr>
        <w:t xml:space="preserve"> XXIII/669/2019 </w:t>
      </w:r>
      <w:r w:rsidR="00BB5BDE">
        <w:rPr>
          <w:rFonts w:cstheme="minorHAnsi"/>
        </w:rPr>
        <w:t xml:space="preserve">Rady m.st. Warszawy </w:t>
      </w:r>
      <w:r w:rsidR="00BB5BDE" w:rsidRPr="00BB5BDE">
        <w:rPr>
          <w:rFonts w:cstheme="minorHAnsi"/>
        </w:rPr>
        <w:t>z dnia 5 grudnia 2019 r. w sprawie zasad wynajmowania lokali wchodzących w skład mieszkaniowego zasobu miasta stołecznego Warszawy</w:t>
      </w:r>
      <w:r w:rsidR="00BB5BDE">
        <w:rPr>
          <w:rFonts w:cstheme="minorHAnsi"/>
        </w:rPr>
        <w:t xml:space="preserve"> (ze zm.).</w:t>
      </w:r>
    </w:p>
    <w:p w14:paraId="27147121" w14:textId="4E0282F0" w:rsidR="00617C94" w:rsidRDefault="00250050" w:rsidP="00B42D3C">
      <w:pPr>
        <w:spacing w:before="120" w:after="240"/>
        <w:rPr>
          <w:rFonts w:cstheme="minorHAnsi"/>
        </w:rPr>
      </w:pPr>
      <w:r>
        <w:rPr>
          <w:rFonts w:cstheme="minorHAnsi"/>
        </w:rPr>
        <w:t>Brak danych w księgach rachunkowych Zakładu w zakresie posiadanego majątku trwałego narusza przepisy art. 4 ust. 2, art. 6, art. 13 ust. 1 pkt 5, art. 15 ust. 1, art. 16 ust. 1, art. 17 ust. 1 pkt 1, art. 28 ust. 1 pkt 1 ustawy o rachunkowości, a tym samym księgi rachunkowe ZGN nie spełniają wymogów określonych w art. 24 ust. 2, ust. 3, ust. 4 pkt 2, ust. 5 pkt 1 ustawy.</w:t>
      </w:r>
    </w:p>
    <w:p w14:paraId="663D2D57" w14:textId="3875EEE0" w:rsidR="00803A50" w:rsidRDefault="00803A50" w:rsidP="00B42D3C">
      <w:pPr>
        <w:pStyle w:val="Tekstpodstawowy2"/>
        <w:shd w:val="clear" w:color="auto" w:fill="auto"/>
        <w:spacing w:before="120" w:line="300" w:lineRule="auto"/>
        <w:ind w:firstLine="0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02B60">
        <w:rPr>
          <w:rFonts w:asciiTheme="minorHAnsi" w:eastAsia="Times New Roman" w:hAnsiTheme="minorHAnsi" w:cstheme="minorHAnsi"/>
          <w:sz w:val="22"/>
          <w:szCs w:val="22"/>
          <w:lang w:eastAsia="pl-PL"/>
        </w:rPr>
        <w:t>W toku postępowania pokontrolnego</w:t>
      </w:r>
      <w:r w:rsidR="00737057" w:rsidRPr="00E02B6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E02B6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oświadczył Pan, że podejmie działania w celu wyłonienia wykonawcy operatów szacunkowych dla nieruchomości z dotychczasowo określoną wartością zerową oraz </w:t>
      </w:r>
      <w:r w:rsidR="00737057" w:rsidRPr="00E02B60">
        <w:rPr>
          <w:rFonts w:asciiTheme="minorHAnsi" w:eastAsia="Times New Roman" w:hAnsiTheme="minorHAnsi" w:cstheme="minorHAnsi"/>
          <w:sz w:val="22"/>
          <w:szCs w:val="22"/>
          <w:lang w:eastAsia="pl-PL"/>
        </w:rPr>
        <w:t>zmierzające</w:t>
      </w:r>
      <w:r w:rsidRPr="00E02B6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do zmiany funkcji oprogramowania służącego ewidencjonowaniu nieruchomości, </w:t>
      </w:r>
      <w:r w:rsidR="00737057" w:rsidRPr="00E02B60">
        <w:rPr>
          <w:rFonts w:asciiTheme="minorHAnsi" w:eastAsia="Times New Roman" w:hAnsiTheme="minorHAnsi" w:cstheme="minorHAnsi"/>
          <w:sz w:val="22"/>
          <w:szCs w:val="22"/>
          <w:lang w:eastAsia="pl-PL"/>
        </w:rPr>
        <w:t>w związku z powyższym odstępuję od wydania zaleceń w tym zakresie.</w:t>
      </w:r>
    </w:p>
    <w:p w14:paraId="55C0E6EF" w14:textId="53E729D8" w:rsidR="00804475" w:rsidRDefault="00804475" w:rsidP="00B42D3C">
      <w:pPr>
        <w:pStyle w:val="Tekstpodstawowy2"/>
        <w:shd w:val="clear" w:color="auto" w:fill="auto"/>
        <w:spacing w:before="120" w:line="300" w:lineRule="auto"/>
        <w:ind w:firstLine="0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2A54EE">
        <w:rPr>
          <w:rFonts w:asciiTheme="minorHAnsi" w:eastAsia="Times New Roman" w:hAnsiTheme="minorHAnsi" w:cstheme="minorHAnsi"/>
          <w:sz w:val="22"/>
          <w:szCs w:val="22"/>
          <w:lang w:eastAsia="pl-PL"/>
        </w:rPr>
        <w:t>Przedstaw</w:t>
      </w:r>
      <w:r w:rsidR="00F52273">
        <w:rPr>
          <w:rFonts w:asciiTheme="minorHAnsi" w:eastAsia="Times New Roman" w:hAnsiTheme="minorHAnsi" w:cstheme="minorHAnsi"/>
          <w:sz w:val="22"/>
          <w:szCs w:val="22"/>
          <w:lang w:eastAsia="pl-PL"/>
        </w:rPr>
        <w:t>iając powyższe ustalenia i ocenę</w:t>
      </w:r>
      <w:r w:rsidRPr="002A54EE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zalecam:</w:t>
      </w:r>
    </w:p>
    <w:p w14:paraId="3218C09E" w14:textId="1186346A" w:rsidR="00F734EC" w:rsidRPr="00A61C31" w:rsidRDefault="00F734EC" w:rsidP="00B42D3C">
      <w:pPr>
        <w:pStyle w:val="Akapitzlist"/>
        <w:numPr>
          <w:ilvl w:val="0"/>
          <w:numId w:val="1"/>
        </w:numPr>
        <w:spacing w:before="120" w:after="240"/>
        <w:rPr>
          <w:rFonts w:cstheme="minorHAnsi"/>
        </w:rPr>
      </w:pPr>
      <w:r w:rsidRPr="00F734EC">
        <w:rPr>
          <w:rFonts w:cstheme="minorHAnsi"/>
        </w:rPr>
        <w:t>W przypadku podjęcia decyzji o likwidacji środka trwałego, do czasu jego fizycznej likwidacji, w ewidencji księgowej środek ten powinien być ujęty na koncie pozabilansowym, i podlegać wykreśleniu z ewidencji, której zapisy mają być zgodne z kontami księgi głównej (bilansowej).</w:t>
      </w:r>
      <w:r w:rsidR="00FE6D85" w:rsidRPr="00FE6D85">
        <w:rPr>
          <w:rFonts w:cstheme="minorHAnsi"/>
        </w:rPr>
        <w:t xml:space="preserve"> </w:t>
      </w:r>
      <w:r w:rsidR="00FE6D85">
        <w:rPr>
          <w:rFonts w:cstheme="minorHAnsi"/>
        </w:rPr>
        <w:t>S</w:t>
      </w:r>
      <w:r w:rsidR="00FE6D85" w:rsidRPr="00F734EC">
        <w:rPr>
          <w:rFonts w:cstheme="minorHAnsi"/>
        </w:rPr>
        <w:t>tosownie do standardów rachunkowości, z chwilą rozchodu środka trwałego następuje zakończenie jego amortyzacji, wyłączenie z ewidencji środków trwałych i kasacja numeru inwentarzowego.</w:t>
      </w:r>
    </w:p>
    <w:p w14:paraId="389761DD" w14:textId="4087FB36" w:rsidR="00804475" w:rsidRDefault="00C5476A" w:rsidP="00B42D3C">
      <w:pPr>
        <w:pStyle w:val="Akapitzlist"/>
        <w:numPr>
          <w:ilvl w:val="0"/>
          <w:numId w:val="1"/>
        </w:numPr>
        <w:spacing w:before="120" w:after="240"/>
        <w:rPr>
          <w:rFonts w:cstheme="minorHAnsi"/>
        </w:rPr>
      </w:pPr>
      <w:r>
        <w:rPr>
          <w:rFonts w:cstheme="minorHAnsi"/>
        </w:rPr>
        <w:t xml:space="preserve">Zapisy ksiąg </w:t>
      </w:r>
      <w:r w:rsidR="00A7203A">
        <w:rPr>
          <w:rFonts w:cstheme="minorHAnsi"/>
        </w:rPr>
        <w:t>rachunkowych, w tym ksiąg inwentarzowych (pomocniczych)</w:t>
      </w:r>
      <w:r>
        <w:rPr>
          <w:rFonts w:cstheme="minorHAnsi"/>
        </w:rPr>
        <w:t xml:space="preserve"> doprowadzić do pełnej zgodności ze stanem faktycznym</w:t>
      </w:r>
      <w:r w:rsidR="00FE6D85">
        <w:rPr>
          <w:rFonts w:cstheme="minorHAnsi"/>
        </w:rPr>
        <w:t xml:space="preserve"> nieruchomości stanowiących środki trwałe ZGN, mając na względzie przepisy </w:t>
      </w:r>
      <w:r w:rsidRPr="00C5476A">
        <w:rPr>
          <w:rFonts w:cstheme="minorHAnsi"/>
        </w:rPr>
        <w:t>ustawy o rachunkowości</w:t>
      </w:r>
      <w:r w:rsidR="00FE6D85">
        <w:rPr>
          <w:rFonts w:cstheme="minorHAnsi"/>
        </w:rPr>
        <w:t xml:space="preserve"> przywołane w treści wystąpienia pokontrolnego.</w:t>
      </w:r>
    </w:p>
    <w:p w14:paraId="19B7B718" w14:textId="166D77C6" w:rsidR="00804475" w:rsidRPr="004561D7" w:rsidRDefault="00804475" w:rsidP="00B42D3C">
      <w:pPr>
        <w:pStyle w:val="Tekstpodstawowy2"/>
        <w:shd w:val="clear" w:color="auto" w:fill="auto"/>
        <w:spacing w:before="12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 podstawie § 22 ust. 10</w:t>
      </w:r>
      <w:r w:rsidRPr="004561D7">
        <w:rPr>
          <w:rFonts w:asciiTheme="minorHAnsi" w:hAnsiTheme="minorHAnsi" w:cstheme="minorHAnsi"/>
          <w:sz w:val="22"/>
          <w:szCs w:val="22"/>
        </w:rPr>
        <w:t xml:space="preserve"> Regulaminu organizacyjnego oraz § 41 ust. 1 Zarządzenia oczekuję od Pan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4561D7">
        <w:rPr>
          <w:rFonts w:asciiTheme="minorHAnsi" w:hAnsiTheme="minorHAnsi" w:cstheme="minorHAnsi"/>
          <w:sz w:val="22"/>
          <w:szCs w:val="22"/>
        </w:rPr>
        <w:t>w terminie nie dłuższym niż 30 dni od dnia doręczenia niniejszego Wystąpienia pokontrolnego, informacji o sposobie realizacji wniosków pokontrolnych i wykorzystaniu uwag zawartych w wystąpieniu pokontrolnym lub przyczynach braku realizacji wniosków pokontrolnych lub niewykorzystaniu uwag bądź o innym sposobie usunięcia stwierdzonych nieprawidłowości lub uchybień.</w:t>
      </w:r>
    </w:p>
    <w:p w14:paraId="50E9BE9B" w14:textId="556134D0" w:rsidR="00E97210" w:rsidRDefault="00FE6D85" w:rsidP="00B42D3C">
      <w:pPr>
        <w:spacing w:before="120" w:after="240"/>
      </w:pPr>
      <w:r w:rsidRPr="00FE6D85">
        <w:lastRenderedPageBreak/>
        <w:t>Na podstawie § 41 ust. 1 Zarządzenia zobowiązuję P</w:t>
      </w:r>
      <w:r>
        <w:t xml:space="preserve">ana </w:t>
      </w:r>
      <w:r w:rsidRPr="00FE6D85">
        <w:t>do przekazania kopii ww. informacji Pan</w:t>
      </w:r>
      <w:r>
        <w:t>u</w:t>
      </w:r>
      <w:r w:rsidRPr="00FE6D85">
        <w:t xml:space="preserve"> Grzegorz</w:t>
      </w:r>
      <w:r>
        <w:t>owi</w:t>
      </w:r>
      <w:r w:rsidRPr="00FE6D85">
        <w:t xml:space="preserve"> Pietruczuk</w:t>
      </w:r>
      <w:r>
        <w:t>owi</w:t>
      </w:r>
      <w:r w:rsidRPr="00FE6D85">
        <w:t xml:space="preserve"> Burmistrz</w:t>
      </w:r>
      <w:r>
        <w:t>owi</w:t>
      </w:r>
      <w:r w:rsidRPr="00FE6D85">
        <w:t xml:space="preserve"> D</w:t>
      </w:r>
      <w:r>
        <w:t xml:space="preserve">zielnicy Bielany m.st. Warszawy oraz </w:t>
      </w:r>
      <w:r w:rsidRPr="00FE6D85">
        <w:t>Pani Marzannie Krajewskiej Skarbnikowi m.st. Warszawy.</w:t>
      </w:r>
    </w:p>
    <w:p w14:paraId="60F68B0E" w14:textId="21BEB604" w:rsidR="00FE6D85" w:rsidRDefault="00DD3E18" w:rsidP="00B42D3C">
      <w:pPr>
        <w:spacing w:before="120" w:after="240"/>
        <w:ind w:left="6237"/>
      </w:pPr>
      <w:r>
        <w:t>DYREKTOR BIURA KONTROLI /-/ Ewa Graniewska</w:t>
      </w:r>
    </w:p>
    <w:p w14:paraId="60C4D097" w14:textId="20D72152" w:rsidR="00FE6D85" w:rsidRPr="00DD3E18" w:rsidRDefault="00FE6D85" w:rsidP="00B42D3C">
      <w:pPr>
        <w:spacing w:before="120" w:after="240"/>
      </w:pPr>
      <w:r w:rsidRPr="00DD3E18">
        <w:t>Do wiadomości:</w:t>
      </w:r>
    </w:p>
    <w:p w14:paraId="782614C9" w14:textId="45BFFA5C" w:rsidR="00FE6D85" w:rsidRPr="00FE6D85" w:rsidRDefault="00FE6D85" w:rsidP="00B42D3C">
      <w:pPr>
        <w:pStyle w:val="Akapitzlist"/>
        <w:numPr>
          <w:ilvl w:val="0"/>
          <w:numId w:val="2"/>
        </w:numPr>
        <w:spacing w:before="120" w:after="240"/>
        <w:rPr>
          <w:u w:val="single"/>
        </w:rPr>
      </w:pPr>
      <w:r>
        <w:t>Pan Grzegorz Pietruczuk Burmistrz Dzielnicy Bielany m.st. Warszawy.</w:t>
      </w:r>
    </w:p>
    <w:p w14:paraId="70F46453" w14:textId="42B284C1" w:rsidR="00FE6D85" w:rsidRPr="00FE6D85" w:rsidRDefault="00FE6D85" w:rsidP="00B42D3C">
      <w:pPr>
        <w:pStyle w:val="Akapitzlist"/>
        <w:numPr>
          <w:ilvl w:val="0"/>
          <w:numId w:val="2"/>
        </w:numPr>
        <w:spacing w:before="120" w:after="240"/>
      </w:pPr>
      <w:r>
        <w:t xml:space="preserve">Pani </w:t>
      </w:r>
      <w:r w:rsidRPr="00FE6D85">
        <w:t>Marzanna Krajewska - Skarbnik m.st. Warszawy</w:t>
      </w:r>
      <w:r>
        <w:t>.</w:t>
      </w:r>
    </w:p>
    <w:sectPr w:rsidR="00FE6D85" w:rsidRPr="00FE6D85" w:rsidSect="00E60D07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4EAA6" w14:textId="77777777" w:rsidR="00E06B6D" w:rsidRDefault="00E06B6D" w:rsidP="00E60D07">
      <w:pPr>
        <w:spacing w:after="0" w:line="240" w:lineRule="auto"/>
      </w:pPr>
      <w:r>
        <w:separator/>
      </w:r>
    </w:p>
  </w:endnote>
  <w:endnote w:type="continuationSeparator" w:id="0">
    <w:p w14:paraId="159CCFB9" w14:textId="77777777" w:rsidR="00E06B6D" w:rsidRDefault="00E06B6D" w:rsidP="00E60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9922342"/>
      <w:docPartObj>
        <w:docPartGallery w:val="Page Numbers (Bottom of Page)"/>
        <w:docPartUnique/>
      </w:docPartObj>
    </w:sdtPr>
    <w:sdtContent>
      <w:sdt>
        <w:sdtPr>
          <w:id w:val="974100589"/>
          <w:docPartObj>
            <w:docPartGallery w:val="Page Numbers (Top of Page)"/>
            <w:docPartUnique/>
          </w:docPartObj>
        </w:sdtPr>
        <w:sdtContent>
          <w:p w14:paraId="075440E2" w14:textId="2D6A4EBC" w:rsidR="00DD3E18" w:rsidRDefault="00DD3E18" w:rsidP="00DD3E18">
            <w:pPr>
              <w:pStyle w:val="Stopka"/>
              <w:jc w:val="right"/>
            </w:pPr>
            <w:r w:rsidRPr="004513A5">
              <w:rPr>
                <w:szCs w:val="22"/>
              </w:rPr>
              <w:t xml:space="preserve">Strona </w:t>
            </w:r>
            <w:r w:rsidRPr="004513A5">
              <w:rPr>
                <w:szCs w:val="22"/>
              </w:rPr>
              <w:fldChar w:fldCharType="begin"/>
            </w:r>
            <w:r w:rsidRPr="004513A5">
              <w:rPr>
                <w:szCs w:val="22"/>
              </w:rPr>
              <w:instrText>PAGE</w:instrText>
            </w:r>
            <w:r w:rsidRPr="004513A5">
              <w:rPr>
                <w:szCs w:val="22"/>
              </w:rPr>
              <w:fldChar w:fldCharType="separate"/>
            </w:r>
            <w:r w:rsidRPr="004513A5">
              <w:rPr>
                <w:szCs w:val="22"/>
              </w:rPr>
              <w:t>2</w:t>
            </w:r>
            <w:r w:rsidRPr="004513A5">
              <w:rPr>
                <w:szCs w:val="22"/>
              </w:rPr>
              <w:fldChar w:fldCharType="end"/>
            </w:r>
            <w:r w:rsidRPr="004513A5">
              <w:rPr>
                <w:szCs w:val="22"/>
              </w:rPr>
              <w:t xml:space="preserve"> z </w:t>
            </w:r>
            <w:r w:rsidRPr="004513A5">
              <w:rPr>
                <w:szCs w:val="22"/>
              </w:rPr>
              <w:fldChar w:fldCharType="begin"/>
            </w:r>
            <w:r w:rsidRPr="004513A5">
              <w:rPr>
                <w:szCs w:val="22"/>
              </w:rPr>
              <w:instrText>NUMPAGES</w:instrText>
            </w:r>
            <w:r w:rsidRPr="004513A5">
              <w:rPr>
                <w:szCs w:val="22"/>
              </w:rPr>
              <w:fldChar w:fldCharType="separate"/>
            </w:r>
            <w:r w:rsidRPr="004513A5">
              <w:rPr>
                <w:szCs w:val="22"/>
              </w:rPr>
              <w:t>2</w:t>
            </w:r>
            <w:r w:rsidRPr="004513A5">
              <w:rPr>
                <w:szCs w:val="22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066404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FA1327C" w14:textId="3B7CF552" w:rsidR="00DD3E18" w:rsidRDefault="00DD3E18" w:rsidP="00DD3E18">
            <w:pPr>
              <w:pStyle w:val="Stopka"/>
              <w:jc w:val="right"/>
            </w:pPr>
            <w:r w:rsidRPr="00DD3E18">
              <w:rPr>
                <w:szCs w:val="22"/>
              </w:rPr>
              <w:t xml:space="preserve">Strona </w:t>
            </w:r>
            <w:r w:rsidRPr="00DD3E18">
              <w:rPr>
                <w:szCs w:val="22"/>
              </w:rPr>
              <w:fldChar w:fldCharType="begin"/>
            </w:r>
            <w:r w:rsidRPr="00DD3E18">
              <w:rPr>
                <w:szCs w:val="22"/>
              </w:rPr>
              <w:instrText>PAGE</w:instrText>
            </w:r>
            <w:r w:rsidRPr="00DD3E18">
              <w:rPr>
                <w:szCs w:val="22"/>
              </w:rPr>
              <w:fldChar w:fldCharType="separate"/>
            </w:r>
            <w:r w:rsidRPr="00DD3E18">
              <w:rPr>
                <w:szCs w:val="22"/>
              </w:rPr>
              <w:t>2</w:t>
            </w:r>
            <w:r w:rsidRPr="00DD3E18">
              <w:rPr>
                <w:szCs w:val="22"/>
              </w:rPr>
              <w:fldChar w:fldCharType="end"/>
            </w:r>
            <w:r w:rsidRPr="00DD3E18">
              <w:rPr>
                <w:szCs w:val="22"/>
              </w:rPr>
              <w:t xml:space="preserve"> z </w:t>
            </w:r>
            <w:r w:rsidRPr="00DD3E18">
              <w:rPr>
                <w:szCs w:val="22"/>
              </w:rPr>
              <w:fldChar w:fldCharType="begin"/>
            </w:r>
            <w:r w:rsidRPr="00DD3E18">
              <w:rPr>
                <w:szCs w:val="22"/>
              </w:rPr>
              <w:instrText>NUMPAGES</w:instrText>
            </w:r>
            <w:r w:rsidRPr="00DD3E18">
              <w:rPr>
                <w:szCs w:val="22"/>
              </w:rPr>
              <w:fldChar w:fldCharType="separate"/>
            </w:r>
            <w:r w:rsidRPr="00DD3E18">
              <w:rPr>
                <w:szCs w:val="22"/>
              </w:rPr>
              <w:t>2</w:t>
            </w:r>
            <w:r w:rsidRPr="00DD3E18">
              <w:rPr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0726F" w14:textId="77777777" w:rsidR="00E06B6D" w:rsidRDefault="00E06B6D" w:rsidP="00E60D07">
      <w:pPr>
        <w:spacing w:after="0" w:line="240" w:lineRule="auto"/>
      </w:pPr>
      <w:r>
        <w:separator/>
      </w:r>
    </w:p>
  </w:footnote>
  <w:footnote w:type="continuationSeparator" w:id="0">
    <w:p w14:paraId="14970859" w14:textId="77777777" w:rsidR="00E06B6D" w:rsidRDefault="00E06B6D" w:rsidP="00E60D07">
      <w:pPr>
        <w:spacing w:after="0" w:line="240" w:lineRule="auto"/>
      </w:pPr>
      <w:r>
        <w:continuationSeparator/>
      </w:r>
    </w:p>
  </w:footnote>
  <w:footnote w:id="1">
    <w:p w14:paraId="15CE0140" w14:textId="519577CF" w:rsidR="00116538" w:rsidRPr="00B42D3C" w:rsidRDefault="00116538" w:rsidP="00B42D3C">
      <w:pPr>
        <w:pStyle w:val="Tekstprzypisudolnego"/>
        <w:spacing w:before="20" w:after="20"/>
        <w:rPr>
          <w:sz w:val="22"/>
          <w:szCs w:val="22"/>
        </w:rPr>
      </w:pPr>
      <w:r w:rsidRPr="00B42D3C">
        <w:rPr>
          <w:rStyle w:val="Odwoanieprzypisudolnego"/>
          <w:sz w:val="22"/>
          <w:szCs w:val="22"/>
        </w:rPr>
        <w:footnoteRef/>
      </w:r>
      <w:r w:rsidRPr="00B42D3C">
        <w:rPr>
          <w:sz w:val="22"/>
          <w:szCs w:val="22"/>
        </w:rPr>
        <w:t xml:space="preserve"> Wg KŚT: grupa 1 „Budynki i lokale oraz spółdzielcze prawo do lokalu”, grupa 2 „Obiekty inżynierii lądowej i wodnej”, grupa 3 „Kotły i maszyny energetyczne”, grupa 4 „Maszyny, urządzenia i aparaty ogólnego zastosowania”, grupa 6 „Urządzenia techniczne”, grupa 8 „Narzędzia, przyrządy, ruchomości i wyposażenie”, </w:t>
      </w:r>
      <w:r w:rsidR="00DD477C" w:rsidRPr="00B42D3C">
        <w:rPr>
          <w:sz w:val="22"/>
          <w:szCs w:val="22"/>
        </w:rPr>
        <w:t>„Wa</w:t>
      </w:r>
      <w:r w:rsidRPr="00B42D3C">
        <w:rPr>
          <w:sz w:val="22"/>
          <w:szCs w:val="22"/>
        </w:rPr>
        <w:t>rtości niematerialne i prawne”.</w:t>
      </w:r>
    </w:p>
  </w:footnote>
  <w:footnote w:id="2">
    <w:p w14:paraId="4E28EC89" w14:textId="610105EB" w:rsidR="00116538" w:rsidRPr="00B42D3C" w:rsidRDefault="00116538" w:rsidP="00B42D3C">
      <w:pPr>
        <w:pStyle w:val="Tekstprzypisudolnego"/>
        <w:spacing w:before="20" w:after="20"/>
        <w:rPr>
          <w:sz w:val="22"/>
          <w:szCs w:val="22"/>
        </w:rPr>
      </w:pPr>
      <w:r w:rsidRPr="00B42D3C">
        <w:rPr>
          <w:rStyle w:val="Odwoanieprzypisudolnego"/>
          <w:sz w:val="22"/>
          <w:szCs w:val="22"/>
        </w:rPr>
        <w:footnoteRef/>
      </w:r>
      <w:r w:rsidRPr="00B42D3C">
        <w:rPr>
          <w:sz w:val="22"/>
          <w:szCs w:val="22"/>
        </w:rPr>
        <w:t xml:space="preserve"> rozporządzenie Rady Ministrów z 3 października 2016 r. w sprawie Klasyfikacji Środków Trwałych (Dz. U. z 2016 r., poz. 1864).</w:t>
      </w:r>
    </w:p>
  </w:footnote>
  <w:footnote w:id="3">
    <w:p w14:paraId="3F51CAAE" w14:textId="7F4CFE01" w:rsidR="00116538" w:rsidRPr="00B42D3C" w:rsidRDefault="00116538" w:rsidP="00B42D3C">
      <w:pPr>
        <w:pStyle w:val="Tekstprzypisudolnego"/>
        <w:spacing w:before="20" w:after="20"/>
        <w:rPr>
          <w:sz w:val="22"/>
          <w:szCs w:val="22"/>
        </w:rPr>
      </w:pPr>
      <w:r w:rsidRPr="00B42D3C">
        <w:rPr>
          <w:rStyle w:val="Odwoanieprzypisudolnego"/>
          <w:sz w:val="22"/>
          <w:szCs w:val="22"/>
        </w:rPr>
        <w:footnoteRef/>
      </w:r>
      <w:r w:rsidRPr="00B42D3C">
        <w:rPr>
          <w:sz w:val="22"/>
          <w:szCs w:val="22"/>
        </w:rPr>
        <w:t xml:space="preserve"> Wykaz rocznych stawek amortyzacyjnych (umorzeniowych) środków trwałych oraz wartości niematerialnych i prawnych został przyjęty jako część Zasad rachunkowości ZGN Bielany.</w:t>
      </w:r>
    </w:p>
  </w:footnote>
  <w:footnote w:id="4">
    <w:p w14:paraId="1A875BD8" w14:textId="53FD03EC" w:rsidR="00BB5BDE" w:rsidRPr="00B42D3C" w:rsidRDefault="00BB5BDE" w:rsidP="00B42D3C">
      <w:pPr>
        <w:pStyle w:val="Tekstprzypisudolnego"/>
        <w:spacing w:before="20" w:after="20"/>
        <w:rPr>
          <w:rFonts w:ascii="Calibri" w:hAnsi="Calibri" w:cs="Calibri"/>
          <w:sz w:val="22"/>
          <w:szCs w:val="22"/>
        </w:rPr>
      </w:pPr>
      <w:r w:rsidRPr="00B42D3C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42D3C">
        <w:rPr>
          <w:rFonts w:ascii="Calibri" w:hAnsi="Calibri" w:cs="Calibri"/>
          <w:sz w:val="22"/>
          <w:szCs w:val="22"/>
        </w:rPr>
        <w:t xml:space="preserve"> Art. 53 ust. 1 i art. 69 ust. 1 pkt 3 ustawy z dnia</w:t>
      </w:r>
      <w:r w:rsidRPr="00B42D3C">
        <w:rPr>
          <w:sz w:val="22"/>
          <w:szCs w:val="22"/>
        </w:rPr>
        <w:t xml:space="preserve"> </w:t>
      </w:r>
      <w:r w:rsidRPr="00B42D3C">
        <w:rPr>
          <w:rFonts w:ascii="Calibri" w:hAnsi="Calibri" w:cs="Calibri"/>
          <w:sz w:val="22"/>
          <w:szCs w:val="22"/>
        </w:rPr>
        <w:t xml:space="preserve">27 sierpnia 2009 r. o finansach publicznych (Dz. U. </w:t>
      </w:r>
      <w:r w:rsidR="00044D68" w:rsidRPr="00B42D3C">
        <w:rPr>
          <w:rFonts w:ascii="Calibri" w:hAnsi="Calibri" w:cs="Calibri"/>
          <w:sz w:val="22"/>
          <w:szCs w:val="22"/>
        </w:rPr>
        <w:t>z 2023 r. poz. 1270 ze zm.)</w:t>
      </w:r>
      <w:r w:rsidRPr="00B42D3C">
        <w:rPr>
          <w:rFonts w:ascii="Calibri" w:hAnsi="Calibri" w:cs="Calibri"/>
          <w:sz w:val="22"/>
          <w:szCs w:val="22"/>
        </w:rPr>
        <w:t>, § 7 i § 8, w zw. z § 1 pkt 7 zarządzenia nr 1613/2011 Prezydenta m.st. Warszawy z dnia 11 października 2011 r.</w:t>
      </w:r>
    </w:p>
  </w:footnote>
  <w:footnote w:id="5">
    <w:p w14:paraId="16ACB40C" w14:textId="223F92A7" w:rsidR="00F8616F" w:rsidRPr="00B42D3C" w:rsidRDefault="00F8616F" w:rsidP="00B42D3C">
      <w:pPr>
        <w:pStyle w:val="Tekstprzypisudolnego"/>
        <w:spacing w:before="20" w:after="20"/>
        <w:rPr>
          <w:sz w:val="22"/>
          <w:szCs w:val="22"/>
        </w:rPr>
      </w:pPr>
      <w:r w:rsidRPr="00B42D3C">
        <w:rPr>
          <w:rStyle w:val="Odwoanieprzypisudolnego"/>
          <w:sz w:val="22"/>
          <w:szCs w:val="22"/>
        </w:rPr>
        <w:footnoteRef/>
      </w:r>
      <w:r w:rsidRPr="00B42D3C">
        <w:rPr>
          <w:sz w:val="22"/>
          <w:szCs w:val="22"/>
        </w:rPr>
        <w:t xml:space="preserve"> </w:t>
      </w:r>
      <w:r w:rsidR="000B799D" w:rsidRPr="00B42D3C">
        <w:rPr>
          <w:sz w:val="22"/>
          <w:szCs w:val="22"/>
        </w:rPr>
        <w:t>Wartość</w:t>
      </w:r>
      <w:r w:rsidRPr="00B42D3C">
        <w:rPr>
          <w:sz w:val="22"/>
          <w:szCs w:val="22"/>
        </w:rPr>
        <w:t xml:space="preserve"> 5 000 000,00 zł.</w:t>
      </w:r>
    </w:p>
  </w:footnote>
  <w:footnote w:id="6">
    <w:p w14:paraId="1220452B" w14:textId="166AB80F" w:rsidR="00F8616F" w:rsidRPr="00B42D3C" w:rsidRDefault="00F8616F" w:rsidP="00B42D3C">
      <w:pPr>
        <w:pStyle w:val="Tekstprzypisudolnego"/>
        <w:spacing w:before="20" w:after="20"/>
        <w:rPr>
          <w:sz w:val="22"/>
          <w:szCs w:val="22"/>
        </w:rPr>
      </w:pPr>
      <w:r w:rsidRPr="00B42D3C">
        <w:rPr>
          <w:rStyle w:val="Odwoanieprzypisudolnego"/>
          <w:sz w:val="22"/>
          <w:szCs w:val="22"/>
        </w:rPr>
        <w:footnoteRef/>
      </w:r>
      <w:r w:rsidRPr="00B42D3C">
        <w:rPr>
          <w:sz w:val="22"/>
          <w:szCs w:val="22"/>
        </w:rPr>
        <w:t xml:space="preserve"> ul. </w:t>
      </w:r>
      <w:r w:rsidR="00E2582C" w:rsidRPr="00B42D3C">
        <w:rPr>
          <w:sz w:val="22"/>
          <w:szCs w:val="22"/>
        </w:rPr>
        <w:t>(dane zanonimizowane)</w:t>
      </w:r>
      <w:r w:rsidRPr="00B42D3C">
        <w:rPr>
          <w:sz w:val="22"/>
          <w:szCs w:val="22"/>
        </w:rPr>
        <w:t xml:space="preserve">, ul. </w:t>
      </w:r>
      <w:r w:rsidR="00B42D3C" w:rsidRPr="00B42D3C">
        <w:rPr>
          <w:sz w:val="22"/>
          <w:szCs w:val="22"/>
        </w:rPr>
        <w:t>(dane zanonimizowane)</w:t>
      </w:r>
      <w:r w:rsidRPr="00B42D3C">
        <w:rPr>
          <w:sz w:val="22"/>
          <w:szCs w:val="22"/>
        </w:rPr>
        <w:t xml:space="preserve">, </w:t>
      </w:r>
      <w:r w:rsidR="00B42D3C">
        <w:rPr>
          <w:sz w:val="22"/>
          <w:szCs w:val="22"/>
        </w:rPr>
        <w:t xml:space="preserve">ul. </w:t>
      </w:r>
      <w:r w:rsidR="00B42D3C" w:rsidRPr="00B42D3C">
        <w:rPr>
          <w:sz w:val="22"/>
          <w:szCs w:val="22"/>
        </w:rPr>
        <w:t xml:space="preserve">(dane zanonimizowane) </w:t>
      </w:r>
      <w:r w:rsidRPr="00B42D3C">
        <w:rPr>
          <w:sz w:val="22"/>
          <w:szCs w:val="22"/>
        </w:rPr>
        <w:t>(budynki mieszkalne z garażem podziemnym)</w:t>
      </w:r>
      <w:r w:rsidR="004B03B2" w:rsidRPr="00B42D3C">
        <w:rPr>
          <w:sz w:val="22"/>
          <w:szCs w:val="22"/>
        </w:rPr>
        <w:t xml:space="preserve">, </w:t>
      </w:r>
      <w:r w:rsidR="00B42D3C">
        <w:rPr>
          <w:sz w:val="22"/>
          <w:szCs w:val="22"/>
        </w:rPr>
        <w:t xml:space="preserve">ul. </w:t>
      </w:r>
      <w:r w:rsidR="00B42D3C" w:rsidRPr="00B42D3C">
        <w:rPr>
          <w:sz w:val="22"/>
          <w:szCs w:val="22"/>
        </w:rPr>
        <w:t>(dane zanonimizowane)</w:t>
      </w:r>
      <w:r w:rsidR="00B42D3C">
        <w:rPr>
          <w:sz w:val="22"/>
          <w:szCs w:val="22"/>
        </w:rPr>
        <w:t xml:space="preserve"> </w:t>
      </w:r>
      <w:r w:rsidR="004B03B2" w:rsidRPr="00B42D3C">
        <w:rPr>
          <w:sz w:val="22"/>
          <w:szCs w:val="22"/>
        </w:rPr>
        <w:t>(budynek użytkowy).</w:t>
      </w:r>
    </w:p>
  </w:footnote>
  <w:footnote w:id="7">
    <w:p w14:paraId="710644D5" w14:textId="3CD733A8" w:rsidR="004B03B2" w:rsidRPr="00B42D3C" w:rsidRDefault="004B03B2" w:rsidP="00B42D3C">
      <w:pPr>
        <w:pStyle w:val="Tekstprzypisudolnego"/>
        <w:spacing w:before="20" w:after="20"/>
        <w:rPr>
          <w:sz w:val="22"/>
          <w:szCs w:val="22"/>
        </w:rPr>
      </w:pPr>
      <w:r w:rsidRPr="00B42D3C">
        <w:rPr>
          <w:rStyle w:val="Odwoanieprzypisudolnego"/>
          <w:sz w:val="22"/>
          <w:szCs w:val="22"/>
        </w:rPr>
        <w:footnoteRef/>
      </w:r>
      <w:r w:rsidRPr="00B42D3C">
        <w:rPr>
          <w:sz w:val="22"/>
          <w:szCs w:val="22"/>
        </w:rPr>
        <w:t xml:space="preserve"> Lokale mieszkalne: ul.</w:t>
      </w:r>
      <w:r w:rsidR="00B42D3C" w:rsidRPr="00B42D3C">
        <w:rPr>
          <w:sz w:val="22"/>
          <w:szCs w:val="22"/>
        </w:rPr>
        <w:t xml:space="preserve"> (dane zanonimizowane)</w:t>
      </w:r>
      <w:r w:rsidRPr="00B42D3C">
        <w:rPr>
          <w:sz w:val="22"/>
          <w:szCs w:val="22"/>
        </w:rPr>
        <w:t xml:space="preserve">, ul. </w:t>
      </w:r>
      <w:r w:rsidR="00B42D3C" w:rsidRPr="00B42D3C">
        <w:rPr>
          <w:sz w:val="22"/>
          <w:szCs w:val="22"/>
        </w:rPr>
        <w:t>(dane zanonimizowane)</w:t>
      </w:r>
      <w:r w:rsidRPr="00B42D3C">
        <w:rPr>
          <w:sz w:val="22"/>
          <w:szCs w:val="22"/>
        </w:rPr>
        <w:t xml:space="preserve">, </w:t>
      </w:r>
      <w:r w:rsidR="00CD3E94">
        <w:rPr>
          <w:sz w:val="22"/>
          <w:szCs w:val="22"/>
        </w:rPr>
        <w:t xml:space="preserve">ul. </w:t>
      </w:r>
      <w:r w:rsidR="00CD3E94" w:rsidRPr="00B42D3C">
        <w:rPr>
          <w:sz w:val="22"/>
          <w:szCs w:val="22"/>
        </w:rPr>
        <w:t>(dane zanonimizowane)</w:t>
      </w:r>
      <w:r w:rsidRPr="00B42D3C">
        <w:rPr>
          <w:sz w:val="22"/>
          <w:szCs w:val="22"/>
        </w:rPr>
        <w:t xml:space="preserve">, ul. </w:t>
      </w:r>
      <w:r w:rsidR="00CD3E94" w:rsidRPr="00B42D3C">
        <w:rPr>
          <w:sz w:val="22"/>
          <w:szCs w:val="22"/>
        </w:rPr>
        <w:t>(dane zanonimizowane)</w:t>
      </w:r>
      <w:r w:rsidRPr="00B42D3C">
        <w:rPr>
          <w:sz w:val="22"/>
          <w:szCs w:val="22"/>
        </w:rPr>
        <w:t xml:space="preserve">, ul. </w:t>
      </w:r>
      <w:r w:rsidR="00CD3E94" w:rsidRPr="00B42D3C">
        <w:rPr>
          <w:sz w:val="22"/>
          <w:szCs w:val="22"/>
        </w:rPr>
        <w:t>(dane zanonimizowane)</w:t>
      </w:r>
      <w:r w:rsidRPr="00B42D3C">
        <w:rPr>
          <w:sz w:val="22"/>
          <w:szCs w:val="22"/>
        </w:rPr>
        <w:t xml:space="preserve">, </w:t>
      </w:r>
      <w:r w:rsidR="000B799D" w:rsidRPr="00B42D3C">
        <w:rPr>
          <w:sz w:val="22"/>
          <w:szCs w:val="22"/>
        </w:rPr>
        <w:t>budynki</w:t>
      </w:r>
      <w:r w:rsidRPr="00B42D3C">
        <w:rPr>
          <w:sz w:val="22"/>
          <w:szCs w:val="22"/>
        </w:rPr>
        <w:t xml:space="preserve"> użytkowe: ul. </w:t>
      </w:r>
      <w:r w:rsidR="00CD3E94" w:rsidRPr="00B42D3C">
        <w:rPr>
          <w:sz w:val="22"/>
          <w:szCs w:val="22"/>
        </w:rPr>
        <w:t>(dane zanonimizowane)</w:t>
      </w:r>
      <w:r w:rsidRPr="00B42D3C">
        <w:rPr>
          <w:sz w:val="22"/>
          <w:szCs w:val="22"/>
        </w:rPr>
        <w:t xml:space="preserve">, ul. </w:t>
      </w:r>
      <w:r w:rsidR="00CD3E94" w:rsidRPr="00B42D3C">
        <w:rPr>
          <w:sz w:val="22"/>
          <w:szCs w:val="22"/>
        </w:rPr>
        <w:t xml:space="preserve">(dane zanonimizowane), </w:t>
      </w:r>
      <w:r w:rsidRPr="00B42D3C">
        <w:rPr>
          <w:sz w:val="22"/>
          <w:szCs w:val="22"/>
        </w:rPr>
        <w:t>oraz g</w:t>
      </w:r>
      <w:r w:rsidR="000B799D" w:rsidRPr="00B42D3C">
        <w:rPr>
          <w:sz w:val="22"/>
          <w:szCs w:val="22"/>
        </w:rPr>
        <w:t>a</w:t>
      </w:r>
      <w:r w:rsidRPr="00B42D3C">
        <w:rPr>
          <w:sz w:val="22"/>
          <w:szCs w:val="22"/>
        </w:rPr>
        <w:t xml:space="preserve">raż przy ul. </w:t>
      </w:r>
      <w:r w:rsidR="00CD3E94" w:rsidRPr="00B42D3C">
        <w:rPr>
          <w:sz w:val="22"/>
          <w:szCs w:val="22"/>
        </w:rPr>
        <w:t>(dane zanonimizowane)</w:t>
      </w:r>
      <w:r w:rsidRPr="00B42D3C">
        <w:rPr>
          <w:sz w:val="22"/>
          <w:szCs w:val="22"/>
        </w:rPr>
        <w:t>.</w:t>
      </w:r>
    </w:p>
  </w:footnote>
  <w:footnote w:id="8">
    <w:p w14:paraId="7D2698A6" w14:textId="26D99417" w:rsidR="00E47384" w:rsidRPr="00B42D3C" w:rsidRDefault="00E47384" w:rsidP="00B42D3C">
      <w:pPr>
        <w:pStyle w:val="Tekstprzypisudolnego"/>
        <w:spacing w:before="20" w:after="20"/>
        <w:rPr>
          <w:sz w:val="22"/>
          <w:szCs w:val="22"/>
        </w:rPr>
      </w:pPr>
      <w:r w:rsidRPr="00B42D3C">
        <w:rPr>
          <w:rStyle w:val="Odwoanieprzypisudolnego"/>
          <w:sz w:val="22"/>
          <w:szCs w:val="22"/>
        </w:rPr>
        <w:footnoteRef/>
      </w:r>
      <w:r w:rsidR="002E4E86" w:rsidRPr="00B42D3C">
        <w:rPr>
          <w:sz w:val="22"/>
          <w:szCs w:val="22"/>
        </w:rPr>
        <w:t xml:space="preserve"> </w:t>
      </w:r>
      <w:r w:rsidR="000B799D" w:rsidRPr="00B42D3C">
        <w:rPr>
          <w:sz w:val="22"/>
          <w:szCs w:val="22"/>
        </w:rPr>
        <w:t xml:space="preserve">ul. </w:t>
      </w:r>
      <w:r w:rsidR="00B42D3C" w:rsidRPr="00B42D3C">
        <w:rPr>
          <w:sz w:val="22"/>
          <w:szCs w:val="22"/>
        </w:rPr>
        <w:t>(dane zanonimizowane)</w:t>
      </w:r>
    </w:p>
  </w:footnote>
  <w:footnote w:id="9">
    <w:p w14:paraId="5F37DBE2" w14:textId="77777777" w:rsidR="00E47384" w:rsidRPr="00B42D3C" w:rsidRDefault="00E47384" w:rsidP="00B42D3C">
      <w:pPr>
        <w:pStyle w:val="Tekstprzypisudolnego"/>
        <w:spacing w:before="20" w:after="20"/>
        <w:rPr>
          <w:sz w:val="22"/>
          <w:szCs w:val="22"/>
        </w:rPr>
      </w:pPr>
      <w:r w:rsidRPr="00B42D3C">
        <w:rPr>
          <w:rStyle w:val="Odwoanieprzypisudolnego"/>
          <w:sz w:val="22"/>
          <w:szCs w:val="22"/>
        </w:rPr>
        <w:footnoteRef/>
      </w:r>
      <w:r w:rsidRPr="00B42D3C">
        <w:rPr>
          <w:sz w:val="22"/>
          <w:szCs w:val="22"/>
        </w:rPr>
        <w:t xml:space="preserve"> Dz. U. z 2023 r. poz. 120 ze zm.</w:t>
      </w:r>
    </w:p>
  </w:footnote>
  <w:footnote w:id="10">
    <w:p w14:paraId="709952E1" w14:textId="7D0CA26E" w:rsidR="006762F4" w:rsidRPr="00B42D3C" w:rsidRDefault="006762F4" w:rsidP="00B42D3C">
      <w:pPr>
        <w:pStyle w:val="Tekstprzypisudolnego"/>
        <w:spacing w:before="20" w:after="20"/>
        <w:rPr>
          <w:sz w:val="22"/>
          <w:szCs w:val="22"/>
        </w:rPr>
      </w:pPr>
      <w:r w:rsidRPr="00B42D3C">
        <w:rPr>
          <w:rStyle w:val="Odwoanieprzypisudolnego"/>
          <w:sz w:val="22"/>
          <w:szCs w:val="22"/>
        </w:rPr>
        <w:footnoteRef/>
      </w:r>
      <w:r w:rsidRPr="00B42D3C">
        <w:rPr>
          <w:sz w:val="22"/>
          <w:szCs w:val="22"/>
        </w:rPr>
        <w:t xml:space="preserve"> Budynki mieszkalne</w:t>
      </w:r>
      <w:r w:rsidR="006A41A0" w:rsidRPr="00B42D3C">
        <w:rPr>
          <w:sz w:val="22"/>
          <w:szCs w:val="22"/>
        </w:rPr>
        <w:t xml:space="preserve"> przy</w:t>
      </w:r>
      <w:r w:rsidRPr="00B42D3C">
        <w:rPr>
          <w:sz w:val="22"/>
          <w:szCs w:val="22"/>
        </w:rPr>
        <w:t xml:space="preserve">: ul. </w:t>
      </w:r>
      <w:r w:rsidR="00CD3E94" w:rsidRPr="00B42D3C">
        <w:rPr>
          <w:sz w:val="22"/>
          <w:szCs w:val="22"/>
        </w:rPr>
        <w:t>(dane zanonimizowane)</w:t>
      </w:r>
      <w:r w:rsidRPr="00B42D3C">
        <w:rPr>
          <w:sz w:val="22"/>
          <w:szCs w:val="22"/>
        </w:rPr>
        <w:t xml:space="preserve">, ul. </w:t>
      </w:r>
      <w:r w:rsidR="00CD3E94" w:rsidRPr="00B42D3C">
        <w:rPr>
          <w:sz w:val="22"/>
          <w:szCs w:val="22"/>
        </w:rPr>
        <w:t>(dane zanonimizowane)</w:t>
      </w:r>
      <w:r w:rsidRPr="00B42D3C">
        <w:rPr>
          <w:sz w:val="22"/>
          <w:szCs w:val="22"/>
        </w:rPr>
        <w:t xml:space="preserve">, ul. </w:t>
      </w:r>
      <w:r w:rsidR="00CD3E94" w:rsidRPr="00B42D3C">
        <w:rPr>
          <w:sz w:val="22"/>
          <w:szCs w:val="22"/>
        </w:rPr>
        <w:t>(dane zanonimizowane)</w:t>
      </w:r>
      <w:r w:rsidRPr="00B42D3C">
        <w:rPr>
          <w:sz w:val="22"/>
          <w:szCs w:val="22"/>
        </w:rPr>
        <w:t xml:space="preserve">, ul. </w:t>
      </w:r>
      <w:r w:rsidR="00CD3E94" w:rsidRPr="00B42D3C">
        <w:rPr>
          <w:sz w:val="22"/>
          <w:szCs w:val="22"/>
        </w:rPr>
        <w:t>(dane zanonimizowane)</w:t>
      </w:r>
      <w:r w:rsidRPr="00B42D3C">
        <w:rPr>
          <w:sz w:val="22"/>
          <w:szCs w:val="22"/>
        </w:rPr>
        <w:t xml:space="preserve">, ul. </w:t>
      </w:r>
      <w:r w:rsidR="00CD3E94" w:rsidRPr="00B42D3C">
        <w:rPr>
          <w:sz w:val="22"/>
          <w:szCs w:val="22"/>
        </w:rPr>
        <w:t>(dane zanonimizowane)</w:t>
      </w:r>
      <w:r w:rsidRPr="00B42D3C">
        <w:rPr>
          <w:sz w:val="22"/>
          <w:szCs w:val="22"/>
        </w:rPr>
        <w:t xml:space="preserve">, lokale mieszkalne: ul. </w:t>
      </w:r>
      <w:r w:rsidR="00CD3E94" w:rsidRPr="00B42D3C">
        <w:rPr>
          <w:sz w:val="22"/>
          <w:szCs w:val="22"/>
        </w:rPr>
        <w:t>(dane zanonimizowane)</w:t>
      </w:r>
      <w:r w:rsidRPr="00B42D3C">
        <w:rPr>
          <w:sz w:val="22"/>
          <w:szCs w:val="22"/>
        </w:rPr>
        <w:t xml:space="preserve">, ul. </w:t>
      </w:r>
      <w:r w:rsidR="00EA5F38" w:rsidRPr="00B42D3C">
        <w:rPr>
          <w:sz w:val="22"/>
          <w:szCs w:val="22"/>
        </w:rPr>
        <w:t>(dane zanonimizowane)</w:t>
      </w:r>
      <w:r w:rsidR="000B799D" w:rsidRPr="00B42D3C">
        <w:rPr>
          <w:sz w:val="22"/>
          <w:szCs w:val="22"/>
        </w:rPr>
        <w:t>;</w:t>
      </w:r>
      <w:r w:rsidRPr="00B42D3C">
        <w:rPr>
          <w:sz w:val="22"/>
          <w:szCs w:val="22"/>
        </w:rPr>
        <w:t xml:space="preserve"> budynki użytkowe: ul. </w:t>
      </w:r>
      <w:r w:rsidR="00EA5F38" w:rsidRPr="00B42D3C">
        <w:rPr>
          <w:sz w:val="22"/>
          <w:szCs w:val="22"/>
        </w:rPr>
        <w:t>(dane zanonimizowane)</w:t>
      </w:r>
      <w:r w:rsidR="000B799D" w:rsidRPr="00B42D3C">
        <w:rPr>
          <w:sz w:val="22"/>
          <w:szCs w:val="22"/>
        </w:rPr>
        <w:t xml:space="preserve">, ul. </w:t>
      </w:r>
      <w:r w:rsidR="00EA5F38" w:rsidRPr="00B42D3C">
        <w:rPr>
          <w:sz w:val="22"/>
          <w:szCs w:val="22"/>
        </w:rPr>
        <w:t>(dane zanonimizowane)</w:t>
      </w:r>
      <w:r w:rsidR="000B799D" w:rsidRPr="00B42D3C">
        <w:rPr>
          <w:sz w:val="22"/>
          <w:szCs w:val="22"/>
        </w:rPr>
        <w:t>;</w:t>
      </w:r>
      <w:r w:rsidRPr="00B42D3C">
        <w:rPr>
          <w:sz w:val="22"/>
          <w:szCs w:val="22"/>
        </w:rPr>
        <w:t xml:space="preserve"> garaże: </w:t>
      </w:r>
      <w:r w:rsidR="000B799D" w:rsidRPr="00B42D3C">
        <w:rPr>
          <w:sz w:val="22"/>
          <w:szCs w:val="22"/>
        </w:rPr>
        <w:t xml:space="preserve">ul. </w:t>
      </w:r>
      <w:r w:rsidR="00EA5F38" w:rsidRPr="00B42D3C">
        <w:rPr>
          <w:sz w:val="22"/>
          <w:szCs w:val="22"/>
        </w:rPr>
        <w:t>(dane zanonimizowane),</w:t>
      </w:r>
      <w:r w:rsidR="000B799D" w:rsidRPr="00B42D3C">
        <w:rPr>
          <w:sz w:val="22"/>
          <w:szCs w:val="22"/>
        </w:rPr>
        <w:t xml:space="preserve"> i ul. </w:t>
      </w:r>
      <w:r w:rsidR="00E42015" w:rsidRPr="00B42D3C">
        <w:rPr>
          <w:sz w:val="22"/>
          <w:szCs w:val="22"/>
        </w:rPr>
        <w:t>(dane zanonimizowane)</w:t>
      </w:r>
      <w:r w:rsidR="000B799D" w:rsidRPr="00B42D3C">
        <w:rPr>
          <w:sz w:val="22"/>
          <w:szCs w:val="22"/>
        </w:rPr>
        <w:t>.</w:t>
      </w:r>
    </w:p>
  </w:footnote>
  <w:footnote w:id="11">
    <w:p w14:paraId="1940D273" w14:textId="18FD88BB" w:rsidR="00491A99" w:rsidRPr="00B42D3C" w:rsidRDefault="00491A99" w:rsidP="00B42D3C">
      <w:pPr>
        <w:pStyle w:val="Tekstprzypisudolnego"/>
        <w:spacing w:before="20" w:after="20"/>
        <w:rPr>
          <w:sz w:val="22"/>
          <w:szCs w:val="22"/>
        </w:rPr>
      </w:pPr>
      <w:r w:rsidRPr="00B42D3C">
        <w:rPr>
          <w:rStyle w:val="Odwoanieprzypisudolnego"/>
          <w:sz w:val="22"/>
          <w:szCs w:val="22"/>
        </w:rPr>
        <w:footnoteRef/>
      </w:r>
      <w:r w:rsidRPr="00B42D3C">
        <w:rPr>
          <w:sz w:val="22"/>
          <w:szCs w:val="22"/>
        </w:rPr>
        <w:t xml:space="preserve"> </w:t>
      </w:r>
      <w:r w:rsidR="000B799D" w:rsidRPr="00B42D3C">
        <w:rPr>
          <w:sz w:val="22"/>
          <w:szCs w:val="22"/>
        </w:rPr>
        <w:t xml:space="preserve">Budynek przy ul. </w:t>
      </w:r>
      <w:r w:rsidR="00815A03" w:rsidRPr="00B42D3C">
        <w:rPr>
          <w:sz w:val="22"/>
          <w:szCs w:val="22"/>
        </w:rPr>
        <w:t xml:space="preserve">(dane zanonimizowane) </w:t>
      </w:r>
      <w:r w:rsidR="000B799D" w:rsidRPr="00B42D3C">
        <w:rPr>
          <w:sz w:val="22"/>
          <w:szCs w:val="22"/>
        </w:rPr>
        <w:t>- p</w:t>
      </w:r>
      <w:r w:rsidRPr="00B42D3C">
        <w:rPr>
          <w:sz w:val="22"/>
          <w:szCs w:val="22"/>
        </w:rPr>
        <w:t xml:space="preserve">rzekazującym była Szkoła Główna </w:t>
      </w:r>
      <w:r w:rsidR="009543DB" w:rsidRPr="00B42D3C">
        <w:rPr>
          <w:sz w:val="22"/>
          <w:szCs w:val="22"/>
        </w:rPr>
        <w:t>Służby Pożarniczej w Warszawie.</w:t>
      </w:r>
    </w:p>
  </w:footnote>
  <w:footnote w:id="12">
    <w:p w14:paraId="27928777" w14:textId="1B445C66" w:rsidR="000B799D" w:rsidRPr="00B42D3C" w:rsidRDefault="000B799D" w:rsidP="00B42D3C">
      <w:pPr>
        <w:pStyle w:val="Tekstprzypisudolnego"/>
        <w:spacing w:before="20" w:after="20"/>
        <w:rPr>
          <w:sz w:val="22"/>
          <w:szCs w:val="22"/>
        </w:rPr>
      </w:pPr>
      <w:r w:rsidRPr="00B42D3C">
        <w:rPr>
          <w:rStyle w:val="Odwoanieprzypisudolnego"/>
          <w:sz w:val="22"/>
          <w:szCs w:val="22"/>
        </w:rPr>
        <w:footnoteRef/>
      </w:r>
      <w:r w:rsidRPr="00B42D3C">
        <w:rPr>
          <w:sz w:val="22"/>
          <w:szCs w:val="22"/>
        </w:rPr>
        <w:t xml:space="preserve"> Budynek użytkowy: ul. </w:t>
      </w:r>
      <w:r w:rsidR="00BD7D7F" w:rsidRPr="00B42D3C">
        <w:rPr>
          <w:sz w:val="22"/>
          <w:szCs w:val="22"/>
        </w:rPr>
        <w:t>(dane zanonimizowane)</w:t>
      </w:r>
      <w:r w:rsidRPr="00B42D3C">
        <w:rPr>
          <w:sz w:val="22"/>
          <w:szCs w:val="22"/>
        </w:rPr>
        <w:t xml:space="preserve">, </w:t>
      </w:r>
      <w:r w:rsidR="00BD7D7F" w:rsidRPr="00B42D3C">
        <w:rPr>
          <w:sz w:val="22"/>
          <w:szCs w:val="22"/>
        </w:rPr>
        <w:t>(dane zanonimizowane)</w:t>
      </w:r>
      <w:r w:rsidRPr="00B42D3C">
        <w:rPr>
          <w:sz w:val="22"/>
          <w:szCs w:val="22"/>
        </w:rPr>
        <w:t>;</w:t>
      </w:r>
      <w:r w:rsidR="009543DB" w:rsidRPr="00B42D3C">
        <w:rPr>
          <w:sz w:val="22"/>
          <w:szCs w:val="22"/>
        </w:rPr>
        <w:t xml:space="preserve"> garaż: ul. </w:t>
      </w:r>
      <w:r w:rsidR="00BD7D7F" w:rsidRPr="00B42D3C">
        <w:rPr>
          <w:sz w:val="22"/>
          <w:szCs w:val="22"/>
        </w:rPr>
        <w:t>(dane zanonimizowane)</w:t>
      </w:r>
      <w:r w:rsidR="009543DB" w:rsidRPr="00B42D3C">
        <w:rPr>
          <w:sz w:val="22"/>
          <w:szCs w:val="22"/>
        </w:rPr>
        <w:t xml:space="preserve"> – przekazane przez Wydział Zasobów Lokalowych dla Dzielnicy Bielany m.st. Warszawy.</w:t>
      </w:r>
    </w:p>
  </w:footnote>
  <w:footnote w:id="13">
    <w:p w14:paraId="10784D17" w14:textId="52825B25" w:rsidR="009543DB" w:rsidRPr="00B42D3C" w:rsidRDefault="009543DB" w:rsidP="00B42D3C">
      <w:pPr>
        <w:pStyle w:val="Tekstprzypisudolnego"/>
        <w:spacing w:before="20" w:after="20"/>
        <w:rPr>
          <w:sz w:val="22"/>
          <w:szCs w:val="22"/>
        </w:rPr>
      </w:pPr>
      <w:r w:rsidRPr="00B42D3C">
        <w:rPr>
          <w:rStyle w:val="Odwoanieprzypisudolnego"/>
          <w:sz w:val="22"/>
          <w:szCs w:val="22"/>
        </w:rPr>
        <w:footnoteRef/>
      </w:r>
      <w:r w:rsidRPr="00B42D3C">
        <w:rPr>
          <w:sz w:val="22"/>
          <w:szCs w:val="22"/>
        </w:rPr>
        <w:t xml:space="preserve"> </w:t>
      </w:r>
      <w:r w:rsidR="006A41A0" w:rsidRPr="00B42D3C">
        <w:rPr>
          <w:sz w:val="22"/>
          <w:szCs w:val="22"/>
        </w:rPr>
        <w:t xml:space="preserve">Budynku przy </w:t>
      </w:r>
      <w:r w:rsidRPr="00B42D3C">
        <w:rPr>
          <w:sz w:val="22"/>
          <w:szCs w:val="22"/>
        </w:rPr>
        <w:t xml:space="preserve">ul. </w:t>
      </w:r>
      <w:r w:rsidR="00BD7D7F" w:rsidRPr="00B42D3C">
        <w:rPr>
          <w:sz w:val="22"/>
          <w:szCs w:val="22"/>
        </w:rPr>
        <w:t>(dane zanonimizowane)</w:t>
      </w:r>
      <w:r w:rsidRPr="00B42D3C">
        <w:rPr>
          <w:sz w:val="22"/>
          <w:szCs w:val="22"/>
        </w:rPr>
        <w:t xml:space="preserve">, ul. </w:t>
      </w:r>
      <w:r w:rsidR="00BD7D7F" w:rsidRPr="00B42D3C">
        <w:rPr>
          <w:sz w:val="22"/>
          <w:szCs w:val="22"/>
        </w:rPr>
        <w:t>(dane zanonimizowane)</w:t>
      </w:r>
      <w:r w:rsidR="006A41A0" w:rsidRPr="00B42D3C">
        <w:rPr>
          <w:sz w:val="22"/>
          <w:szCs w:val="22"/>
        </w:rPr>
        <w:t>;</w:t>
      </w:r>
      <w:r w:rsidRPr="00B42D3C">
        <w:rPr>
          <w:sz w:val="22"/>
          <w:szCs w:val="22"/>
        </w:rPr>
        <w:t xml:space="preserve"> lokal mieszkalny: ul. </w:t>
      </w:r>
      <w:r w:rsidR="00BD7D7F" w:rsidRPr="00B42D3C">
        <w:rPr>
          <w:sz w:val="22"/>
          <w:szCs w:val="22"/>
        </w:rPr>
        <w:t>(dane zanonimizowane)</w:t>
      </w:r>
      <w:r w:rsidR="00BD7D7F">
        <w:rPr>
          <w:sz w:val="22"/>
          <w:szCs w:val="22"/>
        </w:rPr>
        <w:t>.</w:t>
      </w:r>
    </w:p>
  </w:footnote>
  <w:footnote w:id="14">
    <w:p w14:paraId="3ABE03FD" w14:textId="7938E31B" w:rsidR="006A41A0" w:rsidRPr="00B42D3C" w:rsidRDefault="006A41A0" w:rsidP="00B42D3C">
      <w:pPr>
        <w:pStyle w:val="Tekstprzypisudolnego"/>
        <w:spacing w:before="20" w:after="20"/>
        <w:rPr>
          <w:sz w:val="22"/>
          <w:szCs w:val="22"/>
        </w:rPr>
      </w:pPr>
      <w:r w:rsidRPr="00B42D3C">
        <w:rPr>
          <w:rStyle w:val="Odwoanieprzypisudolnego"/>
          <w:sz w:val="22"/>
          <w:szCs w:val="22"/>
        </w:rPr>
        <w:footnoteRef/>
      </w:r>
      <w:r w:rsidRPr="00B42D3C">
        <w:rPr>
          <w:sz w:val="22"/>
          <w:szCs w:val="22"/>
        </w:rPr>
        <w:t xml:space="preserve"> ul. </w:t>
      </w:r>
      <w:r w:rsidR="00BD7D7F" w:rsidRPr="00B42D3C">
        <w:rPr>
          <w:sz w:val="22"/>
          <w:szCs w:val="22"/>
        </w:rPr>
        <w:t>(dane zanonimizowane)</w:t>
      </w:r>
      <w:r w:rsidR="00BD7D7F">
        <w:rPr>
          <w:sz w:val="22"/>
          <w:szCs w:val="22"/>
        </w:rPr>
        <w:t>.</w:t>
      </w:r>
    </w:p>
  </w:footnote>
  <w:footnote w:id="15">
    <w:p w14:paraId="65699473" w14:textId="541F186A" w:rsidR="00164767" w:rsidRPr="00B42D3C" w:rsidRDefault="00164767" w:rsidP="00B42D3C">
      <w:pPr>
        <w:pStyle w:val="Tekstprzypisudolnego"/>
        <w:spacing w:before="20" w:after="20"/>
        <w:rPr>
          <w:sz w:val="22"/>
          <w:szCs w:val="22"/>
        </w:rPr>
      </w:pPr>
      <w:r w:rsidRPr="00B42D3C">
        <w:rPr>
          <w:rStyle w:val="Odwoanieprzypisudolnego"/>
          <w:sz w:val="22"/>
          <w:szCs w:val="22"/>
        </w:rPr>
        <w:footnoteRef/>
      </w:r>
      <w:r w:rsidRPr="00B42D3C">
        <w:rPr>
          <w:sz w:val="22"/>
          <w:szCs w:val="22"/>
        </w:rPr>
        <w:t xml:space="preserve"> </w:t>
      </w:r>
      <w:r w:rsidR="00617C94" w:rsidRPr="00B42D3C">
        <w:rPr>
          <w:sz w:val="22"/>
          <w:szCs w:val="22"/>
        </w:rPr>
        <w:t>Dz. U. z 2024 r. poz. 1145 t.j.</w:t>
      </w:r>
    </w:p>
  </w:footnote>
  <w:footnote w:id="16">
    <w:p w14:paraId="34FA4F5E" w14:textId="020B1295" w:rsidR="00617C94" w:rsidRPr="00B42D3C" w:rsidRDefault="00617C94" w:rsidP="00B42D3C">
      <w:pPr>
        <w:pStyle w:val="Tekstprzypisudolnego"/>
        <w:spacing w:before="20" w:after="20"/>
        <w:rPr>
          <w:sz w:val="22"/>
          <w:szCs w:val="22"/>
        </w:rPr>
      </w:pPr>
      <w:r w:rsidRPr="00B42D3C">
        <w:rPr>
          <w:rStyle w:val="Odwoanieprzypisudolnego"/>
          <w:sz w:val="22"/>
          <w:szCs w:val="22"/>
        </w:rPr>
        <w:footnoteRef/>
      </w:r>
      <w:r w:rsidRPr="00B42D3C">
        <w:rPr>
          <w:sz w:val="22"/>
          <w:szCs w:val="22"/>
        </w:rPr>
        <w:t xml:space="preserve"> Rozporządzenie Ministra Rozwoju i Technologii z dnia 5 września 2023 r. w sprawie wyceny nieruchomości (Dz. U. z 2023 r. poz. 1832).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033F6" w14:textId="77777777" w:rsidR="00E60D07" w:rsidRDefault="00E60D07">
    <w:pPr>
      <w:pStyle w:val="Nagwek"/>
    </w:pPr>
    <w:r>
      <w:rPr>
        <w:noProof/>
      </w:rPr>
      <w:drawing>
        <wp:inline distT="0" distB="0" distL="0" distR="0" wp14:anchorId="68607416" wp14:editId="57525D03">
          <wp:extent cx="5760720" cy="1082040"/>
          <wp:effectExtent l="0" t="0" r="0" b="3810"/>
          <wp:docPr id="1" name="Obraz 1" descr="Urząd Miasta Stołecznego Warszawy, Biuro Kontroli, ul. Niecała 2, 00-098 Warszawa, tel. 22 443 32 35, 22 443 32 36, faks 22 443 32 37, adres do korespondencji: Aleje Jerozolimskie 44, 00-024 Warszawa, Sekretariat.BKW@um.warszawa.pl, um.warszawa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Urząd Miasta Stołecznego Warszawy, Biuro Kontroli, ul. Niecała 2, 00-098 Warszawa, tel. 22 443 32 35, 22 443 32 36, faks 22 443 32 37, adres do korespondencji: Aleje Jerozolimskie 44, 00-024 Warszawa, Sekretariat.BKW@um.warszawa.pl, um.warszawa.p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82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36927"/>
    <w:multiLevelType w:val="hybridMultilevel"/>
    <w:tmpl w:val="2B4C8F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D070E8"/>
    <w:multiLevelType w:val="hybridMultilevel"/>
    <w:tmpl w:val="25B4E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7981583">
    <w:abstractNumId w:val="1"/>
  </w:num>
  <w:num w:numId="2" w16cid:durableId="259073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C96"/>
    <w:rsid w:val="0001069A"/>
    <w:rsid w:val="00017E8D"/>
    <w:rsid w:val="00044D68"/>
    <w:rsid w:val="000634F2"/>
    <w:rsid w:val="00065C96"/>
    <w:rsid w:val="000B799D"/>
    <w:rsid w:val="000C21ED"/>
    <w:rsid w:val="000E1995"/>
    <w:rsid w:val="00116538"/>
    <w:rsid w:val="00135873"/>
    <w:rsid w:val="00164767"/>
    <w:rsid w:val="001C01AE"/>
    <w:rsid w:val="002476A8"/>
    <w:rsid w:val="00250050"/>
    <w:rsid w:val="00252629"/>
    <w:rsid w:val="00281792"/>
    <w:rsid w:val="002877FA"/>
    <w:rsid w:val="002922EC"/>
    <w:rsid w:val="002C0711"/>
    <w:rsid w:val="002E4E86"/>
    <w:rsid w:val="002F0B07"/>
    <w:rsid w:val="00337536"/>
    <w:rsid w:val="003419ED"/>
    <w:rsid w:val="003709BB"/>
    <w:rsid w:val="003B21AA"/>
    <w:rsid w:val="003B3E8C"/>
    <w:rsid w:val="003D60A4"/>
    <w:rsid w:val="004513A5"/>
    <w:rsid w:val="00491A99"/>
    <w:rsid w:val="004B03B2"/>
    <w:rsid w:val="004E1AC1"/>
    <w:rsid w:val="00511AC3"/>
    <w:rsid w:val="00524680"/>
    <w:rsid w:val="00534DFC"/>
    <w:rsid w:val="00543E7A"/>
    <w:rsid w:val="00574FB3"/>
    <w:rsid w:val="00577EF5"/>
    <w:rsid w:val="0058305A"/>
    <w:rsid w:val="005C29A6"/>
    <w:rsid w:val="005E5701"/>
    <w:rsid w:val="005F6D20"/>
    <w:rsid w:val="00617C94"/>
    <w:rsid w:val="00671A09"/>
    <w:rsid w:val="006739B4"/>
    <w:rsid w:val="006762F4"/>
    <w:rsid w:val="006A41A0"/>
    <w:rsid w:val="006D207F"/>
    <w:rsid w:val="00737057"/>
    <w:rsid w:val="00790991"/>
    <w:rsid w:val="007A6625"/>
    <w:rsid w:val="007B73E1"/>
    <w:rsid w:val="00803A50"/>
    <w:rsid w:val="00804475"/>
    <w:rsid w:val="00815A03"/>
    <w:rsid w:val="008345D5"/>
    <w:rsid w:val="0086080D"/>
    <w:rsid w:val="008B610A"/>
    <w:rsid w:val="009356DB"/>
    <w:rsid w:val="009543DB"/>
    <w:rsid w:val="00A050D7"/>
    <w:rsid w:val="00A07EF3"/>
    <w:rsid w:val="00A10D03"/>
    <w:rsid w:val="00A61C31"/>
    <w:rsid w:val="00A6500D"/>
    <w:rsid w:val="00A663E3"/>
    <w:rsid w:val="00A7203A"/>
    <w:rsid w:val="00AB2EF0"/>
    <w:rsid w:val="00B247EA"/>
    <w:rsid w:val="00B40BF0"/>
    <w:rsid w:val="00B42D3C"/>
    <w:rsid w:val="00B50898"/>
    <w:rsid w:val="00BB5BDE"/>
    <w:rsid w:val="00BD7D7F"/>
    <w:rsid w:val="00C22458"/>
    <w:rsid w:val="00C5476A"/>
    <w:rsid w:val="00C723A0"/>
    <w:rsid w:val="00C85C55"/>
    <w:rsid w:val="00CB1176"/>
    <w:rsid w:val="00CD3E94"/>
    <w:rsid w:val="00D469DF"/>
    <w:rsid w:val="00D80EF4"/>
    <w:rsid w:val="00DB304B"/>
    <w:rsid w:val="00DD3E18"/>
    <w:rsid w:val="00DD477C"/>
    <w:rsid w:val="00DF50C1"/>
    <w:rsid w:val="00E02B60"/>
    <w:rsid w:val="00E06B6D"/>
    <w:rsid w:val="00E2582C"/>
    <w:rsid w:val="00E3192E"/>
    <w:rsid w:val="00E42015"/>
    <w:rsid w:val="00E47384"/>
    <w:rsid w:val="00E541B2"/>
    <w:rsid w:val="00E60D07"/>
    <w:rsid w:val="00E97210"/>
    <w:rsid w:val="00EA5F38"/>
    <w:rsid w:val="00F34E76"/>
    <w:rsid w:val="00F44F98"/>
    <w:rsid w:val="00F50396"/>
    <w:rsid w:val="00F52273"/>
    <w:rsid w:val="00F5397E"/>
    <w:rsid w:val="00F734EC"/>
    <w:rsid w:val="00F8616F"/>
    <w:rsid w:val="00FC5B0B"/>
    <w:rsid w:val="00FE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F035F"/>
  <w15:chartTrackingRefBased/>
  <w15:docId w15:val="{66213760-8C04-4A28-B823-8A29C98D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0D07"/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³anie przypisu,Odwołanie przypisu,FZ,Footnote symbol,Voetnootverwijzing,Footnote reference number"/>
    <w:basedOn w:val="Domylnaczcionkaakapitu"/>
    <w:uiPriority w:val="99"/>
    <w:unhideWhenUsed/>
    <w:qFormat/>
    <w:rsid w:val="00E60D0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60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0D07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0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0D07"/>
    <w:rPr>
      <w:rFonts w:eastAsia="Times New Roman" w:cs="Times New Roman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089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0898"/>
    <w:rPr>
      <w:rFonts w:eastAsia="Times New Roman" w:cs="Times New Roman"/>
      <w:sz w:val="20"/>
      <w:szCs w:val="20"/>
      <w:lang w:eastAsia="pl-PL"/>
    </w:rPr>
  </w:style>
  <w:style w:type="character" w:customStyle="1" w:styleId="Bodytext">
    <w:name w:val="Body text_"/>
    <w:basedOn w:val="Domylnaczcionkaakapitu"/>
    <w:link w:val="Tekstpodstawowy2"/>
    <w:rsid w:val="00804475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podstawowy2">
    <w:name w:val="Tekst podstawowy2"/>
    <w:basedOn w:val="Normalny"/>
    <w:link w:val="Bodytext"/>
    <w:rsid w:val="00804475"/>
    <w:pPr>
      <w:widowControl w:val="0"/>
      <w:shd w:val="clear" w:color="auto" w:fill="FFFFFF"/>
      <w:spacing w:before="240" w:after="240" w:line="518" w:lineRule="exact"/>
      <w:ind w:hanging="400"/>
    </w:pPr>
    <w:rPr>
      <w:rFonts w:ascii="Calibri" w:eastAsia="Calibri" w:hAnsi="Calibri" w:cs="Calibri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C5476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370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70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7057"/>
    <w:rPr>
      <w:rFonts w:eastAsia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70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7057"/>
    <w:rPr>
      <w:rFonts w:eastAsia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705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3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3F3BECC047D3499B498EDD372C616B" ma:contentTypeVersion="18" ma:contentTypeDescription="Utwórz nowy dokument." ma:contentTypeScope="" ma:versionID="68e36b9b187171b595502e0345dc456c">
  <xsd:schema xmlns:xsd="http://www.w3.org/2001/XMLSchema" xmlns:xs="http://www.w3.org/2001/XMLSchema" xmlns:p="http://schemas.microsoft.com/office/2006/metadata/properties" xmlns:ns1="http://schemas.microsoft.com/sharepoint/v3" xmlns:ns3="4266e71f-6052-414d-8493-fc2f460cf283" xmlns:ns4="943af88d-9070-42f1-9b0d-d9326542228a" targetNamespace="http://schemas.microsoft.com/office/2006/metadata/properties" ma:root="true" ma:fieldsID="83f84a5d05fcd111546b38c8794aa100" ns1:_="" ns3:_="" ns4:_="">
    <xsd:import namespace="http://schemas.microsoft.com/sharepoint/v3"/>
    <xsd:import namespace="4266e71f-6052-414d-8493-fc2f460cf283"/>
    <xsd:import namespace="943af88d-9070-42f1-9b0d-d9326542228a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6e71f-6052-414d-8493-fc2f460cf2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af88d-9070-42f1-9b0d-d932654222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4266e71f-6052-414d-8493-fc2f460cf28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CF93C-6EB5-44CC-87A1-E46C30068D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66e71f-6052-414d-8493-fc2f460cf283"/>
    <ds:schemaRef ds:uri="943af88d-9070-42f1-9b0d-d932654222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34EB33-F2BF-4F7E-A324-DB7C7A3790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7DB09E-A3C8-4C28-AD6D-5C463E55FFB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266e71f-6052-414d-8493-fc2f460cf283"/>
  </ds:schemaRefs>
</ds:datastoreItem>
</file>

<file path=customXml/itemProps4.xml><?xml version="1.0" encoding="utf-8"?>
<ds:datastoreItem xmlns:ds="http://schemas.openxmlformats.org/officeDocument/2006/customXml" ds:itemID="{DB575CB4-3C8C-422B-A6BB-E960B2720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1751</TotalTime>
  <Pages>5</Pages>
  <Words>1405</Words>
  <Characters>8433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Wystąpienie pokontrolne</vt:lpstr>
    </vt:vector>
  </TitlesOfParts>
  <Company>Urzad Miasta</Company>
  <LinksUpToDate>false</LinksUpToDate>
  <CharactersWithSpaces>9819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Wystąpienie pokontrolne</dc:title>
  <dc:subject/>
  <dc:creator>Wierzba-Biernacki Marcin (KW)</dc:creator>
  <cp:keywords/>
  <dc:description/>
  <cp:lastModifiedBy>Kowalczyk Monika (KW)</cp:lastModifiedBy>
  <cp:revision>12</cp:revision>
  <dcterms:created xsi:type="dcterms:W3CDTF">2024-10-07T08:51:00Z</dcterms:created>
  <dcterms:modified xsi:type="dcterms:W3CDTF">2024-11-08T13:07:00Z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0x010100563F3BECC047D3499B498EDD372C616B</vt:lpwstr>
  </property>
</Properties>
</file>