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C2" w:rsidRPr="006D2B5C" w:rsidRDefault="00F22591" w:rsidP="00BB337F">
      <w:pPr>
        <w:pStyle w:val="Nagwek1"/>
        <w:spacing w:before="0" w:after="240" w:line="300" w:lineRule="auto"/>
        <w:jc w:val="center"/>
        <w:rPr>
          <w:rFonts w:ascii="Calibri" w:hAnsi="Calibri" w:cs="Calibri"/>
          <w:color w:val="auto"/>
          <w:sz w:val="22"/>
          <w:szCs w:val="22"/>
        </w:rPr>
      </w:pPr>
      <w:r>
        <w:rPr>
          <w:rFonts w:ascii="Calibri" w:hAnsi="Calibri" w:cs="Calibri"/>
          <w:b/>
          <w:color w:val="auto"/>
          <w:sz w:val="22"/>
          <w:szCs w:val="22"/>
        </w:rPr>
        <w:t>PROTOKÓŁ NR 4</w:t>
      </w:r>
      <w:r w:rsidR="00D65637">
        <w:rPr>
          <w:rFonts w:ascii="Calibri" w:hAnsi="Calibri" w:cs="Calibri"/>
          <w:b/>
          <w:color w:val="auto"/>
          <w:sz w:val="22"/>
          <w:szCs w:val="22"/>
        </w:rPr>
        <w:t>4</w:t>
      </w:r>
      <w:r>
        <w:rPr>
          <w:rFonts w:ascii="Calibri" w:hAnsi="Calibri" w:cs="Calibri"/>
          <w:b/>
          <w:color w:val="auto"/>
          <w:sz w:val="22"/>
          <w:szCs w:val="22"/>
        </w:rPr>
        <w:t>/23</w:t>
      </w:r>
      <w:r w:rsidR="00BB337F">
        <w:rPr>
          <w:rFonts w:ascii="Calibri" w:hAnsi="Calibri" w:cs="Calibri"/>
          <w:b/>
          <w:color w:val="auto"/>
          <w:sz w:val="22"/>
          <w:szCs w:val="22"/>
        </w:rPr>
        <w:br/>
      </w:r>
      <w:r w:rsidR="00221AC2" w:rsidRPr="00BB337F">
        <w:rPr>
          <w:rFonts w:ascii="Calibri" w:hAnsi="Calibri" w:cs="Calibri"/>
          <w:b/>
          <w:color w:val="auto"/>
          <w:sz w:val="22"/>
          <w:szCs w:val="22"/>
        </w:rPr>
        <w:t>Z POSIEDZENIA KOMISJI</w:t>
      </w:r>
      <w:r w:rsidR="00BB337F">
        <w:rPr>
          <w:rFonts w:ascii="Calibri" w:hAnsi="Calibri" w:cs="Calibri"/>
          <w:b/>
          <w:color w:val="auto"/>
          <w:sz w:val="22"/>
          <w:szCs w:val="22"/>
        </w:rPr>
        <w:br/>
      </w:r>
      <w:r w:rsidR="00221AC2" w:rsidRPr="00BB337F">
        <w:rPr>
          <w:rFonts w:ascii="Calibri" w:hAnsi="Calibri" w:cs="Calibri"/>
          <w:b/>
          <w:color w:val="auto"/>
          <w:sz w:val="22"/>
          <w:szCs w:val="22"/>
        </w:rPr>
        <w:t>REWIZYJNEJ RADY M.ST. WARSZAWY</w:t>
      </w:r>
      <w:r w:rsidR="00BB337F">
        <w:rPr>
          <w:rFonts w:ascii="Calibri" w:hAnsi="Calibri" w:cs="Calibri"/>
          <w:b/>
          <w:color w:val="auto"/>
          <w:sz w:val="22"/>
          <w:szCs w:val="22"/>
        </w:rPr>
        <w:br/>
      </w:r>
      <w:r w:rsidR="00221AC2" w:rsidRPr="00BB337F">
        <w:rPr>
          <w:rFonts w:ascii="Calibri" w:hAnsi="Calibri" w:cs="Calibri"/>
          <w:b/>
          <w:color w:val="auto"/>
          <w:sz w:val="22"/>
          <w:szCs w:val="22"/>
        </w:rPr>
        <w:t xml:space="preserve">z dnia </w:t>
      </w:r>
      <w:r w:rsidR="000C7296">
        <w:rPr>
          <w:rFonts w:ascii="Calibri" w:hAnsi="Calibri" w:cs="Calibri"/>
          <w:b/>
          <w:color w:val="auto"/>
          <w:sz w:val="22"/>
          <w:szCs w:val="22"/>
        </w:rPr>
        <w:t>31</w:t>
      </w:r>
      <w:r w:rsidR="00580693">
        <w:rPr>
          <w:rFonts w:ascii="Calibri" w:hAnsi="Calibri" w:cs="Calibri"/>
          <w:b/>
          <w:color w:val="auto"/>
          <w:sz w:val="22"/>
          <w:szCs w:val="22"/>
        </w:rPr>
        <w:t xml:space="preserve"> </w:t>
      </w:r>
      <w:r w:rsidR="00B42005">
        <w:rPr>
          <w:rFonts w:ascii="Calibri" w:hAnsi="Calibri" w:cs="Calibri"/>
          <w:b/>
          <w:color w:val="auto"/>
          <w:sz w:val="22"/>
          <w:szCs w:val="22"/>
        </w:rPr>
        <w:t xml:space="preserve">maja </w:t>
      </w:r>
      <w:r>
        <w:rPr>
          <w:rFonts w:ascii="Calibri" w:hAnsi="Calibri" w:cs="Calibri"/>
          <w:b/>
          <w:color w:val="auto"/>
          <w:sz w:val="22"/>
          <w:szCs w:val="22"/>
        </w:rPr>
        <w:t>2023</w:t>
      </w:r>
      <w:r w:rsidR="00AB02E3">
        <w:rPr>
          <w:rFonts w:ascii="Calibri" w:hAnsi="Calibri" w:cs="Calibri"/>
          <w:b/>
          <w:color w:val="auto"/>
          <w:sz w:val="22"/>
          <w:szCs w:val="22"/>
        </w:rPr>
        <w:t xml:space="preserve"> r.</w:t>
      </w:r>
    </w:p>
    <w:p w:rsidR="00221AC2" w:rsidRPr="001E25AF" w:rsidRDefault="00221AC2" w:rsidP="00E1054C">
      <w:pPr>
        <w:spacing w:after="240" w:line="300" w:lineRule="auto"/>
        <w:rPr>
          <w:rFonts w:cstheme="minorHAnsi"/>
        </w:rPr>
      </w:pPr>
      <w:r w:rsidRPr="001E25AF">
        <w:rPr>
          <w:rFonts w:cstheme="minorHAnsi"/>
        </w:rPr>
        <w:t>W posiedzeniu udział wzięli członkowie Komisji:</w:t>
      </w:r>
    </w:p>
    <w:p w:rsidR="00221AC2" w:rsidRPr="00421EF0" w:rsidRDefault="00221AC2" w:rsidP="00F81614">
      <w:pPr>
        <w:numPr>
          <w:ilvl w:val="0"/>
          <w:numId w:val="2"/>
        </w:numPr>
        <w:tabs>
          <w:tab w:val="clear" w:pos="720"/>
          <w:tab w:val="num" w:pos="284"/>
        </w:tabs>
        <w:spacing w:after="240" w:line="300" w:lineRule="auto"/>
        <w:ind w:hanging="720"/>
        <w:contextualSpacing/>
        <w:rPr>
          <w:rFonts w:cstheme="minorHAnsi"/>
        </w:rPr>
      </w:pPr>
      <w:r w:rsidRPr="00421EF0">
        <w:rPr>
          <w:rFonts w:cstheme="minorHAnsi"/>
        </w:rPr>
        <w:t>Ma</w:t>
      </w:r>
      <w:r w:rsidR="00102B77">
        <w:rPr>
          <w:rFonts w:cstheme="minorHAnsi"/>
        </w:rPr>
        <w:t>ciej Wyszyński - Przewodniczący</w:t>
      </w:r>
    </w:p>
    <w:p w:rsidR="00221AC2" w:rsidRPr="00421EF0" w:rsidRDefault="00221AC2" w:rsidP="00F81614">
      <w:pPr>
        <w:numPr>
          <w:ilvl w:val="0"/>
          <w:numId w:val="2"/>
        </w:numPr>
        <w:tabs>
          <w:tab w:val="clear" w:pos="720"/>
          <w:tab w:val="num" w:pos="284"/>
        </w:tabs>
        <w:spacing w:after="240" w:line="300" w:lineRule="auto"/>
        <w:ind w:hanging="720"/>
        <w:contextualSpacing/>
        <w:rPr>
          <w:rFonts w:cstheme="minorHAnsi"/>
        </w:rPr>
      </w:pPr>
      <w:r w:rsidRPr="00421EF0">
        <w:rPr>
          <w:rFonts w:cstheme="minorHAnsi"/>
        </w:rPr>
        <w:t>Jus</w:t>
      </w:r>
      <w:r w:rsidR="00102B77">
        <w:rPr>
          <w:rFonts w:cstheme="minorHAnsi"/>
        </w:rPr>
        <w:t>tyna Zając - Wiceprzewodnicząca</w:t>
      </w:r>
    </w:p>
    <w:p w:rsidR="00221AC2" w:rsidRDefault="00102B77" w:rsidP="00F81614">
      <w:pPr>
        <w:numPr>
          <w:ilvl w:val="0"/>
          <w:numId w:val="2"/>
        </w:numPr>
        <w:tabs>
          <w:tab w:val="clear" w:pos="720"/>
          <w:tab w:val="num" w:pos="284"/>
        </w:tabs>
        <w:spacing w:after="240" w:line="300" w:lineRule="auto"/>
        <w:ind w:hanging="720"/>
        <w:contextualSpacing/>
        <w:rPr>
          <w:rFonts w:cstheme="minorHAnsi"/>
        </w:rPr>
      </w:pPr>
      <w:r>
        <w:rPr>
          <w:rFonts w:cstheme="minorHAnsi"/>
        </w:rPr>
        <w:t>Dariusz Dziekanowski</w:t>
      </w:r>
    </w:p>
    <w:p w:rsidR="004B1753" w:rsidRDefault="004B1753" w:rsidP="00F81614">
      <w:pPr>
        <w:numPr>
          <w:ilvl w:val="0"/>
          <w:numId w:val="2"/>
        </w:numPr>
        <w:tabs>
          <w:tab w:val="clear" w:pos="720"/>
          <w:tab w:val="num" w:pos="284"/>
        </w:tabs>
        <w:spacing w:after="240" w:line="300" w:lineRule="auto"/>
        <w:ind w:hanging="720"/>
        <w:contextualSpacing/>
        <w:rPr>
          <w:rFonts w:cstheme="minorHAnsi"/>
        </w:rPr>
      </w:pPr>
      <w:r>
        <w:rPr>
          <w:rFonts w:cstheme="minorHAnsi"/>
        </w:rPr>
        <w:t>Oskar Hejka</w:t>
      </w:r>
    </w:p>
    <w:p w:rsidR="00E1054C" w:rsidRPr="000C7296" w:rsidRDefault="00E1054C" w:rsidP="00F81614">
      <w:pPr>
        <w:numPr>
          <w:ilvl w:val="0"/>
          <w:numId w:val="2"/>
        </w:numPr>
        <w:tabs>
          <w:tab w:val="clear" w:pos="720"/>
          <w:tab w:val="num" w:pos="284"/>
        </w:tabs>
        <w:spacing w:after="240" w:line="300" w:lineRule="auto"/>
        <w:ind w:hanging="720"/>
        <w:contextualSpacing/>
        <w:rPr>
          <w:rFonts w:cstheme="minorHAnsi"/>
        </w:rPr>
      </w:pPr>
      <w:r>
        <w:rPr>
          <w:rFonts w:cstheme="minorHAnsi"/>
        </w:rPr>
        <w:t>Sebastian Kędzierski</w:t>
      </w:r>
    </w:p>
    <w:p w:rsidR="00221AC2" w:rsidRPr="00421EF0" w:rsidRDefault="00102B77" w:rsidP="00F81614">
      <w:pPr>
        <w:numPr>
          <w:ilvl w:val="0"/>
          <w:numId w:val="2"/>
        </w:numPr>
        <w:tabs>
          <w:tab w:val="clear" w:pos="720"/>
          <w:tab w:val="num" w:pos="284"/>
        </w:tabs>
        <w:spacing w:after="240" w:line="300" w:lineRule="auto"/>
        <w:ind w:hanging="720"/>
        <w:contextualSpacing/>
        <w:rPr>
          <w:rFonts w:cstheme="minorHAnsi"/>
        </w:rPr>
      </w:pPr>
      <w:r>
        <w:rPr>
          <w:rFonts w:cstheme="minorHAnsi"/>
        </w:rPr>
        <w:t>Wiktor Klimiuk</w:t>
      </w:r>
    </w:p>
    <w:p w:rsidR="00700B7E" w:rsidRDefault="00102B77" w:rsidP="00F81614">
      <w:pPr>
        <w:numPr>
          <w:ilvl w:val="0"/>
          <w:numId w:val="2"/>
        </w:numPr>
        <w:tabs>
          <w:tab w:val="clear" w:pos="720"/>
          <w:tab w:val="num" w:pos="284"/>
        </w:tabs>
        <w:spacing w:after="360" w:line="300" w:lineRule="auto"/>
        <w:ind w:hanging="720"/>
        <w:contextualSpacing/>
        <w:rPr>
          <w:rFonts w:cstheme="minorHAnsi"/>
        </w:rPr>
      </w:pPr>
      <w:r>
        <w:rPr>
          <w:rFonts w:cstheme="minorHAnsi"/>
        </w:rPr>
        <w:t>Dorota Lutomirska</w:t>
      </w:r>
    </w:p>
    <w:p w:rsidR="00221AC2" w:rsidRPr="00700B7E" w:rsidRDefault="00221AC2" w:rsidP="00E1054C">
      <w:pPr>
        <w:numPr>
          <w:ilvl w:val="0"/>
          <w:numId w:val="2"/>
        </w:numPr>
        <w:tabs>
          <w:tab w:val="clear" w:pos="720"/>
          <w:tab w:val="num" w:pos="284"/>
        </w:tabs>
        <w:spacing w:after="240" w:line="300" w:lineRule="auto"/>
        <w:ind w:hanging="720"/>
        <w:contextualSpacing/>
        <w:rPr>
          <w:rFonts w:cstheme="minorHAnsi"/>
        </w:rPr>
      </w:pPr>
      <w:r w:rsidRPr="00421EF0">
        <w:t>Joanna Staniszkis</w:t>
      </w:r>
    </w:p>
    <w:p w:rsidR="00221AC2" w:rsidRDefault="00221AC2" w:rsidP="00E1054C">
      <w:pPr>
        <w:pStyle w:val="Bezodstpw"/>
        <w:spacing w:after="240" w:line="300" w:lineRule="auto"/>
      </w:pPr>
      <w:r w:rsidRPr="001E25AF">
        <w:t xml:space="preserve">Posiedzenie Komisji otworzył </w:t>
      </w:r>
      <w:r w:rsidR="00ED0924">
        <w:rPr>
          <w:b/>
        </w:rPr>
        <w:t>Przewodniczący Komisji</w:t>
      </w:r>
      <w:r w:rsidRPr="001E25AF">
        <w:rPr>
          <w:b/>
        </w:rPr>
        <w:t xml:space="preserve"> Maciej Wyszyński</w:t>
      </w:r>
      <w:r w:rsidRPr="001E25AF">
        <w:t>.</w:t>
      </w:r>
      <w:r w:rsidRPr="007B263D">
        <w:t xml:space="preserve"> </w:t>
      </w:r>
      <w:r>
        <w:t>Powitał wszystkich, a następnie zaproponował porządek obrad:</w:t>
      </w:r>
    </w:p>
    <w:p w:rsidR="00221AC2" w:rsidRPr="005F1AFD" w:rsidRDefault="00221AC2" w:rsidP="00E1054C">
      <w:pPr>
        <w:pStyle w:val="Tekstpodstawowy"/>
        <w:spacing w:after="240" w:line="300" w:lineRule="auto"/>
        <w:rPr>
          <w:rFonts w:ascii="Calibri" w:hAnsi="Calibri" w:cs="Arial"/>
          <w:b/>
          <w:bCs/>
          <w:sz w:val="22"/>
          <w:szCs w:val="22"/>
        </w:rPr>
      </w:pPr>
      <w:r w:rsidRPr="005F1AFD">
        <w:rPr>
          <w:rFonts w:ascii="Calibri" w:hAnsi="Calibri" w:cs="Arial"/>
          <w:b/>
          <w:bCs/>
          <w:sz w:val="22"/>
          <w:szCs w:val="22"/>
        </w:rPr>
        <w:t>Porządek obrad:</w:t>
      </w:r>
    </w:p>
    <w:p w:rsidR="000C7296" w:rsidRPr="000C7296" w:rsidRDefault="000C7296" w:rsidP="00F81614">
      <w:pPr>
        <w:numPr>
          <w:ilvl w:val="0"/>
          <w:numId w:val="1"/>
        </w:numPr>
        <w:spacing w:after="0" w:line="300" w:lineRule="auto"/>
        <w:ind w:left="284" w:hanging="284"/>
        <w:rPr>
          <w:rFonts w:ascii="Calibri" w:eastAsia="Times New Roman" w:hAnsi="Calibri" w:cs="Calibri"/>
          <w:lang w:eastAsia="pl-PL"/>
        </w:rPr>
      </w:pPr>
      <w:r w:rsidRPr="000C7296">
        <w:rPr>
          <w:rFonts w:ascii="Calibri" w:eastAsia="Times New Roman" w:hAnsi="Calibri" w:cs="Calibri"/>
          <w:lang w:eastAsia="pl-PL"/>
        </w:rPr>
        <w:t>Przyjęcie porządku obrad.</w:t>
      </w:r>
    </w:p>
    <w:p w:rsidR="000C7296" w:rsidRPr="000C7296" w:rsidRDefault="000C7296" w:rsidP="00F81614">
      <w:pPr>
        <w:numPr>
          <w:ilvl w:val="0"/>
          <w:numId w:val="1"/>
        </w:numPr>
        <w:spacing w:after="0" w:line="300" w:lineRule="auto"/>
        <w:ind w:left="284" w:hanging="284"/>
        <w:rPr>
          <w:rFonts w:ascii="Calibri" w:eastAsia="Times New Roman" w:hAnsi="Calibri" w:cs="Calibri"/>
          <w:lang w:eastAsia="pl-PL"/>
        </w:rPr>
      </w:pPr>
      <w:r w:rsidRPr="000C7296">
        <w:rPr>
          <w:rFonts w:ascii="Calibri" w:eastAsia="Times New Roman" w:hAnsi="Calibri" w:cs="Calibri"/>
          <w:lang w:eastAsia="pl-PL"/>
        </w:rPr>
        <w:t>Przyjęcie sprawozdania z wykonani</w:t>
      </w:r>
      <w:r w:rsidR="00102B77">
        <w:rPr>
          <w:rFonts w:ascii="Calibri" w:eastAsia="Times New Roman" w:hAnsi="Calibri" w:cs="Calibri"/>
          <w:lang w:eastAsia="pl-PL"/>
        </w:rPr>
        <w:t>a budżetu m.st. Warszawy za 2022</w:t>
      </w:r>
      <w:r w:rsidRPr="000C7296">
        <w:rPr>
          <w:rFonts w:ascii="Calibri" w:eastAsia="Times New Roman" w:hAnsi="Calibri" w:cs="Calibri"/>
          <w:lang w:eastAsia="pl-PL"/>
        </w:rPr>
        <w:t xml:space="preserve"> rok oraz wniosku w przedmiocie udzielenia Prezydentowi m.st. Warszawy absolutorium z tytułu wykonani</w:t>
      </w:r>
      <w:r w:rsidR="00102B77">
        <w:rPr>
          <w:rFonts w:ascii="Calibri" w:eastAsia="Times New Roman" w:hAnsi="Calibri" w:cs="Calibri"/>
          <w:lang w:eastAsia="pl-PL"/>
        </w:rPr>
        <w:t>a budżetu m.st. Warszawy za 2022</w:t>
      </w:r>
      <w:r w:rsidRPr="000C7296">
        <w:rPr>
          <w:rFonts w:ascii="Calibri" w:eastAsia="Times New Roman" w:hAnsi="Calibri" w:cs="Calibri"/>
          <w:lang w:eastAsia="pl-PL"/>
        </w:rPr>
        <w:t xml:space="preserve"> r. </w:t>
      </w:r>
    </w:p>
    <w:p w:rsidR="000C7296" w:rsidRPr="000C7296" w:rsidRDefault="000C7296" w:rsidP="00E1054C">
      <w:pPr>
        <w:numPr>
          <w:ilvl w:val="0"/>
          <w:numId w:val="1"/>
        </w:numPr>
        <w:spacing w:after="240" w:line="300" w:lineRule="auto"/>
        <w:ind w:left="284" w:hanging="284"/>
        <w:rPr>
          <w:rFonts w:ascii="Calibri" w:eastAsia="Times New Roman" w:hAnsi="Calibri" w:cs="Calibri"/>
          <w:lang w:eastAsia="pl-PL"/>
        </w:rPr>
      </w:pPr>
      <w:r w:rsidRPr="000C7296">
        <w:rPr>
          <w:rFonts w:ascii="Calibri" w:eastAsia="Times New Roman" w:hAnsi="Calibri" w:cs="Arial"/>
          <w:lang w:eastAsia="pl-PL"/>
        </w:rPr>
        <w:t>Wolne wnioski i sprawy różne.</w:t>
      </w:r>
    </w:p>
    <w:p w:rsidR="00221AC2" w:rsidRDefault="00221AC2" w:rsidP="00E1054C">
      <w:pPr>
        <w:spacing w:after="240" w:line="300" w:lineRule="auto"/>
        <w:rPr>
          <w:rFonts w:ascii="Calibri" w:eastAsia="Times New Roman" w:hAnsi="Calibri" w:cs="Arial"/>
          <w:b/>
          <w:lang w:eastAsia="pl-PL"/>
        </w:rPr>
      </w:pPr>
      <w:r w:rsidRPr="00421EF0">
        <w:rPr>
          <w:rFonts w:ascii="Calibri" w:eastAsia="Times New Roman" w:hAnsi="Calibri" w:cs="Arial"/>
          <w:b/>
          <w:lang w:eastAsia="pl-PL"/>
        </w:rPr>
        <w:t>Ad. 1</w:t>
      </w:r>
    </w:p>
    <w:p w:rsidR="00644708" w:rsidRPr="00102B77" w:rsidRDefault="00644708" w:rsidP="00E1054C">
      <w:pPr>
        <w:spacing w:after="240" w:line="300" w:lineRule="auto"/>
        <w:rPr>
          <w:rFonts w:ascii="Calibri" w:eastAsia="Times New Roman" w:hAnsi="Calibri" w:cs="Calibri"/>
          <w:b/>
          <w:lang w:eastAsia="pl-PL"/>
        </w:rPr>
      </w:pPr>
      <w:r w:rsidRPr="00102B77">
        <w:rPr>
          <w:rFonts w:ascii="Calibri" w:eastAsia="Times New Roman" w:hAnsi="Calibri" w:cs="Calibri"/>
          <w:b/>
          <w:lang w:eastAsia="pl-PL"/>
        </w:rPr>
        <w:t>Przyjęcie porządku obrad.</w:t>
      </w:r>
    </w:p>
    <w:p w:rsidR="00221AC2" w:rsidRPr="00421EF0" w:rsidRDefault="00221AC2" w:rsidP="00E1054C">
      <w:pPr>
        <w:spacing w:after="240" w:line="300" w:lineRule="auto"/>
        <w:rPr>
          <w:rFonts w:cs="Arial"/>
        </w:rPr>
      </w:pPr>
      <w:r w:rsidRPr="00421EF0">
        <w:rPr>
          <w:rFonts w:cs="Arial"/>
        </w:rPr>
        <w:t>Komisja nie zgłosiła uwag</w:t>
      </w:r>
      <w:r>
        <w:rPr>
          <w:rFonts w:cs="Arial"/>
        </w:rPr>
        <w:t xml:space="preserve"> do porządku obrad</w:t>
      </w:r>
      <w:r w:rsidRPr="00421EF0">
        <w:rPr>
          <w:rFonts w:cs="Arial"/>
        </w:rPr>
        <w:t xml:space="preserve">, wobec czego został </w:t>
      </w:r>
      <w:r>
        <w:rPr>
          <w:rFonts w:cs="Arial"/>
        </w:rPr>
        <w:t xml:space="preserve">on </w:t>
      </w:r>
      <w:r w:rsidRPr="00421EF0">
        <w:rPr>
          <w:rFonts w:cs="Arial"/>
        </w:rPr>
        <w:t>przyjęty.</w:t>
      </w:r>
    </w:p>
    <w:p w:rsidR="00221AC2" w:rsidRDefault="00700B7E" w:rsidP="00E1054C">
      <w:pPr>
        <w:spacing w:after="240" w:line="300" w:lineRule="auto"/>
        <w:rPr>
          <w:rFonts w:cs="Arial"/>
          <w:b/>
        </w:rPr>
      </w:pPr>
      <w:r>
        <w:rPr>
          <w:rFonts w:cs="Arial"/>
          <w:b/>
        </w:rPr>
        <w:t>Ad. 2</w:t>
      </w:r>
    </w:p>
    <w:p w:rsidR="000C7296" w:rsidRPr="00E1054C" w:rsidRDefault="000C7296" w:rsidP="00E1054C">
      <w:pPr>
        <w:spacing w:after="240" w:line="300" w:lineRule="auto"/>
        <w:rPr>
          <w:rFonts w:ascii="Calibri" w:eastAsia="Times New Roman" w:hAnsi="Calibri" w:cs="Calibri"/>
          <w:b/>
          <w:lang w:eastAsia="pl-PL"/>
        </w:rPr>
      </w:pPr>
      <w:r w:rsidRPr="00E1054C">
        <w:rPr>
          <w:rFonts w:ascii="Calibri" w:eastAsia="Times New Roman" w:hAnsi="Calibri" w:cs="Calibri"/>
          <w:b/>
          <w:lang w:eastAsia="pl-PL"/>
        </w:rPr>
        <w:t>Przyjęcie sprawozdania z wykonani</w:t>
      </w:r>
      <w:r w:rsidR="00102B77" w:rsidRPr="00E1054C">
        <w:rPr>
          <w:rFonts w:ascii="Calibri" w:eastAsia="Times New Roman" w:hAnsi="Calibri" w:cs="Calibri"/>
          <w:b/>
          <w:lang w:eastAsia="pl-PL"/>
        </w:rPr>
        <w:t>a budżetu m.st. Warszawy za 2022</w:t>
      </w:r>
      <w:r w:rsidRPr="00E1054C">
        <w:rPr>
          <w:rFonts w:ascii="Calibri" w:eastAsia="Times New Roman" w:hAnsi="Calibri" w:cs="Calibri"/>
          <w:b/>
          <w:lang w:eastAsia="pl-PL"/>
        </w:rPr>
        <w:t xml:space="preserve"> rok oraz wniosku w przedmiocie udzielenia Prezydentowi m.st. Warszawy absolutorium z tytułu wykonania budżetu m.st. Warszawy za</w:t>
      </w:r>
      <w:r w:rsidR="00102B77" w:rsidRPr="00E1054C">
        <w:rPr>
          <w:rFonts w:ascii="Calibri" w:eastAsia="Times New Roman" w:hAnsi="Calibri" w:cs="Calibri"/>
          <w:b/>
          <w:lang w:eastAsia="pl-PL"/>
        </w:rPr>
        <w:t xml:space="preserve"> 2022</w:t>
      </w:r>
      <w:r w:rsidR="00E1054C" w:rsidRPr="00E1054C">
        <w:rPr>
          <w:rFonts w:ascii="Calibri" w:eastAsia="Times New Roman" w:hAnsi="Calibri" w:cs="Calibri"/>
          <w:b/>
          <w:lang w:eastAsia="pl-PL"/>
        </w:rPr>
        <w:t xml:space="preserve"> r.</w:t>
      </w:r>
    </w:p>
    <w:p w:rsidR="00A33631" w:rsidRPr="00A33631" w:rsidRDefault="00F92542" w:rsidP="000F5E09">
      <w:pPr>
        <w:spacing w:after="240" w:line="300" w:lineRule="auto"/>
        <w:rPr>
          <w:rFonts w:cstheme="minorHAnsi"/>
        </w:rPr>
      </w:pPr>
      <w:r w:rsidRPr="00387F17">
        <w:rPr>
          <w:rFonts w:cstheme="minorHAnsi"/>
          <w:b/>
        </w:rPr>
        <w:t>Pan Mirosław Czekaj</w:t>
      </w:r>
      <w:r w:rsidR="00AF4CDB">
        <w:rPr>
          <w:rFonts w:cstheme="minorHAnsi"/>
          <w:b/>
        </w:rPr>
        <w:t xml:space="preserve"> -</w:t>
      </w:r>
      <w:r w:rsidRPr="00387F17">
        <w:rPr>
          <w:rFonts w:cstheme="minorHAnsi"/>
          <w:b/>
        </w:rPr>
        <w:t xml:space="preserve"> Skarbnik m.st. Warszawy </w:t>
      </w:r>
      <w:r w:rsidRPr="00387F17">
        <w:rPr>
          <w:rFonts w:cstheme="minorHAnsi"/>
        </w:rPr>
        <w:t xml:space="preserve">omówił </w:t>
      </w:r>
      <w:r w:rsidR="00A340EF">
        <w:rPr>
          <w:rFonts w:cstheme="minorHAnsi"/>
        </w:rPr>
        <w:t xml:space="preserve">w formie prezentacji </w:t>
      </w:r>
      <w:r w:rsidRPr="00387F17">
        <w:rPr>
          <w:rFonts w:cstheme="minorHAnsi"/>
        </w:rPr>
        <w:t>sprawozdanie finansowe Mia</w:t>
      </w:r>
      <w:r>
        <w:rPr>
          <w:rFonts w:cstheme="minorHAnsi"/>
        </w:rPr>
        <w:t xml:space="preserve">sta Stołecznego Warszawy za </w:t>
      </w:r>
      <w:r w:rsidR="00102B77">
        <w:rPr>
          <w:rFonts w:cstheme="minorHAnsi"/>
        </w:rPr>
        <w:t>2022</w:t>
      </w:r>
      <w:r w:rsidRPr="00387F17">
        <w:rPr>
          <w:rFonts w:cstheme="minorHAnsi"/>
        </w:rPr>
        <w:t xml:space="preserve"> r.</w:t>
      </w:r>
      <w:r w:rsidR="007E6B26">
        <w:rPr>
          <w:rFonts w:cstheme="minorHAnsi"/>
        </w:rPr>
        <w:t xml:space="preserve"> Przypomniał, że na posiedzeniu </w:t>
      </w:r>
      <w:r w:rsidR="00102B77">
        <w:rPr>
          <w:rFonts w:cstheme="minorHAnsi"/>
        </w:rPr>
        <w:t>Komisji dnia 04 kwietnia 2023</w:t>
      </w:r>
      <w:r w:rsidR="007036F1">
        <w:rPr>
          <w:rFonts w:cstheme="minorHAnsi"/>
        </w:rPr>
        <w:t xml:space="preserve"> r. zostało zaprezentowane członkom Komisji sprawozdanie z </w:t>
      </w:r>
      <w:r w:rsidR="00102B77">
        <w:rPr>
          <w:rFonts w:cstheme="minorHAnsi"/>
        </w:rPr>
        <w:t>wykonania budżetu miasta za 2022</w:t>
      </w:r>
      <w:r w:rsidR="007036F1">
        <w:rPr>
          <w:rFonts w:cstheme="minorHAnsi"/>
        </w:rPr>
        <w:t xml:space="preserve"> r. Sprawozdanie finansowe miasta jest odzwierciedleniem stanu majątku miasta na koniec roku.</w:t>
      </w:r>
      <w:r w:rsidR="006679E2">
        <w:rPr>
          <w:rFonts w:cstheme="minorHAnsi"/>
        </w:rPr>
        <w:t xml:space="preserve"> Wyjaśnił, że jest to sprawozdanie łączne obejmujące wszystkie </w:t>
      </w:r>
      <w:r w:rsidR="00E1054C">
        <w:rPr>
          <w:rFonts w:cstheme="minorHAnsi"/>
        </w:rPr>
        <w:t xml:space="preserve">aktywa i pasywa wszystkich 993 </w:t>
      </w:r>
      <w:r w:rsidR="006679E2">
        <w:rPr>
          <w:rFonts w:cstheme="minorHAnsi"/>
        </w:rPr>
        <w:t xml:space="preserve">jednostek organizacyjnych miasta. </w:t>
      </w:r>
      <w:r w:rsidR="00A33631">
        <w:rPr>
          <w:rFonts w:cstheme="minorHAnsi"/>
        </w:rPr>
        <w:t xml:space="preserve">Powiedział, że każda z jednostek była zobowiązana według </w:t>
      </w:r>
      <w:r w:rsidR="00A33631">
        <w:rPr>
          <w:rFonts w:cstheme="minorHAnsi"/>
        </w:rPr>
        <w:lastRenderedPageBreak/>
        <w:t>ustalonych zasad sporządzić sprawozdanie finansowe, następnie na tej podstawie Biuro Księgowości i Kontrasygnaty</w:t>
      </w:r>
      <w:r w:rsidR="00D73B4D">
        <w:rPr>
          <w:rFonts w:cstheme="minorHAnsi"/>
        </w:rPr>
        <w:t>, które</w:t>
      </w:r>
      <w:r w:rsidR="00A33631">
        <w:rPr>
          <w:rFonts w:cstheme="minorHAnsi"/>
        </w:rPr>
        <w:t xml:space="preserve"> przygotowało łączne </w:t>
      </w:r>
      <w:r w:rsidR="000F5E09">
        <w:rPr>
          <w:rFonts w:cstheme="minorHAnsi"/>
        </w:rPr>
        <w:t>sprawozdanie dla całego miasta.</w:t>
      </w:r>
    </w:p>
    <w:p w:rsidR="00A33631" w:rsidRPr="00B122EF" w:rsidRDefault="00A33631" w:rsidP="000F5E09">
      <w:pPr>
        <w:spacing w:after="240" w:line="300" w:lineRule="auto"/>
        <w:rPr>
          <w:rFonts w:cstheme="minorHAnsi"/>
        </w:rPr>
      </w:pPr>
      <w:r>
        <w:rPr>
          <w:rFonts w:cstheme="minorHAnsi"/>
          <w:bCs/>
        </w:rPr>
        <w:t>S</w:t>
      </w:r>
      <w:r w:rsidRPr="00B122EF">
        <w:rPr>
          <w:rFonts w:cstheme="minorHAnsi"/>
          <w:bCs/>
        </w:rPr>
        <w:t>prawozdanie finansowe</w:t>
      </w:r>
      <w:r w:rsidRPr="00B122EF">
        <w:rPr>
          <w:rFonts w:cstheme="minorHAnsi"/>
        </w:rPr>
        <w:t xml:space="preserve"> </w:t>
      </w:r>
      <w:r w:rsidRPr="00B122EF">
        <w:rPr>
          <w:rFonts w:cstheme="minorHAnsi"/>
          <w:bCs/>
        </w:rPr>
        <w:t>Mia</w:t>
      </w:r>
      <w:r w:rsidR="00102B77">
        <w:rPr>
          <w:rFonts w:cstheme="minorHAnsi"/>
          <w:bCs/>
        </w:rPr>
        <w:t>sta Stołecznego Warszawy za 2022</w:t>
      </w:r>
      <w:r w:rsidRPr="00B122EF">
        <w:rPr>
          <w:rFonts w:cstheme="minorHAnsi"/>
          <w:bCs/>
        </w:rPr>
        <w:t xml:space="preserve"> r. składa się z:</w:t>
      </w:r>
    </w:p>
    <w:p w:rsidR="00A33631" w:rsidRPr="00B122EF" w:rsidRDefault="00A33631" w:rsidP="00BF05CD">
      <w:pPr>
        <w:pStyle w:val="Bezodstpw"/>
        <w:numPr>
          <w:ilvl w:val="0"/>
          <w:numId w:val="3"/>
        </w:numPr>
        <w:tabs>
          <w:tab w:val="clear" w:pos="3338"/>
        </w:tabs>
        <w:spacing w:line="300" w:lineRule="auto"/>
        <w:ind w:left="425" w:hanging="425"/>
      </w:pPr>
      <w:r w:rsidRPr="00B122EF">
        <w:t>bilansu z wykonania budżetu</w:t>
      </w:r>
      <w:r w:rsidR="000F5E09">
        <w:t>,</w:t>
      </w:r>
    </w:p>
    <w:p w:rsidR="00A33631" w:rsidRPr="00B122EF" w:rsidRDefault="00A33631" w:rsidP="00BF05CD">
      <w:pPr>
        <w:pStyle w:val="Bezodstpw"/>
        <w:numPr>
          <w:ilvl w:val="0"/>
          <w:numId w:val="3"/>
        </w:numPr>
        <w:tabs>
          <w:tab w:val="clear" w:pos="3338"/>
        </w:tabs>
        <w:spacing w:line="300" w:lineRule="auto"/>
        <w:ind w:left="425" w:hanging="425"/>
      </w:pPr>
      <w:r w:rsidRPr="00B122EF">
        <w:t>łącznego bilansu</w:t>
      </w:r>
      <w:r w:rsidR="000F5E09">
        <w:t>,</w:t>
      </w:r>
    </w:p>
    <w:p w:rsidR="00A33631" w:rsidRPr="00B122EF" w:rsidRDefault="00A33631" w:rsidP="00BF05CD">
      <w:pPr>
        <w:pStyle w:val="Bezodstpw"/>
        <w:numPr>
          <w:ilvl w:val="0"/>
          <w:numId w:val="3"/>
        </w:numPr>
        <w:tabs>
          <w:tab w:val="clear" w:pos="3338"/>
        </w:tabs>
        <w:spacing w:line="300" w:lineRule="auto"/>
        <w:ind w:left="425" w:hanging="425"/>
      </w:pPr>
      <w:r w:rsidRPr="00B122EF">
        <w:t>łącznego rachunku zysków i strat</w:t>
      </w:r>
      <w:r w:rsidR="000F5E09">
        <w:t>,</w:t>
      </w:r>
    </w:p>
    <w:p w:rsidR="00A33631" w:rsidRPr="00B122EF" w:rsidRDefault="00A33631" w:rsidP="00BF05CD">
      <w:pPr>
        <w:pStyle w:val="Bezodstpw"/>
        <w:numPr>
          <w:ilvl w:val="0"/>
          <w:numId w:val="3"/>
        </w:numPr>
        <w:tabs>
          <w:tab w:val="clear" w:pos="3338"/>
        </w:tabs>
        <w:spacing w:line="300" w:lineRule="auto"/>
        <w:ind w:left="425" w:hanging="425"/>
      </w:pPr>
      <w:r w:rsidRPr="00B122EF">
        <w:t>zestawienia zmian w łącznym funduszu jednostki</w:t>
      </w:r>
      <w:r w:rsidR="000F5E09">
        <w:t>,</w:t>
      </w:r>
    </w:p>
    <w:p w:rsidR="00A33631" w:rsidRPr="00B122EF" w:rsidRDefault="000F5E09" w:rsidP="00BF05CD">
      <w:pPr>
        <w:pStyle w:val="Bezodstpw"/>
        <w:numPr>
          <w:ilvl w:val="0"/>
          <w:numId w:val="3"/>
        </w:numPr>
        <w:tabs>
          <w:tab w:val="clear" w:pos="3338"/>
        </w:tabs>
        <w:spacing w:after="240" w:line="300" w:lineRule="auto"/>
        <w:ind w:left="425" w:hanging="425"/>
      </w:pPr>
      <w:r>
        <w:t>informacji dodatkowej.</w:t>
      </w:r>
    </w:p>
    <w:p w:rsidR="00102B77" w:rsidRPr="00102B77" w:rsidRDefault="00102B77" w:rsidP="000F5E09">
      <w:pPr>
        <w:spacing w:after="240" w:line="300" w:lineRule="auto"/>
        <w:rPr>
          <w:rFonts w:cstheme="minorHAnsi"/>
        </w:rPr>
      </w:pPr>
      <w:r w:rsidRPr="00102B77">
        <w:rPr>
          <w:rFonts w:cstheme="minorHAnsi"/>
        </w:rPr>
        <w:t>Wyjaśnił, że bilans wykonania budżetu odnosi się do stanu budżetu i pokazuje nadwyżkę z wykonania budżetu w wysokości 496 645 097, 88 zł. Łączny bilans m.st. Warszawy zamyka się suma bilansową w wysokości 42 895 242 312, 10 zł. Jeżeli chodzi o łączny rachunek zysków i strat, poinformował, że zysk miasta w 2022 r. wyniósł 4.681 753 001,24 zł. Łączne zestawienie zmian w funduszu m.st. Warszawy wskazało fundusz w wysokości 38 700 617 962,74 zł. Poinformował, że ważnym elementem jest informacja dodatkowa, która opisuje według przyjętej polityki rachunkowości pozycje ujęte w sprawozdaniu finansowym. Zwrócił uwagę na kluczowe pozycje w sprawozdaniu tzn. takie gdzie miasto jest zobowiązane według polityki rachunkowości tworzyć rezerwy w ciężar kosztów funkcjonowania jednostki na przyszłe zdarzenia. Wartość takich rezerw ujęta w sprawozdaniu finansowym miasta za 2022 r. wyniosła 1.995 137 077,18 zł, w tym m.in. rezerwy na odszkodowania związane z uchwaleniem planu miejscowego zagospodarowania – 413 653 610, 45 zł. Skarbnik powiedział także, iż na inne rezerwy wykazane w sprawozdaniu finansowym m.st. Warszawy w kwocie 1 188 058 677, 16 zł składają się m. in. rezerwy z tytułu spraw o użytkowanie wieczyste, rezerwy z tytułu roszczeń spornych czy też rezerwy z tytułu spraw o zasiedzenie. Poinformował, że drugim istotnym elementem są potencjalne przyszłe koszty jednostki, czyli zobowiązania warunkowe. Wyjaśnił, że są to koszty jakie jednostka będzie ponosiła, jeżeli zaistnieją warunki do ich spełnienia. Następnie poinformował, że badanie sprawozdania finansowego m.st. Warszawy za 2022 r. przeprowadzone zostało na podstawie zawartej umowy Nr KK/B/XI/1/1/2/2021 z dnia 15 stycznia 2021 r. o badanie sprawozdania finansowego m.st. Warszawy za lata 2020 -2024, przez Konsorcjum, w składzie:</w:t>
      </w:r>
    </w:p>
    <w:p w:rsidR="00102B77" w:rsidRPr="00102B77" w:rsidRDefault="00102B77" w:rsidP="00102B77">
      <w:pPr>
        <w:spacing w:after="0" w:line="300" w:lineRule="auto"/>
        <w:rPr>
          <w:rFonts w:cstheme="minorHAnsi"/>
        </w:rPr>
      </w:pPr>
      <w:r w:rsidRPr="00102B77">
        <w:rPr>
          <w:rFonts w:cstheme="minorHAnsi"/>
        </w:rPr>
        <w:t>1)</w:t>
      </w:r>
      <w:r w:rsidRPr="00102B77">
        <w:rPr>
          <w:rFonts w:cstheme="minorHAnsi"/>
        </w:rPr>
        <w:tab/>
        <w:t>KPW Audytor Sp. z o.o.,</w:t>
      </w:r>
    </w:p>
    <w:p w:rsidR="00102B77" w:rsidRPr="00102B77" w:rsidRDefault="00102B77" w:rsidP="00102B77">
      <w:pPr>
        <w:spacing w:after="0" w:line="300" w:lineRule="auto"/>
        <w:rPr>
          <w:rFonts w:cstheme="minorHAnsi"/>
        </w:rPr>
      </w:pPr>
      <w:r w:rsidRPr="00102B77">
        <w:rPr>
          <w:rFonts w:cstheme="minorHAnsi"/>
        </w:rPr>
        <w:t>2)</w:t>
      </w:r>
      <w:r w:rsidRPr="00102B77">
        <w:rPr>
          <w:rFonts w:cstheme="minorHAnsi"/>
        </w:rPr>
        <w:tab/>
        <w:t>Instytut Studiów Podatkowych Modzelewski i Wspólnicy –  Audyt Sp. z o.o.,</w:t>
      </w:r>
    </w:p>
    <w:p w:rsidR="00102B77" w:rsidRPr="00102B77" w:rsidRDefault="00102B77" w:rsidP="000F5E09">
      <w:pPr>
        <w:spacing w:after="240" w:line="300" w:lineRule="auto"/>
        <w:rPr>
          <w:rFonts w:cstheme="minorHAnsi"/>
        </w:rPr>
      </w:pPr>
      <w:r w:rsidRPr="00102B77">
        <w:rPr>
          <w:rFonts w:cstheme="minorHAnsi"/>
        </w:rPr>
        <w:t>3)</w:t>
      </w:r>
      <w:r w:rsidRPr="00102B77">
        <w:rPr>
          <w:rFonts w:cstheme="minorHAnsi"/>
        </w:rPr>
        <w:tab/>
        <w:t xml:space="preserve">Pol </w:t>
      </w:r>
      <w:proofErr w:type="spellStart"/>
      <w:r w:rsidRPr="00102B77">
        <w:rPr>
          <w:rFonts w:cstheme="minorHAnsi"/>
        </w:rPr>
        <w:t>Tax</w:t>
      </w:r>
      <w:proofErr w:type="spellEnd"/>
      <w:r w:rsidRPr="00102B77">
        <w:rPr>
          <w:rFonts w:cstheme="minorHAnsi"/>
        </w:rPr>
        <w:t xml:space="preserve"> 2 Sp. z o.o.</w:t>
      </w:r>
    </w:p>
    <w:p w:rsidR="00102B77" w:rsidRPr="00102B77" w:rsidRDefault="00102B77" w:rsidP="000F5E09">
      <w:pPr>
        <w:spacing w:after="240" w:line="300" w:lineRule="auto"/>
        <w:rPr>
          <w:rFonts w:cstheme="minorHAnsi"/>
        </w:rPr>
      </w:pPr>
      <w:r w:rsidRPr="00102B77">
        <w:rPr>
          <w:rFonts w:cstheme="minorHAnsi"/>
        </w:rPr>
        <w:t xml:space="preserve">Zgodnie z umową Konsorcjum badanie sprawozdania finansowego m.st. Warszawy za 2022 rok przeprowadziła firma KPW Audytor Sp. z o.o. oraz Instytut Studiów Podatkowych Modzelewski i Wspólnicy- Audyt Sp. z o.o. Badanie trwało od 20 października 2022 r. do 12 maja 2023 r. W oparciu o przeprowadzone badanie sprawozdania finansowego m.st. Warszawy za 2022 r. firma KPW Audytor Sp. z o.o. i Instytut Studiów Podatkowych Modzelewski i Wspólnicy –  Audyt Sp. z o.o. wydała w dniu 12 maja 2023 r. Sprawozdanie niezależnego biegłego rewidenta z badania rocznego sprawozdania finansowego zawierające opinię bez zastrzeżeń. Zgodnie z opinią wydaną przez biegłego rewidenta sprawozdanie finansowe m.st. Warszawy za 2022 rok przedstawia rzetelny i jasny obraz sytuacji </w:t>
      </w:r>
      <w:r w:rsidRPr="00102B77">
        <w:rPr>
          <w:rFonts w:cstheme="minorHAnsi"/>
        </w:rPr>
        <w:lastRenderedPageBreak/>
        <w:t>majątkowej i finansowej Jednostki na dzień 31 grudnia 2022 roku; jest zgodne co do formy i treści z obowiązującymi Jednostkę przepisami prawa oraz jej statutem; zostało sporządzone na podstawie prawidłowo prowadzonych ksiąg rachunkowych.</w:t>
      </w:r>
    </w:p>
    <w:p w:rsidR="00102B77" w:rsidRDefault="00102B77" w:rsidP="000F5E09">
      <w:pPr>
        <w:spacing w:after="240" w:line="300" w:lineRule="auto"/>
        <w:jc w:val="right"/>
        <w:rPr>
          <w:rFonts w:cstheme="minorHAnsi"/>
        </w:rPr>
      </w:pPr>
      <w:r w:rsidRPr="00102B77">
        <w:rPr>
          <w:rFonts w:cstheme="minorHAnsi"/>
        </w:rPr>
        <w:t>Prezentacja znajduje się w mate</w:t>
      </w:r>
      <w:r>
        <w:rPr>
          <w:rFonts w:cstheme="minorHAnsi"/>
        </w:rPr>
        <w:t>riałach Komisji.</w:t>
      </w:r>
    </w:p>
    <w:p w:rsidR="003B43C8" w:rsidRPr="00BC0CFA" w:rsidRDefault="00102B77" w:rsidP="000F5E09">
      <w:pPr>
        <w:spacing w:after="240" w:line="300" w:lineRule="auto"/>
        <w:jc w:val="both"/>
        <w:rPr>
          <w:rFonts w:ascii="Calibri" w:eastAsia="Calibri" w:hAnsi="Calibri" w:cs="Calibri"/>
        </w:rPr>
      </w:pPr>
      <w:r w:rsidRPr="00102B77">
        <w:rPr>
          <w:rFonts w:ascii="Calibri" w:eastAsia="Calibri" w:hAnsi="Calibri" w:cs="Calibri"/>
          <w:b/>
        </w:rPr>
        <w:t xml:space="preserve">Pan Stanisław </w:t>
      </w:r>
      <w:proofErr w:type="spellStart"/>
      <w:r w:rsidRPr="00102B77">
        <w:rPr>
          <w:rFonts w:ascii="Calibri" w:eastAsia="Calibri" w:hAnsi="Calibri" w:cs="Calibri"/>
          <w:b/>
        </w:rPr>
        <w:t>Michrowski</w:t>
      </w:r>
      <w:proofErr w:type="spellEnd"/>
      <w:r w:rsidRPr="00102B77">
        <w:rPr>
          <w:rFonts w:ascii="Calibri" w:eastAsia="Calibri" w:hAnsi="Calibri" w:cs="Calibri"/>
          <w:b/>
        </w:rPr>
        <w:t xml:space="preserve"> Biegły Rewident</w:t>
      </w:r>
      <w:r w:rsidRPr="00102B77">
        <w:rPr>
          <w:rFonts w:ascii="Calibri" w:eastAsia="Calibri" w:hAnsi="Calibri" w:cs="Calibri"/>
        </w:rPr>
        <w:t xml:space="preserve"> powiedział, że reprezentuje firmę ISP-Audyt, która wraz z KPW Audytor sp. z o.o. jest odpowiedzialna za badanie łącznego sprawozdania finansowego m.st. Warszawy za 2022 r. Poinformował, że badanych było 40 jednostek miasta, wybranych i zaakceptowanych do badania przez m.st. Warszawa oraz odbyły się przeglądy w 18 jednostkach. </w:t>
      </w:r>
      <w:r w:rsidRPr="00102B77">
        <w:rPr>
          <w:rFonts w:ascii="Calibri" w:eastAsia="Calibri" w:hAnsi="Calibri" w:cs="Calibri"/>
          <w:bCs/>
        </w:rPr>
        <w:t xml:space="preserve">Powiedział, że we wszystkich badanych jednostkach organizacyjnych miasta nie zidentyfikowano żadnych istotnych nieprawidłowości, których konsekwencją byłaby konieczność wprowadzenia modyfikacji do badań jednostkowych, czy też badania łącznego sprawozdania finansowego miasta. </w:t>
      </w:r>
      <w:r w:rsidRPr="00102B77">
        <w:rPr>
          <w:rFonts w:ascii="Calibri" w:eastAsia="Calibri" w:hAnsi="Calibri" w:cs="Calibri"/>
        </w:rPr>
        <w:t xml:space="preserve">Współpraca z poszczególnymi Biurami oraz jednostkami budżetowymi układała się dobrze. </w:t>
      </w:r>
      <w:r w:rsidR="00BC0CFA">
        <w:rPr>
          <w:rFonts w:ascii="Calibri" w:eastAsia="Calibri" w:hAnsi="Calibri" w:cs="Calibri"/>
          <w:bCs/>
        </w:rPr>
        <w:t>P</w:t>
      </w:r>
      <w:r w:rsidR="00BC0CFA" w:rsidRPr="00BC0CFA">
        <w:rPr>
          <w:rFonts w:ascii="Calibri" w:eastAsia="Calibri" w:hAnsi="Calibri" w:cs="Calibri"/>
          <w:bCs/>
        </w:rPr>
        <w:t xml:space="preserve">rzypomniał, że do Komitetu Audytu dla m.st. Warszawy zostało wystosowane dodatkowe sprawozdanie dotyczące badania łącznego sprawozdania finansowego za okres od dnia 1 stycznia 2022 r. do 31 grudnia 2022 r., w którym to zostały zawarte szczegółowe dane w zakresie badania. </w:t>
      </w:r>
      <w:r w:rsidR="00BC0CFA" w:rsidRPr="00BC0CFA">
        <w:rPr>
          <w:rFonts w:ascii="Calibri" w:eastAsia="Calibri" w:hAnsi="Calibri" w:cs="Calibri"/>
        </w:rPr>
        <w:t>Poinformował, iż główną pozycją podlegającą badaniu były środki trwałe stanowiące około 81% sumy bilansowej, a także długoterminowe aktywa finansowe (13% sumy bilansowej) i rezerwy na zobowiązania (4,6 % sumy bilansowej) oraz zobowiązania finansowe. Oprócz tego badano poprawność arytmetyczną łączenia jednostek organizacyjnych, których jest 993.</w:t>
      </w:r>
      <w:r w:rsidR="00BC0CFA">
        <w:rPr>
          <w:rFonts w:ascii="Calibri" w:eastAsia="Calibri" w:hAnsi="Calibri" w:cs="Calibri"/>
        </w:rPr>
        <w:t xml:space="preserve"> Na koniec swojej wypowiedzi p</w:t>
      </w:r>
      <w:r w:rsidRPr="00102B77">
        <w:rPr>
          <w:rFonts w:ascii="Calibri" w:eastAsia="Calibri" w:hAnsi="Calibri" w:cs="Calibri"/>
          <w:bCs/>
        </w:rPr>
        <w:t xml:space="preserve">odziękował przedstawicielom Urzędu m.st. Warszawy tj. m.in. Skarbnikowi m.st. Warszawy, Zastępcom Skarbnika m.st. Warszawy oraz przedstawicielom Biura Księgowości i Kontrasygnaty za </w:t>
      </w:r>
      <w:r w:rsidR="000F5E09" w:rsidRPr="000F5E09">
        <w:rPr>
          <w:rFonts w:ascii="Calibri" w:eastAsia="Calibri" w:hAnsi="Calibri" w:cs="Calibri"/>
          <w:bCs/>
        </w:rPr>
        <w:t>aktywną współpracę w zakresie umożliwienia audytorom badania sprawozdania finansowego.</w:t>
      </w:r>
    </w:p>
    <w:p w:rsidR="00102B77" w:rsidRPr="00102B77" w:rsidRDefault="00F92542" w:rsidP="00E1054C">
      <w:pPr>
        <w:spacing w:after="240" w:line="300" w:lineRule="auto"/>
        <w:rPr>
          <w:rFonts w:ascii="Calibri" w:eastAsia="Calibri" w:hAnsi="Calibri" w:cs="Calibri"/>
        </w:rPr>
      </w:pPr>
      <w:r w:rsidRPr="00387F17">
        <w:rPr>
          <w:rFonts w:cstheme="minorHAnsi"/>
          <w:b/>
        </w:rPr>
        <w:t xml:space="preserve">Przewodniczący Komisji </w:t>
      </w:r>
      <w:r w:rsidR="00234667">
        <w:rPr>
          <w:rFonts w:cstheme="minorHAnsi"/>
          <w:b/>
        </w:rPr>
        <w:t xml:space="preserve">Maciej Wyszyński </w:t>
      </w:r>
      <w:r w:rsidRPr="00387F17">
        <w:rPr>
          <w:rFonts w:cstheme="minorHAnsi"/>
        </w:rPr>
        <w:t xml:space="preserve">poinformował, że </w:t>
      </w:r>
      <w:r w:rsidR="00102B77" w:rsidRPr="00102B77">
        <w:rPr>
          <w:rFonts w:ascii="Calibri" w:eastAsia="Times New Roman" w:hAnsi="Calibri" w:cs="Calibri"/>
          <w:lang w:eastAsia="pl-PL"/>
        </w:rPr>
        <w:t>Komisja Rewizyjna odbyła pięć posiedzeń poświęconych badaniu sprawozdania z wykonania budżetu za 2022 rok tj. 4 i 19 kwietnia br. oraz 10, 17 i 31 maja br.</w:t>
      </w:r>
      <w:r w:rsidR="000F5E09">
        <w:rPr>
          <w:rFonts w:ascii="Calibri" w:eastAsia="Calibri" w:hAnsi="Calibri" w:cs="Calibri"/>
        </w:rPr>
        <w:t xml:space="preserve"> </w:t>
      </w:r>
      <w:r w:rsidR="00102B77" w:rsidRPr="00102B77">
        <w:rPr>
          <w:rFonts w:ascii="Calibri" w:eastAsia="Calibri" w:hAnsi="Calibri" w:cs="Times New Roman"/>
        </w:rPr>
        <w:t xml:space="preserve">Komisja zapoznała się z </w:t>
      </w:r>
      <w:r w:rsidR="00102B77" w:rsidRPr="00102B77">
        <w:rPr>
          <w:rFonts w:ascii="Calibri" w:eastAsia="Calibri" w:hAnsi="Calibri" w:cs="Calibri"/>
        </w:rPr>
        <w:t>następującymi dokumentami:</w:t>
      </w:r>
    </w:p>
    <w:p w:rsidR="00102B77" w:rsidRPr="00102B77" w:rsidRDefault="000F5E09" w:rsidP="000F5E09">
      <w:pPr>
        <w:spacing w:after="240" w:line="300" w:lineRule="auto"/>
        <w:contextualSpacing/>
        <w:rPr>
          <w:rFonts w:ascii="Calibri" w:eastAsia="Calibri" w:hAnsi="Calibri" w:cs="Calibri"/>
        </w:rPr>
      </w:pPr>
      <w:r>
        <w:rPr>
          <w:rFonts w:ascii="Calibri" w:eastAsia="Calibri" w:hAnsi="Calibri" w:cs="Calibri"/>
        </w:rPr>
        <w:t xml:space="preserve"> - </w:t>
      </w:r>
      <w:r w:rsidR="00102B77" w:rsidRPr="00102B77">
        <w:rPr>
          <w:rFonts w:ascii="Calibri" w:eastAsia="Calibri" w:hAnsi="Calibri" w:cs="Calibri"/>
        </w:rPr>
        <w:t>sprawozdaniem rocznym z wykonania budżetu wraz z rozszerzoną wersją tabeli nr 4 –wydatki majątkowe m.st. Warszawy przesłaną w dniu dzisiejszym przez Skarbnika m.st. Warszawy;</w:t>
      </w:r>
    </w:p>
    <w:p w:rsidR="00102B77" w:rsidRPr="00102B77" w:rsidRDefault="000F5E09" w:rsidP="000F5E09">
      <w:pPr>
        <w:spacing w:after="240" w:line="300" w:lineRule="auto"/>
        <w:contextualSpacing/>
        <w:rPr>
          <w:rFonts w:ascii="Calibri" w:eastAsia="Calibri" w:hAnsi="Calibri" w:cs="Calibri"/>
        </w:rPr>
      </w:pPr>
      <w:r>
        <w:rPr>
          <w:rFonts w:ascii="Calibri" w:eastAsia="Calibri" w:hAnsi="Calibri" w:cs="Calibri"/>
        </w:rPr>
        <w:t xml:space="preserve"> - </w:t>
      </w:r>
      <w:r w:rsidR="00102B77" w:rsidRPr="00102B77">
        <w:rPr>
          <w:rFonts w:ascii="Calibri" w:eastAsia="Calibri" w:hAnsi="Calibri" w:cs="Calibri"/>
        </w:rPr>
        <w:t>z uchwałą Nr 3.e./374/2023 Składu Orzekającego Regionalnej Izby Obrachunkowej w Warszawie z dnia 28 kwietnia 2023 r. w sprawie wydania opinii o przedłożonym przez Prezydenta Miasta Stołecznego Warszawy sprawozdaniu z wykonania budżetu za 2022 rok i informacją uzupełn</w:t>
      </w:r>
      <w:r>
        <w:rPr>
          <w:rFonts w:ascii="Calibri" w:eastAsia="Calibri" w:hAnsi="Calibri" w:cs="Calibri"/>
        </w:rPr>
        <w:t>iającą Skarbnika m.st. Warszawy;</w:t>
      </w:r>
    </w:p>
    <w:p w:rsidR="00102B77" w:rsidRPr="00102B77" w:rsidRDefault="000F5E09" w:rsidP="000F5E09">
      <w:pPr>
        <w:spacing w:after="240" w:line="300" w:lineRule="auto"/>
        <w:contextualSpacing/>
        <w:rPr>
          <w:rFonts w:ascii="Calibri" w:eastAsia="Calibri" w:hAnsi="Calibri" w:cs="Calibri"/>
        </w:rPr>
      </w:pPr>
      <w:r>
        <w:rPr>
          <w:rFonts w:ascii="Calibri" w:eastAsia="Calibri" w:hAnsi="Calibri" w:cs="Calibri"/>
        </w:rPr>
        <w:t xml:space="preserve"> - sprawozdaniem finansowym;</w:t>
      </w:r>
    </w:p>
    <w:p w:rsidR="00102B77" w:rsidRPr="000F5E09" w:rsidRDefault="000F5E09" w:rsidP="000F5E09">
      <w:pPr>
        <w:spacing w:after="240" w:line="300" w:lineRule="auto"/>
        <w:rPr>
          <w:rFonts w:ascii="Calibri" w:eastAsia="Calibri" w:hAnsi="Calibri" w:cs="Calibri"/>
        </w:rPr>
      </w:pPr>
      <w:r>
        <w:rPr>
          <w:rFonts w:ascii="Calibri" w:eastAsia="Calibri" w:hAnsi="Calibri" w:cs="Calibri"/>
        </w:rPr>
        <w:t xml:space="preserve"> - </w:t>
      </w:r>
      <w:r w:rsidR="00102B77" w:rsidRPr="00102B77">
        <w:rPr>
          <w:rFonts w:ascii="Calibri" w:eastAsia="Calibri" w:hAnsi="Calibri" w:cs="Calibri"/>
        </w:rPr>
        <w:t>sprawozdaniem niezależnego biegłego rewidenta z badania rocznego sprawozdania finansowego</w:t>
      </w:r>
      <w:r>
        <w:rPr>
          <w:rFonts w:ascii="Calibri" w:eastAsia="Calibri" w:hAnsi="Calibri" w:cs="Calibri"/>
        </w:rPr>
        <w:t>.</w:t>
      </w:r>
    </w:p>
    <w:p w:rsidR="00102B77" w:rsidRPr="00102B77" w:rsidRDefault="000F5E09" w:rsidP="00E1054C">
      <w:pPr>
        <w:spacing w:after="240" w:line="300" w:lineRule="auto"/>
        <w:rPr>
          <w:rFonts w:ascii="Calibri" w:eastAsia="Calibri" w:hAnsi="Calibri" w:cs="Calibri"/>
        </w:rPr>
      </w:pPr>
      <w:r>
        <w:rPr>
          <w:rFonts w:ascii="Calibri" w:eastAsia="Calibri" w:hAnsi="Calibri" w:cs="Calibri"/>
        </w:rPr>
        <w:t>Ponadto Komisja spotkała się z:</w:t>
      </w:r>
    </w:p>
    <w:p w:rsidR="00102B77" w:rsidRPr="00102B77" w:rsidRDefault="000F5E09" w:rsidP="000F5E09">
      <w:pPr>
        <w:spacing w:after="240" w:line="300" w:lineRule="auto"/>
        <w:contextualSpacing/>
        <w:rPr>
          <w:rFonts w:ascii="Calibri" w:eastAsia="Times New Roman" w:hAnsi="Calibri" w:cs="Calibri"/>
          <w:lang w:eastAsia="pl-PL"/>
        </w:rPr>
      </w:pPr>
      <w:r>
        <w:rPr>
          <w:rFonts w:ascii="Calibri" w:eastAsia="Times New Roman" w:hAnsi="Calibri" w:cs="Calibri"/>
          <w:lang w:eastAsia="pl-PL"/>
        </w:rPr>
        <w:t xml:space="preserve"> - </w:t>
      </w:r>
      <w:r w:rsidR="00102B77" w:rsidRPr="00102B77">
        <w:rPr>
          <w:rFonts w:ascii="Calibri" w:eastAsia="Times New Roman" w:hAnsi="Calibri" w:cs="Calibri"/>
          <w:lang w:eastAsia="pl-PL"/>
        </w:rPr>
        <w:t>Skarbnikiem m.st. Warszawy;</w:t>
      </w:r>
    </w:p>
    <w:p w:rsidR="00102B77" w:rsidRPr="00102B77" w:rsidRDefault="000F5E09" w:rsidP="000F5E09">
      <w:pPr>
        <w:spacing w:after="240" w:line="300" w:lineRule="auto"/>
        <w:contextualSpacing/>
        <w:rPr>
          <w:rFonts w:ascii="Calibri" w:eastAsia="Times New Roman" w:hAnsi="Calibri" w:cs="Calibri"/>
          <w:lang w:eastAsia="pl-PL"/>
        </w:rPr>
      </w:pPr>
      <w:r>
        <w:rPr>
          <w:rFonts w:ascii="Calibri" w:eastAsia="Times New Roman" w:hAnsi="Calibri" w:cs="Calibri"/>
          <w:lang w:eastAsia="pl-PL"/>
        </w:rPr>
        <w:t xml:space="preserve"> - </w:t>
      </w:r>
      <w:r w:rsidR="00102B77" w:rsidRPr="00102B77">
        <w:rPr>
          <w:rFonts w:ascii="Calibri" w:eastAsia="Times New Roman" w:hAnsi="Calibri" w:cs="Calibri"/>
          <w:lang w:eastAsia="pl-PL"/>
        </w:rPr>
        <w:t xml:space="preserve">Zastępcą Dyrektora Biura Funduszy Europejskich i Polityki Rozwoju; </w:t>
      </w:r>
    </w:p>
    <w:p w:rsidR="00102B77" w:rsidRPr="00102B77" w:rsidRDefault="000F5E09" w:rsidP="000F5E09">
      <w:pPr>
        <w:spacing w:after="240" w:line="300" w:lineRule="auto"/>
        <w:contextualSpacing/>
        <w:rPr>
          <w:rFonts w:ascii="Calibri" w:eastAsia="Times New Roman" w:hAnsi="Calibri" w:cs="Calibri"/>
          <w:lang w:eastAsia="pl-PL"/>
        </w:rPr>
      </w:pPr>
      <w:r>
        <w:rPr>
          <w:rFonts w:ascii="Calibri" w:eastAsia="Times New Roman" w:hAnsi="Calibri" w:cs="Calibri"/>
          <w:lang w:eastAsia="pl-PL"/>
        </w:rPr>
        <w:t xml:space="preserve"> - </w:t>
      </w:r>
      <w:r w:rsidR="00102B77" w:rsidRPr="00102B77">
        <w:rPr>
          <w:rFonts w:ascii="Calibri" w:eastAsia="Times New Roman" w:hAnsi="Calibri" w:cs="Calibri"/>
          <w:lang w:eastAsia="pl-PL"/>
        </w:rPr>
        <w:t>Dyrektorką Biura Gospodarki Odpadami;</w:t>
      </w:r>
    </w:p>
    <w:p w:rsidR="00102B77" w:rsidRPr="00102B77" w:rsidRDefault="000F5E09" w:rsidP="000F5E09">
      <w:pPr>
        <w:spacing w:after="240" w:line="300" w:lineRule="auto"/>
        <w:contextualSpacing/>
        <w:rPr>
          <w:rFonts w:ascii="Calibri" w:eastAsia="Times New Roman" w:hAnsi="Calibri" w:cs="Calibri"/>
          <w:lang w:eastAsia="pl-PL"/>
        </w:rPr>
      </w:pPr>
      <w:r>
        <w:rPr>
          <w:rFonts w:ascii="Calibri" w:eastAsia="Times New Roman" w:hAnsi="Calibri" w:cs="Calibri"/>
          <w:lang w:eastAsia="pl-PL"/>
        </w:rPr>
        <w:lastRenderedPageBreak/>
        <w:t xml:space="preserve"> - </w:t>
      </w:r>
      <w:r w:rsidR="00102B77" w:rsidRPr="00102B77">
        <w:rPr>
          <w:rFonts w:ascii="Calibri" w:eastAsia="Times New Roman" w:hAnsi="Calibri" w:cs="Calibri"/>
          <w:lang w:eastAsia="pl-PL"/>
        </w:rPr>
        <w:t>Dyrektorem Stołecznego Centrum Bezpieczeństwa;</w:t>
      </w:r>
    </w:p>
    <w:p w:rsidR="00102B77" w:rsidRPr="00102B77" w:rsidRDefault="000F5E09" w:rsidP="000F5E09">
      <w:pPr>
        <w:spacing w:after="240" w:line="300" w:lineRule="auto"/>
        <w:contextualSpacing/>
        <w:rPr>
          <w:rFonts w:ascii="Calibri" w:eastAsia="Times New Roman" w:hAnsi="Calibri" w:cs="Calibri"/>
          <w:lang w:eastAsia="pl-PL"/>
        </w:rPr>
      </w:pPr>
      <w:r>
        <w:rPr>
          <w:rFonts w:ascii="Calibri" w:eastAsia="Times New Roman" w:hAnsi="Calibri" w:cs="Calibri"/>
          <w:lang w:eastAsia="pl-PL"/>
        </w:rPr>
        <w:t xml:space="preserve"> - </w:t>
      </w:r>
      <w:r w:rsidR="00102B77" w:rsidRPr="00102B77">
        <w:rPr>
          <w:rFonts w:ascii="Calibri" w:eastAsia="Times New Roman" w:hAnsi="Calibri" w:cs="Calibri"/>
          <w:lang w:eastAsia="pl-PL"/>
        </w:rPr>
        <w:t>Dyrektorką Zarządu Zielni m.st. Warszawy;</w:t>
      </w:r>
    </w:p>
    <w:p w:rsidR="00102B77" w:rsidRPr="00102B77" w:rsidRDefault="000F5E09" w:rsidP="000F5E09">
      <w:pPr>
        <w:spacing w:after="240" w:line="300" w:lineRule="auto"/>
        <w:contextualSpacing/>
        <w:rPr>
          <w:rFonts w:ascii="Calibri" w:eastAsia="Times New Roman" w:hAnsi="Calibri" w:cs="Calibri"/>
          <w:lang w:eastAsia="pl-PL"/>
        </w:rPr>
      </w:pPr>
      <w:r>
        <w:rPr>
          <w:rFonts w:ascii="Calibri" w:eastAsia="Times New Roman" w:hAnsi="Calibri" w:cs="Calibri"/>
          <w:lang w:eastAsia="pl-PL"/>
        </w:rPr>
        <w:t xml:space="preserve"> - </w:t>
      </w:r>
      <w:r w:rsidR="00102B77" w:rsidRPr="00102B77">
        <w:rPr>
          <w:rFonts w:ascii="Calibri" w:eastAsia="Times New Roman" w:hAnsi="Calibri" w:cs="Calibri"/>
          <w:lang w:eastAsia="pl-PL"/>
        </w:rPr>
        <w:t>Przedstawicielami Zarządu Dzielnicy Bielany;</w:t>
      </w:r>
    </w:p>
    <w:p w:rsidR="00102B77" w:rsidRPr="00102B77" w:rsidRDefault="000F5E09" w:rsidP="000F5E09">
      <w:pPr>
        <w:spacing w:after="240" w:line="300" w:lineRule="auto"/>
        <w:contextualSpacing/>
        <w:rPr>
          <w:rFonts w:ascii="Calibri" w:eastAsia="Times New Roman" w:hAnsi="Calibri" w:cs="Calibri"/>
          <w:lang w:eastAsia="pl-PL"/>
        </w:rPr>
      </w:pPr>
      <w:r>
        <w:rPr>
          <w:rFonts w:ascii="Calibri" w:eastAsia="Times New Roman" w:hAnsi="Calibri" w:cs="Calibri"/>
          <w:lang w:eastAsia="pl-PL"/>
        </w:rPr>
        <w:t xml:space="preserve"> - </w:t>
      </w:r>
      <w:r w:rsidR="00102B77" w:rsidRPr="00102B77">
        <w:rPr>
          <w:rFonts w:ascii="Calibri" w:eastAsia="Times New Roman" w:hAnsi="Calibri" w:cs="Calibri"/>
          <w:lang w:eastAsia="pl-PL"/>
        </w:rPr>
        <w:t>Przedstawicielami Zarządu Dzielnicy Ursynów;</w:t>
      </w:r>
    </w:p>
    <w:p w:rsidR="00102B77" w:rsidRPr="00102B77" w:rsidRDefault="000F5E09" w:rsidP="000F5E09">
      <w:pPr>
        <w:spacing w:after="240" w:line="300" w:lineRule="auto"/>
        <w:rPr>
          <w:rFonts w:ascii="Calibri" w:eastAsia="Times New Roman" w:hAnsi="Calibri" w:cs="Calibri"/>
          <w:lang w:eastAsia="pl-PL"/>
        </w:rPr>
      </w:pPr>
      <w:r>
        <w:rPr>
          <w:rFonts w:ascii="Calibri" w:eastAsia="Times New Roman" w:hAnsi="Calibri" w:cs="Calibri"/>
          <w:lang w:eastAsia="pl-PL"/>
        </w:rPr>
        <w:t xml:space="preserve"> - </w:t>
      </w:r>
      <w:r w:rsidR="00102B77" w:rsidRPr="00102B77">
        <w:rPr>
          <w:rFonts w:ascii="Calibri" w:eastAsia="Times New Roman" w:hAnsi="Calibri" w:cs="Calibri"/>
          <w:lang w:eastAsia="pl-PL"/>
        </w:rPr>
        <w:t>Przedstawicieli Zarządu Dzielnicy Żoliborz;</w:t>
      </w:r>
    </w:p>
    <w:p w:rsidR="00C31487" w:rsidRPr="00102B77" w:rsidRDefault="00102B77" w:rsidP="00C31487">
      <w:pPr>
        <w:spacing w:after="240" w:line="300" w:lineRule="auto"/>
        <w:rPr>
          <w:rFonts w:ascii="Calibri" w:eastAsia="Calibri" w:hAnsi="Calibri" w:cs="Calibri"/>
        </w:rPr>
      </w:pPr>
      <w:r w:rsidRPr="00102B77">
        <w:rPr>
          <w:rFonts w:ascii="Calibri" w:eastAsia="Times New Roman" w:hAnsi="Calibri" w:cs="Calibri"/>
          <w:lang w:eastAsia="pl-PL"/>
        </w:rPr>
        <w:t>Komisja zapoznała się również z opiniami merytorycznych Komisji Rady m.st. Warszawy oraz z op</w:t>
      </w:r>
      <w:r w:rsidR="000F5E09">
        <w:rPr>
          <w:rFonts w:ascii="Calibri" w:eastAsia="Times New Roman" w:hAnsi="Calibri" w:cs="Calibri"/>
          <w:lang w:eastAsia="pl-PL"/>
        </w:rPr>
        <w:t xml:space="preserve">iniami Dzielnic m.st. Warszawy. Przewodniczący Komisji </w:t>
      </w:r>
      <w:r w:rsidR="000F5E09">
        <w:t>p</w:t>
      </w:r>
      <w:r w:rsidR="007071A1">
        <w:t>owiedział</w:t>
      </w:r>
      <w:r w:rsidR="000F5E09">
        <w:t xml:space="preserve"> również</w:t>
      </w:r>
      <w:r w:rsidR="007071A1">
        <w:t>, że do Komisji Rewizyjnej Rady m.st</w:t>
      </w:r>
      <w:r>
        <w:t>. Warszawy wpłynęła uchwała nr 7/2023</w:t>
      </w:r>
      <w:r w:rsidR="007071A1">
        <w:t xml:space="preserve"> Komitetu Audytu dla m.st. Warszawy</w:t>
      </w:r>
      <w:r w:rsidR="007071A1" w:rsidRPr="007071A1">
        <w:rPr>
          <w:rFonts w:cstheme="minorHAnsi"/>
        </w:rPr>
        <w:t xml:space="preserve"> </w:t>
      </w:r>
      <w:r w:rsidR="007071A1" w:rsidRPr="00C41EA6">
        <w:rPr>
          <w:rFonts w:cstheme="minorHAnsi"/>
        </w:rPr>
        <w:t>w sprawie rekomendowania Komisji Rewizyjnej Rady m.st. Warszawy zatwierdzenia sprawozdania fi</w:t>
      </w:r>
      <w:r>
        <w:rPr>
          <w:rFonts w:cstheme="minorHAnsi"/>
        </w:rPr>
        <w:t>nansowego m.st. Warszawy za 2022</w:t>
      </w:r>
      <w:r w:rsidR="007071A1">
        <w:rPr>
          <w:rFonts w:cstheme="minorHAnsi"/>
        </w:rPr>
        <w:t xml:space="preserve"> r.</w:t>
      </w:r>
      <w:r w:rsidR="000F5E09">
        <w:rPr>
          <w:rFonts w:cstheme="minorHAnsi"/>
        </w:rPr>
        <w:t xml:space="preserve"> Następnie</w:t>
      </w:r>
      <w:r w:rsidR="000F5E09">
        <w:rPr>
          <w:rFonts w:ascii="Calibri" w:eastAsia="Times New Roman" w:hAnsi="Calibri" w:cs="Calibri"/>
          <w:lang w:eastAsia="pl-PL"/>
        </w:rPr>
        <w:t xml:space="preserve"> </w:t>
      </w:r>
      <w:r w:rsidR="00C31487">
        <w:rPr>
          <w:rFonts w:ascii="Calibri" w:eastAsia="Times New Roman" w:hAnsi="Calibri" w:cs="Calibri"/>
          <w:lang w:eastAsia="pl-PL"/>
        </w:rPr>
        <w:t xml:space="preserve">Przewodniczący Komisji poprosił Skarbnika m.st. Warszawy o wyjaśnienie sprawy dot. </w:t>
      </w:r>
      <w:r w:rsidR="00C31487">
        <w:rPr>
          <w:rFonts w:ascii="Calibri" w:eastAsia="Calibri" w:hAnsi="Calibri" w:cs="Calibri"/>
        </w:rPr>
        <w:t>rozszerzonej wersji</w:t>
      </w:r>
      <w:r w:rsidR="00C31487" w:rsidRPr="00102B77">
        <w:rPr>
          <w:rFonts w:ascii="Calibri" w:eastAsia="Calibri" w:hAnsi="Calibri" w:cs="Calibri"/>
        </w:rPr>
        <w:t xml:space="preserve"> tabeli nr 4 –wydatki majątkowe m.st. Warszawy </w:t>
      </w:r>
      <w:r w:rsidR="00C31487">
        <w:rPr>
          <w:rFonts w:ascii="Calibri" w:eastAsia="Calibri" w:hAnsi="Calibri" w:cs="Calibri"/>
        </w:rPr>
        <w:t xml:space="preserve">w sprawozdaniu </w:t>
      </w:r>
      <w:r w:rsidR="00C31487" w:rsidRPr="00102B77">
        <w:rPr>
          <w:rFonts w:ascii="Calibri" w:eastAsia="Calibri" w:hAnsi="Calibri" w:cs="Calibri"/>
        </w:rPr>
        <w:t>rocznym z wykonania budżetu</w:t>
      </w:r>
      <w:r w:rsidR="00C31487">
        <w:rPr>
          <w:rFonts w:ascii="Calibri" w:eastAsia="Calibri" w:hAnsi="Calibri" w:cs="Calibri"/>
        </w:rPr>
        <w:t xml:space="preserve"> przesłanej</w:t>
      </w:r>
      <w:r w:rsidR="00C31487" w:rsidRPr="00102B77">
        <w:rPr>
          <w:rFonts w:ascii="Calibri" w:eastAsia="Calibri" w:hAnsi="Calibri" w:cs="Calibri"/>
        </w:rPr>
        <w:t xml:space="preserve"> </w:t>
      </w:r>
      <w:r w:rsidR="00C31487">
        <w:rPr>
          <w:rFonts w:ascii="Calibri" w:eastAsia="Calibri" w:hAnsi="Calibri" w:cs="Calibri"/>
        </w:rPr>
        <w:t>w dniu dzisiejszym do Rady m.st. Warszawy.</w:t>
      </w:r>
    </w:p>
    <w:p w:rsidR="00C31487" w:rsidRPr="00C31487" w:rsidRDefault="00C31487" w:rsidP="00C31487">
      <w:pPr>
        <w:spacing w:after="240" w:line="300" w:lineRule="auto"/>
        <w:rPr>
          <w:rFonts w:ascii="Calibri" w:eastAsia="Times New Roman" w:hAnsi="Calibri" w:cs="Calibri"/>
          <w:lang w:eastAsia="pl-PL"/>
        </w:rPr>
      </w:pPr>
      <w:r w:rsidRPr="00387F17">
        <w:rPr>
          <w:rFonts w:cstheme="minorHAnsi"/>
          <w:b/>
        </w:rPr>
        <w:t>Pan Mirosław Czekaj</w:t>
      </w:r>
      <w:r>
        <w:rPr>
          <w:rFonts w:cstheme="minorHAnsi"/>
          <w:b/>
        </w:rPr>
        <w:t xml:space="preserve"> -</w:t>
      </w:r>
      <w:r w:rsidRPr="00387F17">
        <w:rPr>
          <w:rFonts w:cstheme="minorHAnsi"/>
          <w:b/>
        </w:rPr>
        <w:t xml:space="preserve"> Skarbnik m.st. Warszawy</w:t>
      </w:r>
      <w:r>
        <w:rPr>
          <w:rFonts w:cstheme="minorHAnsi"/>
          <w:b/>
        </w:rPr>
        <w:t xml:space="preserve"> </w:t>
      </w:r>
      <w:r>
        <w:rPr>
          <w:rFonts w:cstheme="minorHAnsi"/>
        </w:rPr>
        <w:t>wyjaśnił , że przy składaniu materiałów do druku nastąpiła pomyłka.</w:t>
      </w:r>
    </w:p>
    <w:p w:rsidR="00F92542" w:rsidRPr="000F5E09" w:rsidRDefault="00C31487" w:rsidP="000F5E09">
      <w:pPr>
        <w:spacing w:after="240" w:line="300" w:lineRule="auto"/>
        <w:rPr>
          <w:rFonts w:ascii="Calibri" w:eastAsia="Times New Roman" w:hAnsi="Calibri" w:cs="Calibri"/>
          <w:lang w:eastAsia="pl-PL"/>
        </w:rPr>
      </w:pPr>
      <w:r w:rsidRPr="00387F17">
        <w:rPr>
          <w:rFonts w:cstheme="minorHAnsi"/>
          <w:b/>
        </w:rPr>
        <w:t xml:space="preserve">Przewodniczący Komisji </w:t>
      </w:r>
      <w:r>
        <w:rPr>
          <w:rFonts w:cstheme="minorHAnsi"/>
          <w:b/>
        </w:rPr>
        <w:t xml:space="preserve">Maciej Wyszyński </w:t>
      </w:r>
      <w:r>
        <w:t>poinformował radnych, że do Komisji Rewizyjnej Rady m.st. Warszawy wpłynęła uchwała nr 7/2023 Komitetu Audytu dla m.st. Warszawy</w:t>
      </w:r>
      <w:r w:rsidRPr="007071A1">
        <w:rPr>
          <w:rFonts w:cstheme="minorHAnsi"/>
        </w:rPr>
        <w:t xml:space="preserve"> </w:t>
      </w:r>
      <w:r w:rsidRPr="00C41EA6">
        <w:rPr>
          <w:rFonts w:cstheme="minorHAnsi"/>
        </w:rPr>
        <w:t>w sprawie rekomendowania Komisji Rewizyjnej Rady m.st. Warszawy zatwierdzenia sprawozdania fi</w:t>
      </w:r>
      <w:r>
        <w:rPr>
          <w:rFonts w:cstheme="minorHAnsi"/>
        </w:rPr>
        <w:t xml:space="preserve">nansowego m.st. Warszawy za 2022 r. Następnie </w:t>
      </w:r>
      <w:r w:rsidR="00F92542" w:rsidRPr="00387F17">
        <w:rPr>
          <w:rFonts w:cstheme="minorHAnsi"/>
        </w:rPr>
        <w:t>przedstawił wniosek Komisji Rewizyjnej następującej treści:</w:t>
      </w:r>
    </w:p>
    <w:p w:rsidR="00714AE6" w:rsidRPr="00714AE6" w:rsidRDefault="00714AE6" w:rsidP="00714AE6">
      <w:pPr>
        <w:spacing w:after="240" w:line="300" w:lineRule="auto"/>
        <w:rPr>
          <w:rFonts w:ascii="Calibri" w:eastAsia="Times New Roman" w:hAnsi="Calibri" w:cs="Calibri"/>
          <w:b/>
          <w:lang w:eastAsia="pl-PL"/>
        </w:rPr>
      </w:pPr>
      <w:r>
        <w:rPr>
          <w:rFonts w:ascii="Calibri" w:eastAsia="Times New Roman" w:hAnsi="Calibri" w:cs="Calibri"/>
          <w:lang w:eastAsia="pl-PL"/>
        </w:rPr>
        <w:t xml:space="preserve">„ </w:t>
      </w:r>
      <w:r w:rsidRPr="00714AE6">
        <w:rPr>
          <w:rFonts w:ascii="Calibri" w:eastAsia="Times New Roman" w:hAnsi="Calibri" w:cs="Calibri"/>
          <w:lang w:eastAsia="pl-PL"/>
        </w:rPr>
        <w:t xml:space="preserve">Komisja Rewizyjna Rady m.st. Warszawy działając zgodnie z wymogami art. 18a ust. 3 ustawy z dnia 8 marca 1990 r. o samorządzie gminnym (Dz. U. z 2023 r. poz. 40 i 572) oraz art. 270 ust. 2 i 3 ustawy z dnia 27 sierpnia 2009 r. o finansach publicznych (Dz. U. z 2022 r. poz. 1634, z </w:t>
      </w:r>
      <w:proofErr w:type="spellStart"/>
      <w:r w:rsidRPr="00714AE6">
        <w:rPr>
          <w:rFonts w:ascii="Calibri" w:eastAsia="Times New Roman" w:hAnsi="Calibri" w:cs="Calibri"/>
          <w:lang w:eastAsia="pl-PL"/>
        </w:rPr>
        <w:t>późn</w:t>
      </w:r>
      <w:proofErr w:type="spellEnd"/>
      <w:r w:rsidRPr="00714AE6">
        <w:rPr>
          <w:rFonts w:ascii="Calibri" w:eastAsia="Times New Roman" w:hAnsi="Calibri" w:cs="Calibri"/>
          <w:lang w:eastAsia="pl-PL"/>
        </w:rPr>
        <w:t>. zm.</w:t>
      </w:r>
      <w:r w:rsidRPr="00714AE6">
        <w:rPr>
          <w:rFonts w:ascii="Calibri" w:eastAsia="Times New Roman" w:hAnsi="Calibri" w:cs="Calibri"/>
          <w:vertAlign w:val="superscript"/>
          <w:lang w:eastAsia="pl-PL"/>
        </w:rPr>
        <w:footnoteReference w:id="1"/>
      </w:r>
      <w:r w:rsidRPr="00714AE6">
        <w:rPr>
          <w:rFonts w:ascii="Calibri" w:eastAsia="Times New Roman" w:hAnsi="Calibri" w:cs="Calibri"/>
          <w:vertAlign w:val="superscript"/>
          <w:lang w:eastAsia="pl-PL"/>
        </w:rPr>
        <w:t>)</w:t>
      </w:r>
      <w:r w:rsidRPr="00714AE6">
        <w:rPr>
          <w:rFonts w:ascii="Calibri" w:eastAsia="Times New Roman" w:hAnsi="Calibri" w:cs="Calibri"/>
          <w:lang w:eastAsia="pl-PL"/>
        </w:rPr>
        <w:t>), rozpatrzyła odnoszące się do 2022 roku:</w:t>
      </w:r>
    </w:p>
    <w:p w:rsidR="00714AE6" w:rsidRPr="00714AE6" w:rsidRDefault="00714AE6" w:rsidP="00BF05CD">
      <w:pPr>
        <w:numPr>
          <w:ilvl w:val="0"/>
          <w:numId w:val="16"/>
        </w:numPr>
        <w:spacing w:after="0" w:line="300" w:lineRule="auto"/>
        <w:ind w:left="714" w:hanging="357"/>
        <w:contextualSpacing/>
        <w:rPr>
          <w:rFonts w:ascii="Calibri" w:eastAsia="Times New Roman" w:hAnsi="Calibri" w:cs="Times New Roman"/>
          <w:b/>
          <w:iCs/>
          <w:szCs w:val="24"/>
          <w:lang w:eastAsia="pl-PL"/>
        </w:rPr>
      </w:pPr>
      <w:r w:rsidRPr="00714AE6">
        <w:rPr>
          <w:rFonts w:ascii="Calibri" w:eastAsia="Times New Roman" w:hAnsi="Calibri" w:cs="Times New Roman"/>
          <w:b/>
          <w:szCs w:val="24"/>
          <w:lang w:eastAsia="pl-PL"/>
        </w:rPr>
        <w:t>Sprawozdanie roczne z wykonania budżetu</w:t>
      </w:r>
      <w:r w:rsidRPr="00714AE6">
        <w:rPr>
          <w:rFonts w:ascii="Calibri" w:eastAsia="Times New Roman" w:hAnsi="Calibri" w:cs="Calibri"/>
          <w:position w:val="2"/>
          <w:vertAlign w:val="superscript"/>
          <w:lang w:eastAsia="pl-PL"/>
        </w:rPr>
        <w:footnoteReference w:id="2"/>
      </w:r>
      <w:r w:rsidRPr="00714AE6">
        <w:rPr>
          <w:rFonts w:ascii="Calibri" w:eastAsia="Times New Roman" w:hAnsi="Calibri" w:cs="Times New Roman"/>
          <w:position w:val="2"/>
          <w:szCs w:val="24"/>
          <w:vertAlign w:val="superscript"/>
          <w:lang w:eastAsia="pl-PL"/>
        </w:rPr>
        <w:t>)</w:t>
      </w:r>
      <w:r w:rsidRPr="00714AE6">
        <w:rPr>
          <w:rFonts w:ascii="Calibri" w:eastAsia="Times New Roman" w:hAnsi="Calibri" w:cs="Times New Roman"/>
          <w:szCs w:val="24"/>
          <w:lang w:eastAsia="pl-PL"/>
        </w:rPr>
        <w:t xml:space="preserve"> uwzględniające stopień zaawansowania realizacji programów wieloletnich i sprawozdanie z wykonania planów finansowych samodzielnych publicznych zakładów opieki zdrowotnej i instytucji kultury za 2022 r. </w:t>
      </w:r>
      <w:r w:rsidRPr="00714AE6">
        <w:rPr>
          <w:rFonts w:ascii="Calibri" w:eastAsia="Times New Roman" w:hAnsi="Calibri" w:cs="Times New Roman"/>
          <w:iCs/>
          <w:szCs w:val="24"/>
          <w:lang w:eastAsia="pl-PL"/>
        </w:rPr>
        <w:t>wraz z:</w:t>
      </w:r>
    </w:p>
    <w:p w:rsidR="00714AE6" w:rsidRPr="00714AE6" w:rsidRDefault="00714AE6" w:rsidP="00BF05CD">
      <w:pPr>
        <w:numPr>
          <w:ilvl w:val="0"/>
          <w:numId w:val="21"/>
        </w:numPr>
        <w:spacing w:after="240" w:line="300" w:lineRule="auto"/>
        <w:contextualSpacing/>
        <w:rPr>
          <w:rFonts w:ascii="Calibri" w:eastAsia="Times New Roman" w:hAnsi="Calibri" w:cs="Times New Roman"/>
          <w:b/>
          <w:iCs/>
          <w:szCs w:val="24"/>
          <w:lang w:eastAsia="pl-PL"/>
        </w:rPr>
      </w:pPr>
      <w:r w:rsidRPr="00714AE6">
        <w:rPr>
          <w:rFonts w:ascii="Calibri" w:eastAsia="Times New Roman" w:hAnsi="Calibri" w:cs="Times New Roman"/>
          <w:szCs w:val="24"/>
          <w:lang w:eastAsia="pl-PL"/>
        </w:rPr>
        <w:t xml:space="preserve">informacją o skutkach dla budżetu m.st. Warszawy epidemii </w:t>
      </w:r>
      <w:proofErr w:type="spellStart"/>
      <w:r w:rsidRPr="00714AE6">
        <w:rPr>
          <w:rFonts w:ascii="Calibri" w:eastAsia="Times New Roman" w:hAnsi="Calibri" w:cs="Times New Roman"/>
          <w:szCs w:val="24"/>
          <w:lang w:eastAsia="pl-PL"/>
        </w:rPr>
        <w:t>koronawirusa</w:t>
      </w:r>
      <w:proofErr w:type="spellEnd"/>
      <w:r w:rsidRPr="00714AE6">
        <w:rPr>
          <w:rFonts w:ascii="Calibri" w:eastAsia="Times New Roman" w:hAnsi="Calibri" w:cs="Times New Roman"/>
          <w:szCs w:val="24"/>
          <w:lang w:eastAsia="pl-PL"/>
        </w:rPr>
        <w:t xml:space="preserve"> SARS-CoV-2 w zakresie dochodów i wydatków oraz informacją o wykonaniu planu finansowego rachunku dochodów</w:t>
      </w:r>
      <w:r w:rsidRPr="00714AE6">
        <w:rPr>
          <w:rFonts w:ascii="Calibri" w:eastAsia="Times New Roman" w:hAnsi="Calibri" w:cs="Times New Roman"/>
          <w:iCs/>
          <w:szCs w:val="24"/>
          <w:lang w:eastAsia="pl-PL"/>
        </w:rPr>
        <w:t xml:space="preserve"> </w:t>
      </w:r>
      <w:r w:rsidRPr="00714AE6">
        <w:rPr>
          <w:rFonts w:ascii="Calibri" w:eastAsia="Times New Roman" w:hAnsi="Calibri" w:cs="Times New Roman"/>
          <w:szCs w:val="24"/>
          <w:lang w:eastAsia="pl-PL"/>
        </w:rPr>
        <w:t>pochodzących ze środków Funduszu Przeciwdziałania COVID-19;</w:t>
      </w:r>
    </w:p>
    <w:p w:rsidR="00714AE6" w:rsidRPr="00714AE6" w:rsidRDefault="00714AE6" w:rsidP="00BF05CD">
      <w:pPr>
        <w:numPr>
          <w:ilvl w:val="0"/>
          <w:numId w:val="21"/>
        </w:numPr>
        <w:spacing w:after="0" w:line="300" w:lineRule="auto"/>
        <w:ind w:left="1077" w:hanging="357"/>
        <w:contextualSpacing/>
        <w:rPr>
          <w:rFonts w:ascii="Calibri" w:eastAsia="Times New Roman" w:hAnsi="Calibri" w:cs="Times New Roman"/>
          <w:b/>
          <w:iCs/>
          <w:szCs w:val="24"/>
          <w:lang w:eastAsia="pl-PL"/>
        </w:rPr>
      </w:pPr>
      <w:r w:rsidRPr="00714AE6">
        <w:rPr>
          <w:rFonts w:ascii="Calibri" w:eastAsia="Times New Roman" w:hAnsi="Calibri" w:cs="Times New Roman"/>
          <w:szCs w:val="24"/>
          <w:lang w:eastAsia="pl-PL"/>
        </w:rPr>
        <w:t>informacją o dochodach i wydatkach związanych z pomocą obywatelom Ukrainy w związku z konfliktem zbrojnym na terytorium tego państwa oraz informacją o wykonaniu planu finansowego rachunku dochodów</w:t>
      </w:r>
      <w:r w:rsidRPr="00714AE6">
        <w:rPr>
          <w:rFonts w:ascii="Calibri" w:eastAsia="Times New Roman" w:hAnsi="Calibri" w:cs="Times New Roman"/>
          <w:iCs/>
          <w:szCs w:val="24"/>
          <w:lang w:eastAsia="pl-PL"/>
        </w:rPr>
        <w:t xml:space="preserve"> </w:t>
      </w:r>
      <w:r w:rsidRPr="00714AE6">
        <w:rPr>
          <w:rFonts w:ascii="Calibri" w:eastAsia="Times New Roman" w:hAnsi="Calibri" w:cs="Times New Roman"/>
          <w:szCs w:val="24"/>
          <w:lang w:eastAsia="pl-PL"/>
        </w:rPr>
        <w:t>pochodzących ze środków Funduszu Pomocy.</w:t>
      </w:r>
    </w:p>
    <w:p w:rsidR="00714AE6" w:rsidRPr="00714AE6" w:rsidRDefault="00714AE6" w:rsidP="00BF05CD">
      <w:pPr>
        <w:numPr>
          <w:ilvl w:val="0"/>
          <w:numId w:val="16"/>
        </w:numPr>
        <w:spacing w:after="240" w:line="300" w:lineRule="auto"/>
        <w:contextualSpacing/>
        <w:rPr>
          <w:rFonts w:ascii="Calibri" w:eastAsia="Times New Roman" w:hAnsi="Calibri" w:cs="Calibri"/>
          <w:b/>
          <w:iCs/>
          <w:lang w:eastAsia="pl-PL"/>
        </w:rPr>
      </w:pPr>
      <w:r w:rsidRPr="00714AE6">
        <w:rPr>
          <w:rFonts w:ascii="Calibri" w:eastAsia="Times New Roman" w:hAnsi="Calibri" w:cs="Calibri"/>
          <w:b/>
          <w:lang w:eastAsia="pl-PL"/>
        </w:rPr>
        <w:t>Sprawozdanie finansowe</w:t>
      </w:r>
      <w:r w:rsidRPr="00714AE6">
        <w:rPr>
          <w:rFonts w:ascii="Calibri" w:eastAsia="Times New Roman" w:hAnsi="Calibri" w:cs="Calibri"/>
          <w:position w:val="2"/>
          <w:vertAlign w:val="superscript"/>
          <w:lang w:eastAsia="pl-PL"/>
        </w:rPr>
        <w:footnoteReference w:id="3"/>
      </w:r>
      <w:r w:rsidRPr="00714AE6">
        <w:rPr>
          <w:rFonts w:ascii="Calibri" w:eastAsia="Times New Roman" w:hAnsi="Calibri" w:cs="Calibri"/>
          <w:position w:val="2"/>
          <w:vertAlign w:val="superscript"/>
          <w:lang w:eastAsia="pl-PL"/>
        </w:rPr>
        <w:t>)</w:t>
      </w:r>
      <w:r w:rsidRPr="00714AE6">
        <w:rPr>
          <w:rFonts w:ascii="Calibri" w:eastAsia="Times New Roman" w:hAnsi="Calibri" w:cs="Calibri"/>
          <w:lang w:eastAsia="pl-PL"/>
        </w:rPr>
        <w:t xml:space="preserve"> składające się z:</w:t>
      </w:r>
    </w:p>
    <w:p w:rsidR="00714AE6" w:rsidRPr="00714AE6" w:rsidRDefault="00714AE6" w:rsidP="00BF05CD">
      <w:pPr>
        <w:numPr>
          <w:ilvl w:val="0"/>
          <w:numId w:val="17"/>
        </w:numPr>
        <w:spacing w:after="240" w:line="300" w:lineRule="auto"/>
        <w:contextualSpacing/>
        <w:rPr>
          <w:rFonts w:ascii="Calibri" w:eastAsia="Times New Roman" w:hAnsi="Calibri" w:cs="Times New Roman"/>
          <w:szCs w:val="24"/>
          <w:lang w:eastAsia="pl-PL"/>
        </w:rPr>
      </w:pPr>
      <w:r w:rsidRPr="00714AE6">
        <w:rPr>
          <w:rFonts w:ascii="Calibri" w:eastAsia="Times New Roman" w:hAnsi="Calibri" w:cs="Times New Roman"/>
          <w:szCs w:val="24"/>
          <w:lang w:eastAsia="pl-PL"/>
        </w:rPr>
        <w:lastRenderedPageBreak/>
        <w:t>bilansu z wykonania budżetu,</w:t>
      </w:r>
    </w:p>
    <w:p w:rsidR="00714AE6" w:rsidRPr="00714AE6" w:rsidRDefault="00714AE6" w:rsidP="00BF05CD">
      <w:pPr>
        <w:numPr>
          <w:ilvl w:val="0"/>
          <w:numId w:val="17"/>
        </w:numPr>
        <w:spacing w:after="240" w:line="300" w:lineRule="auto"/>
        <w:contextualSpacing/>
        <w:rPr>
          <w:rFonts w:ascii="Calibri" w:eastAsia="Times New Roman" w:hAnsi="Calibri" w:cs="Times New Roman"/>
          <w:szCs w:val="24"/>
          <w:lang w:eastAsia="pl-PL"/>
        </w:rPr>
      </w:pPr>
      <w:r w:rsidRPr="00714AE6">
        <w:rPr>
          <w:rFonts w:ascii="Calibri" w:eastAsia="Times New Roman" w:hAnsi="Calibri" w:cs="Times New Roman"/>
          <w:szCs w:val="24"/>
          <w:lang w:eastAsia="pl-PL"/>
        </w:rPr>
        <w:t>łącznego bilansu,</w:t>
      </w:r>
    </w:p>
    <w:p w:rsidR="00714AE6" w:rsidRPr="00714AE6" w:rsidRDefault="00714AE6" w:rsidP="00BF05CD">
      <w:pPr>
        <w:numPr>
          <w:ilvl w:val="0"/>
          <w:numId w:val="17"/>
        </w:numPr>
        <w:spacing w:after="240" w:line="300" w:lineRule="auto"/>
        <w:contextualSpacing/>
        <w:rPr>
          <w:rFonts w:ascii="Calibri" w:eastAsia="Times New Roman" w:hAnsi="Calibri" w:cs="Times New Roman"/>
          <w:szCs w:val="24"/>
          <w:lang w:eastAsia="pl-PL"/>
        </w:rPr>
      </w:pPr>
      <w:r w:rsidRPr="00714AE6">
        <w:rPr>
          <w:rFonts w:ascii="Calibri" w:eastAsia="Times New Roman" w:hAnsi="Calibri" w:cs="Times New Roman"/>
          <w:szCs w:val="24"/>
          <w:lang w:eastAsia="pl-PL"/>
        </w:rPr>
        <w:t>łącznego rachunku zysków i strat,</w:t>
      </w:r>
    </w:p>
    <w:p w:rsidR="00714AE6" w:rsidRPr="00714AE6" w:rsidRDefault="00714AE6" w:rsidP="00BF05CD">
      <w:pPr>
        <w:numPr>
          <w:ilvl w:val="0"/>
          <w:numId w:val="17"/>
        </w:numPr>
        <w:spacing w:after="240" w:line="300" w:lineRule="auto"/>
        <w:contextualSpacing/>
        <w:rPr>
          <w:rFonts w:ascii="Calibri" w:eastAsia="Times New Roman" w:hAnsi="Calibri" w:cs="Times New Roman"/>
          <w:szCs w:val="24"/>
          <w:lang w:eastAsia="pl-PL"/>
        </w:rPr>
      </w:pPr>
      <w:r w:rsidRPr="00714AE6">
        <w:rPr>
          <w:rFonts w:ascii="Calibri" w:eastAsia="Times New Roman" w:hAnsi="Calibri" w:cs="Times New Roman"/>
          <w:szCs w:val="24"/>
          <w:lang w:eastAsia="pl-PL"/>
        </w:rPr>
        <w:t>zestawienia zmian w łącznym funduszu jednostki,</w:t>
      </w:r>
    </w:p>
    <w:p w:rsidR="00714AE6" w:rsidRPr="00714AE6" w:rsidRDefault="00714AE6" w:rsidP="00BF05CD">
      <w:pPr>
        <w:numPr>
          <w:ilvl w:val="0"/>
          <w:numId w:val="17"/>
        </w:numPr>
        <w:spacing w:after="240" w:line="300" w:lineRule="auto"/>
        <w:contextualSpacing/>
        <w:rPr>
          <w:rFonts w:ascii="Calibri" w:eastAsia="Times New Roman" w:hAnsi="Calibri" w:cs="Times New Roman"/>
          <w:szCs w:val="24"/>
          <w:lang w:eastAsia="pl-PL"/>
        </w:rPr>
      </w:pPr>
      <w:r w:rsidRPr="00714AE6">
        <w:rPr>
          <w:rFonts w:ascii="Calibri" w:eastAsia="Times New Roman" w:hAnsi="Calibri" w:cs="Times New Roman"/>
          <w:szCs w:val="24"/>
          <w:lang w:eastAsia="pl-PL"/>
        </w:rPr>
        <w:t>Informacji dodatkowej – wprowadzenie,</w:t>
      </w:r>
    </w:p>
    <w:p w:rsidR="00714AE6" w:rsidRPr="00714AE6" w:rsidRDefault="00714AE6" w:rsidP="00BF05CD">
      <w:pPr>
        <w:numPr>
          <w:ilvl w:val="0"/>
          <w:numId w:val="17"/>
        </w:numPr>
        <w:spacing w:after="240" w:line="300" w:lineRule="auto"/>
        <w:contextualSpacing/>
        <w:rPr>
          <w:rFonts w:ascii="Calibri" w:eastAsia="Times New Roman" w:hAnsi="Calibri" w:cs="Times New Roman"/>
          <w:szCs w:val="24"/>
          <w:lang w:eastAsia="pl-PL"/>
        </w:rPr>
      </w:pPr>
      <w:r w:rsidRPr="00714AE6">
        <w:rPr>
          <w:rFonts w:ascii="Calibri" w:eastAsia="Times New Roman" w:hAnsi="Calibri" w:cs="Times New Roman"/>
          <w:szCs w:val="24"/>
          <w:lang w:eastAsia="pl-PL"/>
        </w:rPr>
        <w:t>Informacji dodatkowej – dodatkowe informacje i objaśnienia.</w:t>
      </w:r>
    </w:p>
    <w:p w:rsidR="00714AE6" w:rsidRPr="00714AE6" w:rsidRDefault="00714AE6" w:rsidP="00BF05CD">
      <w:pPr>
        <w:numPr>
          <w:ilvl w:val="0"/>
          <w:numId w:val="16"/>
        </w:numPr>
        <w:spacing w:after="240" w:line="300" w:lineRule="auto"/>
        <w:contextualSpacing/>
        <w:rPr>
          <w:rFonts w:ascii="Calibri" w:eastAsia="Times New Roman" w:hAnsi="Calibri" w:cs="Calibri"/>
          <w:b/>
          <w:lang w:eastAsia="pl-PL"/>
        </w:rPr>
      </w:pPr>
      <w:r w:rsidRPr="00714AE6">
        <w:rPr>
          <w:rFonts w:ascii="Calibri" w:eastAsia="Times New Roman" w:hAnsi="Calibri" w:cs="Calibri"/>
          <w:b/>
          <w:lang w:eastAsia="pl-PL"/>
        </w:rPr>
        <w:t>Sprawozdanie niezależnego biegłego rewidenta z badania rocznego sprawozdania finansowego</w:t>
      </w:r>
      <w:r w:rsidRPr="00714AE6">
        <w:rPr>
          <w:rFonts w:ascii="Calibri" w:eastAsia="Times New Roman" w:hAnsi="Calibri" w:cs="Calibri"/>
          <w:position w:val="2"/>
          <w:vertAlign w:val="superscript"/>
          <w:lang w:eastAsia="pl-PL"/>
        </w:rPr>
        <w:footnoteReference w:id="4"/>
      </w:r>
      <w:r w:rsidRPr="00714AE6">
        <w:rPr>
          <w:rFonts w:ascii="Calibri" w:eastAsia="Times New Roman" w:hAnsi="Calibri" w:cs="Calibri"/>
          <w:position w:val="2"/>
          <w:vertAlign w:val="superscript"/>
          <w:lang w:eastAsia="pl-PL"/>
        </w:rPr>
        <w:t>)</w:t>
      </w:r>
      <w:r w:rsidRPr="00714AE6">
        <w:rPr>
          <w:rFonts w:ascii="Calibri" w:eastAsia="Times New Roman" w:hAnsi="Calibri" w:cs="Calibri"/>
          <w:lang w:eastAsia="pl-PL"/>
        </w:rPr>
        <w:t>.</w:t>
      </w:r>
    </w:p>
    <w:p w:rsidR="00714AE6" w:rsidRPr="00714AE6" w:rsidRDefault="00714AE6" w:rsidP="00BF05CD">
      <w:pPr>
        <w:numPr>
          <w:ilvl w:val="0"/>
          <w:numId w:val="16"/>
        </w:numPr>
        <w:spacing w:after="240" w:line="300" w:lineRule="auto"/>
        <w:contextualSpacing/>
        <w:rPr>
          <w:rFonts w:ascii="Calibri" w:eastAsia="Times New Roman" w:hAnsi="Calibri" w:cs="Calibri"/>
          <w:b/>
          <w:lang w:eastAsia="pl-PL"/>
        </w:rPr>
      </w:pPr>
      <w:r w:rsidRPr="00714AE6">
        <w:rPr>
          <w:rFonts w:ascii="Calibri" w:eastAsia="Times New Roman" w:hAnsi="Calibri" w:cs="Calibri"/>
          <w:b/>
          <w:lang w:eastAsia="pl-PL"/>
        </w:rPr>
        <w:t>Opinię Regionalnej Izby Obrachunkowej w Warszawie o sprawozdaniu z wykonania budżetu</w:t>
      </w:r>
      <w:r w:rsidRPr="00714AE6">
        <w:rPr>
          <w:rFonts w:ascii="Calibri" w:eastAsia="Times New Roman" w:hAnsi="Calibri" w:cs="Calibri"/>
          <w:position w:val="2"/>
          <w:vertAlign w:val="superscript"/>
          <w:lang w:eastAsia="pl-PL"/>
        </w:rPr>
        <w:footnoteReference w:id="5"/>
      </w:r>
      <w:r w:rsidRPr="00714AE6">
        <w:rPr>
          <w:rFonts w:ascii="Calibri" w:eastAsia="Times New Roman" w:hAnsi="Calibri" w:cs="Calibri"/>
          <w:position w:val="2"/>
          <w:vertAlign w:val="superscript"/>
          <w:lang w:eastAsia="pl-PL"/>
        </w:rPr>
        <w:t>)</w:t>
      </w:r>
      <w:r w:rsidRPr="00714AE6">
        <w:rPr>
          <w:rFonts w:ascii="Calibri" w:eastAsia="Times New Roman" w:hAnsi="Calibri" w:cs="Calibri"/>
          <w:lang w:eastAsia="pl-PL"/>
        </w:rPr>
        <w:t>.</w:t>
      </w:r>
    </w:p>
    <w:p w:rsidR="00714AE6" w:rsidRPr="00714AE6" w:rsidRDefault="00714AE6" w:rsidP="00BF05CD">
      <w:pPr>
        <w:numPr>
          <w:ilvl w:val="0"/>
          <w:numId w:val="16"/>
        </w:numPr>
        <w:spacing w:after="240" w:line="300" w:lineRule="auto"/>
        <w:ind w:left="714" w:hanging="357"/>
        <w:contextualSpacing/>
        <w:rPr>
          <w:rFonts w:ascii="Calibri" w:eastAsia="Times New Roman" w:hAnsi="Calibri" w:cs="Calibri"/>
          <w:b/>
          <w:lang w:eastAsia="pl-PL"/>
        </w:rPr>
      </w:pPr>
      <w:r w:rsidRPr="00714AE6">
        <w:rPr>
          <w:rFonts w:ascii="Calibri" w:eastAsia="Times New Roman" w:hAnsi="Calibri" w:cs="Calibri"/>
          <w:b/>
          <w:lang w:eastAsia="pl-PL"/>
        </w:rPr>
        <w:t>Informację o stanie mienia miasta stołecznego Warszawy</w:t>
      </w:r>
      <w:r w:rsidRPr="00714AE6">
        <w:rPr>
          <w:rFonts w:ascii="Calibri" w:eastAsia="Times New Roman" w:hAnsi="Calibri" w:cs="Calibri"/>
          <w:position w:val="2"/>
          <w:vertAlign w:val="superscript"/>
          <w:lang w:eastAsia="pl-PL"/>
        </w:rPr>
        <w:footnoteReference w:id="6"/>
      </w:r>
      <w:r w:rsidRPr="00714AE6">
        <w:rPr>
          <w:rFonts w:ascii="Calibri" w:eastAsia="Times New Roman" w:hAnsi="Calibri" w:cs="Calibri"/>
          <w:position w:val="2"/>
          <w:vertAlign w:val="superscript"/>
          <w:lang w:eastAsia="pl-PL"/>
        </w:rPr>
        <w:t>)</w:t>
      </w:r>
      <w:r w:rsidRPr="00714AE6">
        <w:rPr>
          <w:rFonts w:ascii="Calibri" w:eastAsia="Times New Roman" w:hAnsi="Calibri" w:cs="Calibri"/>
          <w:lang w:eastAsia="pl-PL"/>
        </w:rPr>
        <w:t>.</w:t>
      </w:r>
    </w:p>
    <w:p w:rsidR="00714AE6" w:rsidRPr="00714AE6" w:rsidRDefault="00714AE6" w:rsidP="00714AE6">
      <w:pPr>
        <w:spacing w:after="240" w:line="300" w:lineRule="auto"/>
        <w:rPr>
          <w:rFonts w:ascii="Calibri" w:eastAsia="Times New Roman" w:hAnsi="Calibri" w:cs="Calibri"/>
          <w:lang w:eastAsia="pl-PL"/>
        </w:rPr>
      </w:pPr>
      <w:r w:rsidRPr="00714AE6">
        <w:rPr>
          <w:rFonts w:ascii="Calibri" w:eastAsia="Times New Roman" w:hAnsi="Calibri" w:cs="Calibri"/>
          <w:lang w:eastAsia="pl-PL"/>
        </w:rPr>
        <w:t>Komisja Rewizyjna odbyła pięć posiedzeń poświęconych badaniu sprawozdania z wykonania budżetu za 2022 rok tj. 4 i 19 kwietnia 2023 r. oraz 10, 17 i 31 maja 2023 r. W trakcie rozpatrywania przedłożonych przez Prezydenta m.st. Warszawy sprawozdań i informacji oraz opinii Regionalnej Izby Obrachunkowej w Warszawie i sprawozdania Biegłego Rewidenta, Komisja Rewizyjna szczegółowo przeanalizowała zawarte w nich dane i wysłuchała dodatkowych wyjaśnień przedłożonych przez Prezydenta m.st. Warszawy oraz osób działających w jego imieniu, w tym Skarbnika m.st. Warszawy, Zastępcy Dyrektora Biura Funduszy Europejskich i Polityki Rozwoju, Dyrektora Biura Gospodarki Odpadami, Dyrektora Stołecznego Centrum Bezpieczeństwa, Dyrektora Zarządu Zielni m.st. Warszawy, Przedstawicieli Zarządu Dzielnicy Bielany, Przedstawicieli Zarządu Dzielnicy Ursynów, Przedstawicieli Zarządu Dzielnicy Żoliborz, a także zapoznała się ze stanowiskami komisji merytorycznych Rady m.st. Warszawy.</w:t>
      </w:r>
    </w:p>
    <w:p w:rsidR="00714AE6" w:rsidRPr="00714AE6" w:rsidRDefault="00714AE6" w:rsidP="00714AE6">
      <w:pPr>
        <w:spacing w:after="240" w:line="300" w:lineRule="auto"/>
        <w:rPr>
          <w:rFonts w:ascii="Calibri" w:eastAsia="Times New Roman" w:hAnsi="Calibri" w:cs="Calibri"/>
          <w:lang w:eastAsia="pl-PL"/>
        </w:rPr>
      </w:pPr>
      <w:r w:rsidRPr="00714AE6">
        <w:rPr>
          <w:rFonts w:ascii="Calibri" w:eastAsia="Times New Roman" w:hAnsi="Calibri" w:cs="Calibri"/>
          <w:lang w:eastAsia="pl-PL"/>
        </w:rPr>
        <w:t>Do Komisji Rewizyjnej wpłynął również wniosek Komitetu Audytu dla m.st. Warszawy rekomendujący zatwierdzenie sprawozdania finansowego za 2022 rok.</w:t>
      </w:r>
    </w:p>
    <w:p w:rsidR="00714AE6" w:rsidRPr="00714AE6" w:rsidRDefault="00714AE6" w:rsidP="00714AE6">
      <w:pPr>
        <w:spacing w:after="240" w:line="300" w:lineRule="auto"/>
        <w:rPr>
          <w:rFonts w:ascii="Calibri" w:eastAsia="Times New Roman" w:hAnsi="Calibri" w:cs="Calibri"/>
          <w:b/>
          <w:lang w:eastAsia="pl-PL"/>
        </w:rPr>
      </w:pPr>
      <w:r w:rsidRPr="00714AE6">
        <w:rPr>
          <w:rFonts w:ascii="Calibri" w:eastAsia="Times New Roman" w:hAnsi="Calibri" w:cs="Calibri"/>
          <w:lang w:eastAsia="pl-PL"/>
        </w:rPr>
        <w:t xml:space="preserve">Komisja Rewizyjna Rady m.st. Warszawy po rozpatrzeniu ww. dokumentów, wypełniając nałożony przepisami prawa obowiązek, przedstawia Radzie m.st. Warszawy </w:t>
      </w:r>
      <w:r w:rsidRPr="00714AE6">
        <w:rPr>
          <w:rFonts w:ascii="Calibri" w:eastAsia="Times New Roman" w:hAnsi="Calibri" w:cs="Calibri"/>
          <w:b/>
          <w:lang w:eastAsia="pl-PL"/>
        </w:rPr>
        <w:t>wniosek w sprawie udzielenia absolutorium Prezydentowi Miasta Stołecznego Warszawy za 2022 rok.</w:t>
      </w:r>
    </w:p>
    <w:p w:rsidR="00714AE6" w:rsidRPr="00714AE6" w:rsidRDefault="00714AE6" w:rsidP="00714AE6">
      <w:pPr>
        <w:keepNext/>
        <w:spacing w:after="240" w:line="300" w:lineRule="auto"/>
        <w:contextualSpacing/>
        <w:jc w:val="center"/>
        <w:outlineLvl w:val="0"/>
        <w:rPr>
          <w:rFonts w:ascii="Calibri" w:eastAsia="Times New Roman" w:hAnsi="Calibri" w:cs="Arial"/>
          <w:b/>
          <w:bCs/>
          <w:kern w:val="32"/>
          <w:szCs w:val="32"/>
          <w:lang w:eastAsia="pl-PL"/>
        </w:rPr>
      </w:pPr>
      <w:r w:rsidRPr="00714AE6">
        <w:rPr>
          <w:rFonts w:ascii="Calibri" w:eastAsia="Times New Roman" w:hAnsi="Calibri" w:cs="Arial"/>
          <w:b/>
          <w:bCs/>
          <w:kern w:val="32"/>
          <w:szCs w:val="32"/>
          <w:lang w:eastAsia="pl-PL"/>
        </w:rPr>
        <w:t>Uzasadnienie</w:t>
      </w:r>
    </w:p>
    <w:p w:rsidR="00714AE6" w:rsidRPr="00714AE6" w:rsidRDefault="00714AE6" w:rsidP="00714AE6">
      <w:pPr>
        <w:spacing w:after="0" w:line="300" w:lineRule="auto"/>
        <w:rPr>
          <w:rFonts w:ascii="Calibri" w:eastAsia="Times New Roman" w:hAnsi="Calibri" w:cs="Calibri"/>
          <w:iCs/>
          <w:lang w:eastAsia="pl-PL"/>
        </w:rPr>
      </w:pPr>
      <w:r w:rsidRPr="00714AE6">
        <w:rPr>
          <w:rFonts w:ascii="Calibri" w:eastAsia="Times New Roman" w:hAnsi="Calibri" w:cs="Calibri"/>
          <w:lang w:eastAsia="pl-PL"/>
        </w:rPr>
        <w:t xml:space="preserve">Rada m.st. Warszawy otrzymała w terminie określonym w art. 267 ust. 1 ustawy z dnia 27 sierpnia 2009 r. o finansach publicznych (Dz. U. z 2022 r. poz. 1634, z </w:t>
      </w:r>
      <w:proofErr w:type="spellStart"/>
      <w:r w:rsidRPr="00714AE6">
        <w:rPr>
          <w:rFonts w:ascii="Calibri" w:eastAsia="Times New Roman" w:hAnsi="Calibri" w:cs="Calibri"/>
          <w:lang w:eastAsia="pl-PL"/>
        </w:rPr>
        <w:t>późn</w:t>
      </w:r>
      <w:proofErr w:type="spellEnd"/>
      <w:r w:rsidRPr="00714AE6">
        <w:rPr>
          <w:rFonts w:ascii="Calibri" w:eastAsia="Times New Roman" w:hAnsi="Calibri" w:cs="Calibri"/>
          <w:lang w:eastAsia="pl-PL"/>
        </w:rPr>
        <w:t>. zm.) „</w:t>
      </w:r>
      <w:r w:rsidRPr="00714AE6">
        <w:rPr>
          <w:rFonts w:ascii="Calibri" w:eastAsia="Times New Roman" w:hAnsi="Calibri" w:cs="Calibri"/>
          <w:b/>
          <w:lang w:eastAsia="pl-PL"/>
        </w:rPr>
        <w:t xml:space="preserve">Sprawozdanie z wykonania </w:t>
      </w:r>
      <w:r w:rsidRPr="00714AE6">
        <w:rPr>
          <w:rFonts w:ascii="Calibri" w:eastAsia="Times New Roman" w:hAnsi="Calibri" w:cs="Calibri"/>
          <w:b/>
          <w:lang w:eastAsia="pl-PL"/>
        </w:rPr>
        <w:lastRenderedPageBreak/>
        <w:t>budżetu m.st. Warszawy za 2022 r.”</w:t>
      </w:r>
      <w:r w:rsidRPr="00714AE6">
        <w:rPr>
          <w:rFonts w:ascii="Calibri" w:eastAsia="Times New Roman" w:hAnsi="Calibri" w:cs="Calibri"/>
          <w:lang w:eastAsia="pl-PL"/>
        </w:rPr>
        <w:t xml:space="preserve"> uwzględniające stopień zaawansowania realizacji programów wieloletnich i sprawozdanie z wykonania planów finansowych samodzielnych publicznych zakładów opieki zdrowotnej i instytucji kultury za 2022 r. </w:t>
      </w:r>
      <w:r w:rsidRPr="00714AE6">
        <w:rPr>
          <w:rFonts w:ascii="Calibri" w:eastAsia="Times New Roman" w:hAnsi="Calibri" w:cs="Calibri"/>
          <w:iCs/>
          <w:lang w:eastAsia="pl-PL"/>
        </w:rPr>
        <w:t>wraz z:</w:t>
      </w:r>
    </w:p>
    <w:p w:rsidR="00714AE6" w:rsidRPr="00714AE6" w:rsidRDefault="00714AE6" w:rsidP="00BF05CD">
      <w:pPr>
        <w:numPr>
          <w:ilvl w:val="0"/>
          <w:numId w:val="22"/>
        </w:numPr>
        <w:spacing w:after="240" w:line="300" w:lineRule="auto"/>
        <w:ind w:left="641"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informacją o skutkach dla budżetu m.st. Warszawy epidemii </w:t>
      </w:r>
      <w:proofErr w:type="spellStart"/>
      <w:r w:rsidRPr="00714AE6">
        <w:rPr>
          <w:rFonts w:ascii="Calibri" w:eastAsia="Times New Roman" w:hAnsi="Calibri" w:cs="Calibri"/>
          <w:lang w:eastAsia="pl-PL"/>
        </w:rPr>
        <w:t>koronawirusa</w:t>
      </w:r>
      <w:proofErr w:type="spellEnd"/>
      <w:r w:rsidRPr="00714AE6">
        <w:rPr>
          <w:rFonts w:ascii="Calibri" w:eastAsia="Times New Roman" w:hAnsi="Calibri" w:cs="Calibri"/>
          <w:lang w:eastAsia="pl-PL"/>
        </w:rPr>
        <w:t xml:space="preserve"> SARS-CoV-2 w zakresie dochodów i wydatków oraz informacją o wykonaniu planu finansowego rachunku dochodów pochodzących ze środków Funduszu Przeciwdziałania COVID-19;</w:t>
      </w:r>
    </w:p>
    <w:p w:rsidR="00714AE6" w:rsidRPr="00714AE6" w:rsidRDefault="00714AE6" w:rsidP="00BF05CD">
      <w:pPr>
        <w:numPr>
          <w:ilvl w:val="0"/>
          <w:numId w:val="22"/>
        </w:numPr>
        <w:spacing w:after="0" w:line="300" w:lineRule="auto"/>
        <w:ind w:left="641" w:hanging="357"/>
        <w:contextualSpacing/>
        <w:rPr>
          <w:rFonts w:ascii="Calibri" w:eastAsia="Times New Roman" w:hAnsi="Calibri" w:cs="Calibri"/>
          <w:lang w:eastAsia="pl-PL"/>
        </w:rPr>
      </w:pPr>
      <w:r w:rsidRPr="00714AE6">
        <w:rPr>
          <w:rFonts w:ascii="Calibri" w:eastAsia="Times New Roman" w:hAnsi="Calibri" w:cs="Times New Roman"/>
          <w:szCs w:val="24"/>
          <w:lang w:eastAsia="pl-PL"/>
        </w:rPr>
        <w:t>informacją o dochodach i wydatkach związanych z pomocą obywatelom Ukrainy w związku z konfliktem zbrojnym na terytorium tego państwa oraz informacją o wykonaniu planu finansowego rachunku dochodów</w:t>
      </w:r>
      <w:r w:rsidRPr="00714AE6">
        <w:rPr>
          <w:rFonts w:ascii="Calibri" w:eastAsia="Times New Roman" w:hAnsi="Calibri" w:cs="Times New Roman"/>
          <w:iCs/>
          <w:szCs w:val="24"/>
          <w:lang w:eastAsia="pl-PL"/>
        </w:rPr>
        <w:t xml:space="preserve"> </w:t>
      </w:r>
      <w:r w:rsidRPr="00714AE6">
        <w:rPr>
          <w:rFonts w:ascii="Calibri" w:eastAsia="Times New Roman" w:hAnsi="Calibri" w:cs="Times New Roman"/>
          <w:szCs w:val="24"/>
          <w:lang w:eastAsia="pl-PL"/>
        </w:rPr>
        <w:t>pochodzących ze środków Funduszu Pomocy</w:t>
      </w:r>
    </w:p>
    <w:p w:rsidR="00714AE6" w:rsidRPr="00714AE6" w:rsidRDefault="00714AE6" w:rsidP="00714AE6">
      <w:p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 xml:space="preserve">(Kompendium cz. I, II i III oraz 18 załączników dzielnicowych) i </w:t>
      </w:r>
      <w:r w:rsidRPr="00714AE6">
        <w:rPr>
          <w:rFonts w:ascii="Calibri" w:eastAsia="Times New Roman" w:hAnsi="Calibri" w:cs="Calibri"/>
          <w:b/>
          <w:lang w:eastAsia="pl-PL"/>
        </w:rPr>
        <w:t>„Informację o stanie mienia miasta stołecznego Warszawy”</w:t>
      </w:r>
      <w:r w:rsidRPr="00714AE6">
        <w:rPr>
          <w:rFonts w:ascii="Calibri" w:eastAsia="Times New Roman" w:hAnsi="Calibri" w:cs="Calibri"/>
          <w:lang w:eastAsia="pl-PL"/>
        </w:rPr>
        <w:t>.</w:t>
      </w:r>
    </w:p>
    <w:p w:rsidR="00714AE6" w:rsidRPr="00714AE6" w:rsidRDefault="00714AE6" w:rsidP="00714AE6">
      <w:p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 xml:space="preserve">Ponadto, zgodnie z wymogiem art. 270 ust. 1 ustawy z dnia 27 sierpnia 2009 r. o finansach publicznych, Rada m.st. Warszawy otrzymała </w:t>
      </w:r>
      <w:r w:rsidRPr="00714AE6">
        <w:rPr>
          <w:rFonts w:ascii="Calibri" w:eastAsia="Times New Roman" w:hAnsi="Calibri" w:cs="Calibri"/>
          <w:b/>
          <w:lang w:eastAsia="pl-PL"/>
        </w:rPr>
        <w:t>„Sprawozdanie finansowe m.st. Warszawy za 2022 rok”</w:t>
      </w:r>
      <w:r w:rsidRPr="00714AE6">
        <w:rPr>
          <w:rFonts w:ascii="Calibri" w:eastAsia="Times New Roman" w:hAnsi="Calibri" w:cs="Calibri"/>
          <w:lang w:eastAsia="pl-PL"/>
        </w:rPr>
        <w:t xml:space="preserve"> wraz ze </w:t>
      </w:r>
      <w:r w:rsidRPr="00714AE6">
        <w:rPr>
          <w:rFonts w:ascii="Calibri" w:eastAsia="Times New Roman" w:hAnsi="Calibri" w:cs="Calibri"/>
          <w:b/>
          <w:lang w:eastAsia="pl-PL"/>
        </w:rPr>
        <w:t>„Sprawozdaniem niezależnego biegłego rewidenta z badania rocznego sprawozdania finansowego za okres od 1 stycznia 2022 roku do 31 grudnia 2022 roku jednostki: Miasto Stołeczne Warszawa”</w:t>
      </w:r>
      <w:r w:rsidRPr="00714AE6">
        <w:rPr>
          <w:rFonts w:ascii="Calibri" w:eastAsia="Times New Roman" w:hAnsi="Calibri" w:cs="Calibri"/>
          <w:lang w:eastAsia="pl-PL"/>
        </w:rPr>
        <w:t>.</w:t>
      </w:r>
    </w:p>
    <w:p w:rsidR="00714AE6" w:rsidRPr="00714AE6" w:rsidRDefault="00714AE6" w:rsidP="00714AE6">
      <w:pPr>
        <w:spacing w:after="240" w:line="300" w:lineRule="auto"/>
        <w:rPr>
          <w:rFonts w:ascii="Calibri" w:eastAsia="Times New Roman" w:hAnsi="Calibri" w:cs="Calibri"/>
          <w:lang w:eastAsia="pl-PL"/>
        </w:rPr>
      </w:pPr>
      <w:r w:rsidRPr="00714AE6">
        <w:rPr>
          <w:rFonts w:ascii="Calibri" w:eastAsia="Times New Roman" w:hAnsi="Calibri" w:cs="Calibri"/>
          <w:lang w:eastAsia="pl-PL"/>
        </w:rPr>
        <w:t>Komisja Rewizyjna Rady m.st. Warszawy zapoznała się z treścią przedstawionych dokumentów dokonując oceny wykonania budżetu, a także rzetelności i prawidłowości sprawozdania finansowego. Poddała wnikliwej analizie informacje statystyczne i rachunkowe porównując je z przekazanymi Komisji dokumentami zawierającymi dane opisowe, wypowiedziami uzupełniającymi Skarbnika m.st. Warszawy, dyrektorów biur Urzędu m.st. Warszawy oraz dodatkowymi materiałami informacyjnymi. Ponadto Komisja Rewizyjna Rady m.st. Warszawy wysłuchała sprawozdania Biegłego Rewidenta z badania sprawozdania finansowego.</w:t>
      </w:r>
    </w:p>
    <w:p w:rsidR="00714AE6" w:rsidRPr="00714AE6" w:rsidRDefault="00714AE6" w:rsidP="00714AE6">
      <w:p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Komisja Rewizyjna stwierdza, że w 2022 r.:</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color w:val="000000"/>
          <w:lang w:eastAsia="pl-PL"/>
        </w:rPr>
      </w:pPr>
      <w:r w:rsidRPr="00714AE6">
        <w:rPr>
          <w:rFonts w:ascii="Calibri" w:eastAsia="Times New Roman" w:hAnsi="Calibri" w:cs="Calibri"/>
          <w:lang w:eastAsia="pl-PL"/>
        </w:rPr>
        <w:t xml:space="preserve">realizacja budżetu zamknęła się dodatnim wynikiem finansowym, co oznacza nadwyżkę budżetową w </w:t>
      </w:r>
      <w:r w:rsidRPr="00714AE6">
        <w:rPr>
          <w:rFonts w:ascii="Calibri" w:eastAsia="Times New Roman" w:hAnsi="Calibri" w:cs="Calibri"/>
          <w:color w:val="000000"/>
          <w:lang w:eastAsia="pl-PL"/>
        </w:rPr>
        <w:t xml:space="preserve">wysokości </w:t>
      </w:r>
      <w:r w:rsidRPr="00714AE6">
        <w:rPr>
          <w:rFonts w:ascii="Calibri" w:eastAsia="Times New Roman" w:hAnsi="Calibri" w:cs="Times New Roman"/>
          <w:szCs w:val="24"/>
          <w:lang w:eastAsia="pl-PL"/>
        </w:rPr>
        <w:t>496.645</w:t>
      </w:r>
      <w:r w:rsidRPr="00714AE6">
        <w:rPr>
          <w:rFonts w:ascii="Calibri" w:eastAsia="Times New Roman" w:hAnsi="Calibri" w:cs="Calibri"/>
          <w:color w:val="000000"/>
          <w:lang w:eastAsia="pl-PL"/>
        </w:rPr>
        <w:t xml:space="preserve"> tys. zł (</w:t>
      </w:r>
      <w:r w:rsidRPr="00714AE6">
        <w:rPr>
          <w:rFonts w:ascii="Calibri" w:eastAsia="Times New Roman" w:hAnsi="Calibri" w:cs="Times New Roman"/>
          <w:szCs w:val="24"/>
          <w:lang w:eastAsia="pl-PL"/>
        </w:rPr>
        <w:t xml:space="preserve">na dodatni wynik budżetu wpłynęło przekazanie z budżetu państwa w IV kwartale 2022 r. kwoty 851.904 tys. zł stanowiącej częściową rekompensatę </w:t>
      </w:r>
      <w:r w:rsidRPr="00714AE6">
        <w:rPr>
          <w:rFonts w:ascii="Calibri" w:eastAsia="Times New Roman" w:hAnsi="Calibri" w:cs="Calibri"/>
          <w:lang w:eastAsia="pl-PL"/>
        </w:rPr>
        <w:t>utraty dochodów m.st. Warszawy w 2023 r. z tytułu udziału w podatku dochodowym od osób fizycznych (PIT) na skutek wprowadzenia zmian w systemie prawnym wynikających z kolejnego etapu rządowego programu Polski Ład</w:t>
      </w:r>
      <w:r w:rsidRPr="00714AE6">
        <w:rPr>
          <w:rFonts w:ascii="Calibri" w:eastAsia="Times New Roman" w:hAnsi="Calibri" w:cs="Times New Roman"/>
          <w:szCs w:val="24"/>
          <w:lang w:eastAsia="pl-PL"/>
        </w:rPr>
        <w:t xml:space="preserve"> z przeznaczeniem na wydatki </w:t>
      </w:r>
      <w:r w:rsidRPr="00714AE6">
        <w:rPr>
          <w:rFonts w:ascii="Calibri" w:eastAsia="Times New Roman" w:hAnsi="Calibri" w:cs="Calibri"/>
          <w:lang w:eastAsia="pl-PL"/>
        </w:rPr>
        <w:t xml:space="preserve">m.st. Warszawy w </w:t>
      </w:r>
      <w:r w:rsidRPr="00714AE6">
        <w:rPr>
          <w:rFonts w:ascii="Calibri" w:eastAsia="Times New Roman" w:hAnsi="Calibri" w:cs="Times New Roman"/>
          <w:szCs w:val="24"/>
          <w:lang w:eastAsia="pl-PL"/>
        </w:rPr>
        <w:t>2023 r.)</w:t>
      </w:r>
      <w:r w:rsidRPr="00714AE6">
        <w:rPr>
          <w:rFonts w:ascii="Calibri" w:eastAsia="Times New Roman" w:hAnsi="Calibri" w:cs="Calibri"/>
          <w:color w:val="000000"/>
          <w:lang w:eastAsia="pl-PL"/>
        </w:rPr>
        <w:t>;</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wynik operacyjny</w:t>
      </w:r>
      <w:r w:rsidRPr="00714AE6">
        <w:rPr>
          <w:rFonts w:ascii="Calibri" w:eastAsia="Times New Roman" w:hAnsi="Calibri" w:cs="Calibri"/>
          <w:b/>
          <w:lang w:eastAsia="pl-PL"/>
        </w:rPr>
        <w:t xml:space="preserve"> </w:t>
      </w:r>
      <w:r w:rsidRPr="00714AE6">
        <w:rPr>
          <w:rFonts w:ascii="Calibri" w:eastAsia="Times New Roman" w:hAnsi="Calibri" w:cs="Calibri"/>
          <w:lang w:eastAsia="pl-PL"/>
        </w:rPr>
        <w:t>liczony jako różnica pomiędzy dochodami bieżącymi a wydatkami bieżącymi przyjął wartość dodatnią w kwocie</w:t>
      </w:r>
      <w:r w:rsidRPr="00714AE6">
        <w:rPr>
          <w:rFonts w:ascii="Calibri" w:eastAsia="Times New Roman" w:hAnsi="Calibri" w:cs="Calibri"/>
          <w:bCs/>
          <w:lang w:eastAsia="pl-PL"/>
        </w:rPr>
        <w:t xml:space="preserve"> </w:t>
      </w:r>
      <w:r w:rsidRPr="00714AE6">
        <w:rPr>
          <w:rFonts w:ascii="Calibri" w:eastAsia="Times New Roman" w:hAnsi="Calibri" w:cs="Calibri"/>
          <w:lang w:eastAsia="pl-PL"/>
        </w:rPr>
        <w:t>1.810.222 tys. zł;</w:t>
      </w:r>
    </w:p>
    <w:p w:rsidR="00714AE6" w:rsidRPr="00714AE6" w:rsidRDefault="00714AE6" w:rsidP="00BF05CD">
      <w:pPr>
        <w:numPr>
          <w:ilvl w:val="0"/>
          <w:numId w:val="9"/>
        </w:numPr>
        <w:spacing w:after="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zrealizowano dochody na poziomie 102,8% planu, tzn. w kwocie </w:t>
      </w:r>
      <w:r w:rsidRPr="00714AE6">
        <w:rPr>
          <w:rFonts w:ascii="Calibri" w:eastAsia="Times New Roman" w:hAnsi="Calibri" w:cs="Times New Roman"/>
          <w:szCs w:val="24"/>
          <w:lang w:eastAsia="pl-PL"/>
        </w:rPr>
        <w:t>21.653.151</w:t>
      </w:r>
      <w:r w:rsidRPr="00714AE6">
        <w:rPr>
          <w:rFonts w:ascii="Calibri" w:eastAsia="Times New Roman" w:hAnsi="Calibri" w:cs="Calibri"/>
          <w:lang w:eastAsia="pl-PL"/>
        </w:rPr>
        <w:t xml:space="preserve"> tys. zł, co wynikało m.in. z:</w:t>
      </w:r>
    </w:p>
    <w:p w:rsidR="00714AE6" w:rsidRPr="00714AE6" w:rsidRDefault="00714AE6" w:rsidP="00BF05CD">
      <w:pPr>
        <w:numPr>
          <w:ilvl w:val="0"/>
          <w:numId w:val="23"/>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ponadplanowych dochodów z mienia wynoszących +248.379 tys. zł, głównie</w:t>
      </w:r>
      <w:r w:rsidRPr="00714AE6">
        <w:rPr>
          <w:rFonts w:ascii="Calibri" w:eastAsia="Times New Roman" w:hAnsi="Calibri" w:cs="Times New Roman"/>
          <w:szCs w:val="24"/>
          <w:lang w:eastAsia="pl-PL"/>
        </w:rPr>
        <w:t xml:space="preserve"> w zakresie wpływów z odsetek od środków na rachunkach bankowych, wynikających ze wzrostu stóp procentowych na skutek radykalnego przyspieszenia inflacji (od IV kwartału 2021 r. główna stopa procentowa Narodowego Banku Polskiego była podnoszona 11-krotnie i w rezultacie wzrosła z 0,1 proc. do 6,75 proc. na koniec 2022 r.);</w:t>
      </w:r>
    </w:p>
    <w:p w:rsidR="00714AE6" w:rsidRPr="00714AE6" w:rsidRDefault="00714AE6" w:rsidP="00BF05CD">
      <w:pPr>
        <w:numPr>
          <w:ilvl w:val="0"/>
          <w:numId w:val="23"/>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lastRenderedPageBreak/>
        <w:t xml:space="preserve">ponadplanowych dochodów z podatku od czynności cywilnoprawnych (PCC) wynoszących +178.195 tys. zł, wynikających m.in. z radykalnego przyspieszenia inflacji, której wskaźnik w 2022 r. </w:t>
      </w:r>
      <w:r w:rsidRPr="00714AE6">
        <w:rPr>
          <w:rFonts w:ascii="Calibri" w:eastAsia="Times New Roman" w:hAnsi="Calibri" w:cs="Times New Roman"/>
          <w:szCs w:val="24"/>
          <w:lang w:eastAsia="pl-PL"/>
        </w:rPr>
        <w:t>wyniósł 14,4% i był o 9,3 pkt proc. wyższy od wskaźnika średniorocznej inflacji w 2021 r.;</w:t>
      </w:r>
    </w:p>
    <w:p w:rsidR="00714AE6" w:rsidRPr="00714AE6" w:rsidRDefault="00714AE6" w:rsidP="00BF05CD">
      <w:pPr>
        <w:numPr>
          <w:ilvl w:val="0"/>
          <w:numId w:val="23"/>
        </w:numPr>
        <w:spacing w:after="0" w:line="300" w:lineRule="auto"/>
        <w:ind w:left="1071"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ponadplanowych dochodów z </w:t>
      </w:r>
      <w:r w:rsidRPr="00714AE6">
        <w:rPr>
          <w:rFonts w:ascii="Calibri" w:eastAsia="Times New Roman" w:hAnsi="Calibri" w:cs="Times New Roman"/>
          <w:szCs w:val="24"/>
          <w:lang w:eastAsia="pl-PL"/>
        </w:rPr>
        <w:t>Unii Europejskiej wynoszących +135.679 tys. zł, wynikających ze zmian harmonogramów i stopnia realizacji zadań, skutkujących realizacją w 2022 r. dochodów zaplanowanych na 2023 r. na dofinansowanie głównie inwestycji związanych z budową II linii metra oraz modernizacją ciągu ul. Marsa – Żołnierska</w:t>
      </w:r>
      <w:r w:rsidRPr="00714AE6">
        <w:rPr>
          <w:rFonts w:ascii="Calibri" w:eastAsia="Times New Roman" w:hAnsi="Calibri" w:cs="Calibri"/>
          <w:lang w:eastAsia="pl-PL"/>
        </w:rPr>
        <w:t>;</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na działania związane z pomocą obywatelom Ukrainy w związku z konfliktem zbrojnym na terytorium tego państwa otrzymano środki w wysokości </w:t>
      </w:r>
      <w:r w:rsidRPr="00714AE6">
        <w:rPr>
          <w:rFonts w:ascii="Calibri" w:eastAsia="Times New Roman" w:hAnsi="Calibri" w:cs="Times New Roman"/>
          <w:szCs w:val="24"/>
          <w:lang w:eastAsia="pl-PL"/>
        </w:rPr>
        <w:t>528.832 tys. zł i wydatkowano kwotę 555.476 tys. zł, z czego 70.767 tys. zł zostało sfinansowane ze środków własnych m.st. Warszawy, tj. poza środkami pochodzącymi z budżetu państwa i z innych źródeł;</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na działania związane z zapobieganiem, przeciwdziałaniem i zwalczaniem COVID-19 otrzymano środki w wysokości </w:t>
      </w:r>
      <w:r w:rsidRPr="00714AE6">
        <w:rPr>
          <w:rFonts w:ascii="Calibri" w:eastAsia="Times New Roman" w:hAnsi="Calibri" w:cs="Times New Roman"/>
          <w:szCs w:val="24"/>
          <w:lang w:eastAsia="pl-PL"/>
        </w:rPr>
        <w:t>30.391</w:t>
      </w:r>
      <w:r w:rsidRPr="00714AE6">
        <w:rPr>
          <w:rFonts w:ascii="Calibri" w:eastAsia="Times New Roman" w:hAnsi="Calibri" w:cs="Calibri"/>
          <w:lang w:eastAsia="pl-PL"/>
        </w:rPr>
        <w:t xml:space="preserve"> tys. zł i wydatkowano kwotę </w:t>
      </w:r>
      <w:r w:rsidRPr="00714AE6">
        <w:rPr>
          <w:rFonts w:ascii="Calibri" w:eastAsia="Times New Roman" w:hAnsi="Calibri" w:cs="Times New Roman"/>
          <w:szCs w:val="24"/>
          <w:lang w:eastAsia="pl-PL"/>
        </w:rPr>
        <w:t>28.759</w:t>
      </w:r>
      <w:r w:rsidRPr="00714AE6">
        <w:rPr>
          <w:rFonts w:ascii="Calibri" w:eastAsia="Times New Roman" w:hAnsi="Calibri" w:cs="Calibri"/>
          <w:lang w:eastAsia="pl-PL"/>
        </w:rPr>
        <w:t xml:space="preserve"> tys. zł, co oznacza, że </w:t>
      </w:r>
      <w:r w:rsidRPr="00714AE6">
        <w:rPr>
          <w:rFonts w:ascii="Calibri" w:eastAsia="Times New Roman" w:hAnsi="Calibri" w:cs="Times New Roman"/>
          <w:szCs w:val="24"/>
          <w:lang w:eastAsia="pl-PL"/>
        </w:rPr>
        <w:t>w ujęciu netto wpływ COVID-19 na budżet m.st. Warszawy w 2022 r. zamknął się kwotą +1.632 tys. zł. Środki z Funduszu Przeciwdziałania COVID-19 niewykorzystane w 2022 r. zostały uwzględnione w uchwale nr LXXIX/2554/2023 Rady Miasta Stołecznego Warszawy z 9 marca 2023 r. w sprawie zmian w budżecie miasta stołecznego Warszawy na 2023 rok z przeznaczeniem na finansowanie zadań w 2023 r.</w:t>
      </w:r>
      <w:r w:rsidRPr="00714AE6">
        <w:rPr>
          <w:rFonts w:ascii="Calibri" w:eastAsia="Times New Roman" w:hAnsi="Calibri" w:cs="Calibri"/>
          <w:lang w:eastAsia="pl-PL"/>
        </w:rPr>
        <w:t>;</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zrealizowano wydatki bieżące na poziomie 95,9% planu, tzn. w kwocie </w:t>
      </w:r>
      <w:r w:rsidRPr="00714AE6">
        <w:rPr>
          <w:rFonts w:ascii="Calibri" w:eastAsia="Times New Roman" w:hAnsi="Calibri" w:cs="Times New Roman"/>
          <w:szCs w:val="24"/>
          <w:lang w:eastAsia="pl-PL"/>
        </w:rPr>
        <w:t>18.874.247</w:t>
      </w:r>
      <w:r w:rsidRPr="00714AE6">
        <w:rPr>
          <w:rFonts w:ascii="Calibri" w:eastAsia="Times New Roman" w:hAnsi="Calibri" w:cs="Calibri"/>
          <w:lang w:eastAsia="pl-PL"/>
        </w:rPr>
        <w:t xml:space="preserve"> tys. zł;</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zrealizowano inwestycje na poziomie 89,7% planu, tzn. w kwocie </w:t>
      </w:r>
      <w:r w:rsidRPr="00714AE6">
        <w:rPr>
          <w:rFonts w:ascii="Calibri" w:eastAsia="Times New Roman" w:hAnsi="Calibri" w:cs="Times New Roman"/>
          <w:szCs w:val="24"/>
          <w:lang w:eastAsia="pl-PL"/>
        </w:rPr>
        <w:t>2.282.259</w:t>
      </w:r>
      <w:r w:rsidRPr="00714AE6">
        <w:rPr>
          <w:rFonts w:ascii="Calibri" w:eastAsia="Times New Roman" w:hAnsi="Calibri" w:cs="Calibri"/>
          <w:lang w:eastAsia="pl-PL"/>
        </w:rPr>
        <w:t xml:space="preserve"> tys. zł;</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zadłużenie m.st. Warszawy obniżono w stosunku do stanu na koniec 2021 r. o 539.051 tys. zł;</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poziom zadłużenia w relacji do dochodów uległ obniżeniu o 2,5 pkt proc., tj. do 24,4%;</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wydatki na obsługę długu i rozchody oraz udzielone poręczenia i gwarancje w relacji do dochodów bieżących wyniosły (po </w:t>
      </w:r>
      <w:proofErr w:type="spellStart"/>
      <w:r w:rsidRPr="00714AE6">
        <w:rPr>
          <w:rFonts w:ascii="Calibri" w:eastAsia="Times New Roman" w:hAnsi="Calibri" w:cs="Calibri"/>
          <w:lang w:eastAsia="pl-PL"/>
        </w:rPr>
        <w:t>wyłączeniach</w:t>
      </w:r>
      <w:proofErr w:type="spellEnd"/>
      <w:r w:rsidRPr="00714AE6">
        <w:rPr>
          <w:rFonts w:ascii="Calibri" w:eastAsia="Times New Roman" w:hAnsi="Calibri" w:cs="Calibri"/>
          <w:lang w:eastAsia="pl-PL"/>
        </w:rPr>
        <w:t>) 3,72% wobec limitu wynoszącego 12,28%;</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spełniono regułę wydatkową w zakresie wydatków bieżących oraz regułę dotyczącą indywidualnego limitu obsługi długu, które zostały określone w art. 242 i 243 ustawy z dnia 27 sierpnia 2009 r. o finansach publicznych, przy czym ocena ich spełnienia następuje z uwzględnieniem zmian łagodzących, będących skutkiem wystąpienia pandemii </w:t>
      </w:r>
      <w:proofErr w:type="spellStart"/>
      <w:r w:rsidRPr="00714AE6">
        <w:rPr>
          <w:rFonts w:ascii="Calibri" w:eastAsia="Times New Roman" w:hAnsi="Calibri" w:cs="Calibri"/>
          <w:lang w:eastAsia="pl-PL"/>
        </w:rPr>
        <w:t>koronawirusa</w:t>
      </w:r>
      <w:proofErr w:type="spellEnd"/>
      <w:r w:rsidRPr="00714AE6">
        <w:rPr>
          <w:rFonts w:ascii="Calibri" w:eastAsia="Times New Roman" w:hAnsi="Calibri" w:cs="Calibri"/>
          <w:lang w:eastAsia="pl-PL"/>
        </w:rPr>
        <w:t xml:space="preserve"> SARS-CoV-2 wywołującego chorobę COVID-19 i wybuchu konfliktu zbrojnego na terytorium Ukrainy </w:t>
      </w:r>
      <w:r w:rsidRPr="00714AE6">
        <w:rPr>
          <w:rFonts w:ascii="Calibri" w:eastAsia="Times New Roman" w:hAnsi="Calibri" w:cs="Times New Roman"/>
          <w:szCs w:val="24"/>
          <w:lang w:eastAsia="pl-PL"/>
        </w:rPr>
        <w:t>oraz zmian w systemie dochodów jednostek samorządu terytorialnego wprowadzonych w ramach rządowego programu Polski Ład</w:t>
      </w:r>
      <w:r w:rsidRPr="00714AE6">
        <w:rPr>
          <w:rFonts w:ascii="Calibri" w:eastAsia="Times New Roman" w:hAnsi="Calibri" w:cs="Calibri"/>
          <w:lang w:eastAsia="pl-PL"/>
        </w:rPr>
        <w:t>;</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stan mienia m.st. Warszawy na dzień 31 grudnia 2022 r. według ewidencji księgowej wyniósł </w:t>
      </w:r>
      <w:r w:rsidRPr="00714AE6">
        <w:rPr>
          <w:rFonts w:ascii="Calibri" w:eastAsia="Times New Roman" w:hAnsi="Calibri" w:cs="Times New Roman"/>
          <w:szCs w:val="24"/>
          <w:lang w:eastAsia="pl-PL"/>
        </w:rPr>
        <w:t>41.166.631.362</w:t>
      </w:r>
      <w:r w:rsidRPr="00714AE6">
        <w:rPr>
          <w:rFonts w:ascii="Calibri" w:eastAsia="Times New Roman" w:hAnsi="Calibri" w:cs="Calibri"/>
          <w:lang w:eastAsia="pl-PL"/>
        </w:rPr>
        <w:t xml:space="preserve"> zł.</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„Sprawozdanie z wykonania budżetu m.st. Warszawy za 2022 r.” zostało pozytywnie zaopiniowane przez Skład Orzekający Regionalnej Izby Obrachunkowej w Warszawie.</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Bilans z wykonania budżetu m.st. Warszawy wchodzący w skład sprawozdania finansowego m.st. Warszawy zamknął się sumą aktywów i pasywów w wysokości 4.263.358.702,00 zł.</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Łączny bilans m.st. Warszawy wchodzący w skład sprawozdania finansowego m.st. Warszawy zamknął się sumą bilansową 42.895.242.312,10 zł.</w:t>
      </w:r>
    </w:p>
    <w:p w:rsidR="00714AE6" w:rsidRPr="00714AE6" w:rsidRDefault="00714AE6" w:rsidP="00BF05CD">
      <w:pPr>
        <w:numPr>
          <w:ilvl w:val="0"/>
          <w:numId w:val="9"/>
        </w:numPr>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Sprawozdanie finansowe zostało zaopiniowane przez niezależnego Biegłego Rewidenta.</w:t>
      </w:r>
    </w:p>
    <w:p w:rsidR="00714AE6" w:rsidRPr="00714AE6" w:rsidRDefault="00714AE6" w:rsidP="00714AE6">
      <w:pPr>
        <w:spacing w:after="0" w:line="300" w:lineRule="auto"/>
        <w:contextualSpacing/>
        <w:rPr>
          <w:rFonts w:ascii="Calibri" w:eastAsia="Times New Roman" w:hAnsi="Calibri" w:cs="Calibri"/>
          <w:lang w:eastAsia="pl-PL"/>
        </w:rPr>
      </w:pPr>
      <w:r w:rsidRPr="00714AE6">
        <w:rPr>
          <w:rFonts w:ascii="Calibri" w:eastAsia="Times New Roman" w:hAnsi="Calibri" w:cs="Calibri"/>
          <w:lang w:eastAsia="pl-PL"/>
        </w:rPr>
        <w:lastRenderedPageBreak/>
        <w:t>W wyniku analiz i przeprowadzonej dyskusji Komisja Rewizyjna Rady m.st. Warszawy pozytywnie oceniła wykonanie budżetu miasta stołecznego Warszawy za 2022 rok, biorąc pod uwagę m.in.:</w:t>
      </w:r>
    </w:p>
    <w:p w:rsidR="00714AE6" w:rsidRPr="00714AE6" w:rsidRDefault="00714AE6" w:rsidP="00BF05CD">
      <w:pPr>
        <w:numPr>
          <w:ilvl w:val="0"/>
          <w:numId w:val="24"/>
        </w:numPr>
        <w:spacing w:after="0" w:line="300" w:lineRule="auto"/>
        <w:ind w:left="765"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zaistniałą sytuację społeczno-gospodarczą będącą efektem </w:t>
      </w:r>
      <w:r w:rsidRPr="00714AE6">
        <w:rPr>
          <w:rFonts w:ascii="Calibri" w:eastAsia="Times New Roman" w:hAnsi="Calibri" w:cs="Times New Roman"/>
          <w:szCs w:val="24"/>
          <w:lang w:eastAsia="pl-PL"/>
        </w:rPr>
        <w:t>zmian wprowadzonych w ramach rządowego programu Polski Ład,</w:t>
      </w:r>
      <w:r w:rsidRPr="00714AE6">
        <w:rPr>
          <w:rFonts w:ascii="Calibri" w:eastAsia="Times New Roman" w:hAnsi="Calibri" w:cs="Calibri"/>
          <w:lang w:eastAsia="pl-PL"/>
        </w:rPr>
        <w:t xml:space="preserve"> silnego wzrostu inflacji, wystąpienia pandemii COVID-19 oraz wybuchu konfliktu zbrojnego na terytorium Ukrainy;</w:t>
      </w:r>
    </w:p>
    <w:p w:rsidR="00714AE6" w:rsidRPr="00714AE6" w:rsidRDefault="00714AE6" w:rsidP="00BF05CD">
      <w:pPr>
        <w:numPr>
          <w:ilvl w:val="0"/>
          <w:numId w:val="24"/>
        </w:numPr>
        <w:spacing w:after="0" w:line="300" w:lineRule="auto"/>
        <w:ind w:left="765" w:hanging="357"/>
        <w:contextualSpacing/>
        <w:rPr>
          <w:rFonts w:ascii="Calibri" w:eastAsia="Times New Roman" w:hAnsi="Calibri" w:cs="Calibri"/>
          <w:lang w:eastAsia="pl-PL"/>
        </w:rPr>
      </w:pPr>
      <w:r w:rsidRPr="00714AE6">
        <w:rPr>
          <w:rFonts w:ascii="Calibri" w:eastAsia="Times New Roman" w:hAnsi="Calibri" w:cs="Calibri"/>
          <w:lang w:eastAsia="pl-PL"/>
        </w:rPr>
        <w:t>kryterium legalności, celowości, gospodarności i rzetelności</w:t>
      </w:r>
    </w:p>
    <w:p w:rsidR="00714AE6" w:rsidRPr="00714AE6" w:rsidRDefault="00714AE6" w:rsidP="00714AE6">
      <w:pPr>
        <w:spacing w:after="240" w:line="300" w:lineRule="auto"/>
        <w:rPr>
          <w:rFonts w:ascii="Calibri" w:eastAsia="Times New Roman" w:hAnsi="Calibri" w:cs="Calibri"/>
          <w:lang w:eastAsia="pl-PL"/>
        </w:rPr>
      </w:pPr>
      <w:r w:rsidRPr="00714AE6">
        <w:rPr>
          <w:rFonts w:ascii="Calibri" w:eastAsia="Times New Roman" w:hAnsi="Calibri" w:cs="Calibri"/>
          <w:lang w:eastAsia="pl-PL"/>
        </w:rPr>
        <w:t>oraz pozytywnie oceniła „Sprawozdanie finansowe miasta stołecznego Warszawy za 2022 rok” m.in. w aspekcie rzetelności i prawidłowości.</w:t>
      </w:r>
    </w:p>
    <w:p w:rsidR="00714AE6" w:rsidRPr="00714AE6" w:rsidRDefault="00714AE6" w:rsidP="00714AE6">
      <w:pPr>
        <w:spacing w:after="240" w:line="300" w:lineRule="auto"/>
        <w:rPr>
          <w:rFonts w:ascii="Calibri" w:eastAsia="Times New Roman" w:hAnsi="Calibri" w:cs="Calibri"/>
          <w:lang w:eastAsia="pl-PL"/>
        </w:rPr>
      </w:pPr>
      <w:r w:rsidRPr="00714AE6">
        <w:rPr>
          <w:rFonts w:ascii="Calibri" w:eastAsia="Times New Roman" w:hAnsi="Calibri" w:cs="Calibri"/>
          <w:lang w:eastAsia="pl-PL"/>
        </w:rPr>
        <w:t>Komisja Rewizyjna odnosząc się do wykonania budżetu w 2022 r. stwierdza, że:</w:t>
      </w:r>
    </w:p>
    <w:p w:rsidR="00714AE6" w:rsidRPr="00714AE6" w:rsidRDefault="00714AE6" w:rsidP="00BF05CD">
      <w:pPr>
        <w:numPr>
          <w:ilvl w:val="0"/>
          <w:numId w:val="20"/>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 xml:space="preserve">Dochody ogółem budżetu m.st. Warszawy w 2022 r. zostały zrealizowane w kwocie </w:t>
      </w:r>
      <w:r w:rsidRPr="00714AE6">
        <w:rPr>
          <w:rFonts w:ascii="Calibri" w:eastAsia="Times New Roman" w:hAnsi="Calibri" w:cs="Times New Roman"/>
          <w:szCs w:val="24"/>
          <w:lang w:eastAsia="pl-PL"/>
        </w:rPr>
        <w:t>21.653.151</w:t>
      </w:r>
      <w:r w:rsidRPr="00714AE6">
        <w:rPr>
          <w:rFonts w:ascii="Calibri" w:eastAsia="Times New Roman" w:hAnsi="Calibri" w:cs="Calibri"/>
          <w:lang w:eastAsia="pl-PL"/>
        </w:rPr>
        <w:t xml:space="preserve"> tys. zł, tj. na poziomie 102,8% planu. Realizacja dochodów była wyższa od wielkości planowanej o 591.467 tys. zł, co wynikało m.in. z ponadplanowych dochodów z mienia, podatku od czynności cywilnoprawnych (PCC) i dochodów z </w:t>
      </w:r>
      <w:r w:rsidRPr="00714AE6">
        <w:rPr>
          <w:rFonts w:ascii="Calibri" w:eastAsia="Times New Roman" w:hAnsi="Calibri" w:cs="Times New Roman"/>
          <w:szCs w:val="24"/>
          <w:lang w:eastAsia="pl-PL"/>
        </w:rPr>
        <w:t>Unii Europejskiej</w:t>
      </w:r>
      <w:r w:rsidRPr="00714AE6">
        <w:rPr>
          <w:rFonts w:ascii="Calibri" w:eastAsia="Times New Roman" w:hAnsi="Calibri" w:cs="Calibri"/>
          <w:lang w:eastAsia="pl-PL"/>
        </w:rPr>
        <w:t>.</w:t>
      </w:r>
    </w:p>
    <w:tbl>
      <w:tblPr>
        <w:tblStyle w:val="Siatkatabelijasna2"/>
        <w:tblW w:w="45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Caption w:val="Realizacja planu dochodów na 31 grudnia 2022 roku."/>
        <w:tblDescription w:val="Tabela zawiera dane liczbowe odnoszące się do planu i wykonania dochodów w podziale na części: miejską, powiatową i dzielnicową wg stanu na 31 grudnia 2022 roku wraz z poziomem realizacji planu."/>
      </w:tblPr>
      <w:tblGrid>
        <w:gridCol w:w="2159"/>
        <w:gridCol w:w="2088"/>
        <w:gridCol w:w="2088"/>
        <w:gridCol w:w="2089"/>
      </w:tblGrid>
      <w:tr w:rsidR="00714AE6" w:rsidRPr="00714AE6" w:rsidTr="00714AE6">
        <w:trPr>
          <w:trHeight w:val="581"/>
          <w:tblHeader/>
        </w:trPr>
        <w:tc>
          <w:tcPr>
            <w:tcW w:w="1281" w:type="pct"/>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ind w:left="-142"/>
              <w:jc w:val="center"/>
              <w:rPr>
                <w:rFonts w:ascii="Calibri" w:hAnsi="Calibri" w:cs="Calibri"/>
                <w:b/>
                <w:bCs/>
                <w:color w:val="000000"/>
              </w:rPr>
            </w:pPr>
            <w:r w:rsidRPr="00714AE6">
              <w:rPr>
                <w:rFonts w:ascii="Calibri" w:hAnsi="Calibri" w:cs="Calibri"/>
                <w:b/>
                <w:bCs/>
                <w:color w:val="000000"/>
              </w:rPr>
              <w:t>Wyszczególnienie</w:t>
            </w:r>
          </w:p>
        </w:tc>
        <w:tc>
          <w:tcPr>
            <w:tcW w:w="1239" w:type="pct"/>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Plan na</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31.12.2022 r.</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 tys. zł)</w:t>
            </w:r>
          </w:p>
        </w:tc>
        <w:tc>
          <w:tcPr>
            <w:tcW w:w="1239" w:type="pct"/>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Wykonanie na 31.12.2022 r.</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 tys. zł)</w:t>
            </w:r>
          </w:p>
        </w:tc>
        <w:tc>
          <w:tcPr>
            <w:tcW w:w="1240" w:type="pct"/>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Poziom realizacji planu</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 %)</w:t>
            </w:r>
          </w:p>
        </w:tc>
      </w:tr>
      <w:tr w:rsidR="00714AE6" w:rsidRPr="00714AE6" w:rsidTr="00714AE6">
        <w:trPr>
          <w:trHeight w:val="348"/>
        </w:trPr>
        <w:tc>
          <w:tcPr>
            <w:tcW w:w="1281" w:type="pct"/>
            <w:shd w:val="clear" w:color="auto" w:fill="DEEAF6" w:themeFill="accent1" w:themeFillTint="33"/>
            <w:vAlign w:val="center"/>
          </w:tcPr>
          <w:p w:rsidR="00714AE6" w:rsidRPr="00714AE6" w:rsidRDefault="00714AE6" w:rsidP="00714AE6">
            <w:pPr>
              <w:autoSpaceDE w:val="0"/>
              <w:autoSpaceDN w:val="0"/>
              <w:adjustRightInd w:val="0"/>
              <w:spacing w:after="0" w:line="240" w:lineRule="auto"/>
              <w:rPr>
                <w:rFonts w:ascii="Calibri" w:hAnsi="Calibri" w:cs="Calibri"/>
                <w:b/>
                <w:bCs/>
                <w:color w:val="000000"/>
              </w:rPr>
            </w:pPr>
            <w:r w:rsidRPr="00714AE6">
              <w:rPr>
                <w:rFonts w:ascii="Calibri" w:hAnsi="Calibri" w:cs="Calibri"/>
                <w:b/>
                <w:bCs/>
                <w:color w:val="000000"/>
              </w:rPr>
              <w:t>Dochody ogółem, z tego:</w:t>
            </w:r>
          </w:p>
        </w:tc>
        <w:tc>
          <w:tcPr>
            <w:tcW w:w="1239" w:type="pct"/>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b/>
                <w:szCs w:val="24"/>
              </w:rPr>
              <w:t>21 061 684</w:t>
            </w:r>
          </w:p>
        </w:tc>
        <w:tc>
          <w:tcPr>
            <w:tcW w:w="1239" w:type="pct"/>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b/>
                <w:szCs w:val="24"/>
              </w:rPr>
              <w:t>21 653 151</w:t>
            </w:r>
          </w:p>
        </w:tc>
        <w:tc>
          <w:tcPr>
            <w:tcW w:w="1240" w:type="pct"/>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b/>
                <w:szCs w:val="24"/>
              </w:rPr>
              <w:t>102,8</w:t>
            </w:r>
          </w:p>
        </w:tc>
      </w:tr>
      <w:tr w:rsidR="00714AE6" w:rsidRPr="00714AE6" w:rsidTr="00714AE6">
        <w:trPr>
          <w:trHeight w:val="348"/>
        </w:trPr>
        <w:tc>
          <w:tcPr>
            <w:tcW w:w="1281" w:type="pct"/>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część miejska</w:t>
            </w:r>
          </w:p>
        </w:tc>
        <w:tc>
          <w:tcPr>
            <w:tcW w:w="1239" w:type="pct"/>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15 754 699</w:t>
            </w:r>
          </w:p>
        </w:tc>
        <w:tc>
          <w:tcPr>
            <w:tcW w:w="1239" w:type="pct"/>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16 319 736</w:t>
            </w:r>
          </w:p>
        </w:tc>
        <w:tc>
          <w:tcPr>
            <w:tcW w:w="1240" w:type="pct"/>
            <w:vAlign w:val="center"/>
          </w:tcPr>
          <w:p w:rsidR="00714AE6" w:rsidRPr="00714AE6" w:rsidRDefault="00714AE6" w:rsidP="00714AE6">
            <w:pPr>
              <w:autoSpaceDE w:val="0"/>
              <w:autoSpaceDN w:val="0"/>
              <w:adjustRightInd w:val="0"/>
              <w:spacing w:after="0" w:line="240" w:lineRule="auto"/>
              <w:jc w:val="center"/>
              <w:rPr>
                <w:rFonts w:ascii="Calibri" w:hAnsi="Calibri" w:cs="Calibri"/>
                <w:color w:val="000000"/>
              </w:rPr>
            </w:pPr>
            <w:r w:rsidRPr="00714AE6">
              <w:rPr>
                <w:rFonts w:ascii="Calibri" w:hAnsi="Calibri" w:cs="Calibri"/>
                <w:color w:val="000000"/>
              </w:rPr>
              <w:t>103,6</w:t>
            </w:r>
          </w:p>
        </w:tc>
      </w:tr>
      <w:tr w:rsidR="00714AE6" w:rsidRPr="00714AE6" w:rsidTr="00714AE6">
        <w:trPr>
          <w:trHeight w:val="348"/>
        </w:trPr>
        <w:tc>
          <w:tcPr>
            <w:tcW w:w="1281" w:type="pct"/>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część powiatowa</w:t>
            </w:r>
          </w:p>
        </w:tc>
        <w:tc>
          <w:tcPr>
            <w:tcW w:w="1239" w:type="pct"/>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3 522 357</w:t>
            </w:r>
          </w:p>
        </w:tc>
        <w:tc>
          <w:tcPr>
            <w:tcW w:w="1239" w:type="pct"/>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3 559 571</w:t>
            </w:r>
          </w:p>
        </w:tc>
        <w:tc>
          <w:tcPr>
            <w:tcW w:w="1240" w:type="pct"/>
            <w:vAlign w:val="center"/>
          </w:tcPr>
          <w:p w:rsidR="00714AE6" w:rsidRPr="00714AE6" w:rsidRDefault="00714AE6" w:rsidP="00714AE6">
            <w:pPr>
              <w:autoSpaceDE w:val="0"/>
              <w:autoSpaceDN w:val="0"/>
              <w:adjustRightInd w:val="0"/>
              <w:spacing w:after="0" w:line="240" w:lineRule="auto"/>
              <w:jc w:val="center"/>
              <w:rPr>
                <w:rFonts w:ascii="Calibri" w:hAnsi="Calibri" w:cs="Calibri"/>
                <w:color w:val="000000"/>
              </w:rPr>
            </w:pPr>
            <w:r w:rsidRPr="00714AE6">
              <w:rPr>
                <w:rFonts w:ascii="Calibri" w:hAnsi="Calibri" w:cs="Calibri"/>
                <w:color w:val="000000"/>
              </w:rPr>
              <w:t>101,1</w:t>
            </w:r>
          </w:p>
        </w:tc>
      </w:tr>
      <w:tr w:rsidR="00714AE6" w:rsidRPr="00714AE6" w:rsidTr="00714AE6">
        <w:trPr>
          <w:trHeight w:val="348"/>
        </w:trPr>
        <w:tc>
          <w:tcPr>
            <w:tcW w:w="1281" w:type="pct"/>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dzielnice</w:t>
            </w:r>
          </w:p>
        </w:tc>
        <w:tc>
          <w:tcPr>
            <w:tcW w:w="1239" w:type="pct"/>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1 784 628</w:t>
            </w:r>
          </w:p>
        </w:tc>
        <w:tc>
          <w:tcPr>
            <w:tcW w:w="1239" w:type="pct"/>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1 773 844</w:t>
            </w:r>
          </w:p>
        </w:tc>
        <w:tc>
          <w:tcPr>
            <w:tcW w:w="1240" w:type="pct"/>
            <w:vAlign w:val="center"/>
          </w:tcPr>
          <w:p w:rsidR="00714AE6" w:rsidRPr="00714AE6" w:rsidRDefault="00714AE6" w:rsidP="00714AE6">
            <w:pPr>
              <w:autoSpaceDE w:val="0"/>
              <w:autoSpaceDN w:val="0"/>
              <w:adjustRightInd w:val="0"/>
              <w:spacing w:after="0" w:line="240" w:lineRule="auto"/>
              <w:jc w:val="center"/>
              <w:rPr>
                <w:rFonts w:ascii="Calibri" w:hAnsi="Calibri" w:cs="Calibri"/>
                <w:color w:val="000000"/>
              </w:rPr>
            </w:pPr>
            <w:r w:rsidRPr="00714AE6">
              <w:rPr>
                <w:rFonts w:ascii="Calibri" w:hAnsi="Calibri" w:cs="Calibri"/>
                <w:color w:val="000000"/>
              </w:rPr>
              <w:t>99,4</w:t>
            </w:r>
          </w:p>
        </w:tc>
      </w:tr>
    </w:tbl>
    <w:p w:rsidR="00714AE6" w:rsidRPr="00714AE6" w:rsidRDefault="00714AE6" w:rsidP="00BF05CD">
      <w:pPr>
        <w:numPr>
          <w:ilvl w:val="0"/>
          <w:numId w:val="20"/>
        </w:numPr>
        <w:spacing w:before="240" w:after="0" w:line="300" w:lineRule="auto"/>
        <w:contextualSpacing/>
        <w:rPr>
          <w:rFonts w:ascii="Calibri" w:eastAsia="Times New Roman" w:hAnsi="Calibri" w:cs="Calibri"/>
          <w:lang w:eastAsia="pl-PL"/>
        </w:rPr>
      </w:pPr>
      <w:r w:rsidRPr="00714AE6">
        <w:rPr>
          <w:rFonts w:ascii="Calibri" w:eastAsia="Times New Roman" w:hAnsi="Calibri" w:cs="Calibri"/>
          <w:lang w:eastAsia="pl-PL"/>
        </w:rPr>
        <w:t xml:space="preserve">Wydatki budżetowe zrealizowano na kwotę </w:t>
      </w:r>
      <w:r w:rsidRPr="00714AE6">
        <w:rPr>
          <w:rFonts w:ascii="Calibri" w:eastAsia="Times New Roman" w:hAnsi="Calibri" w:cs="Times New Roman"/>
          <w:szCs w:val="24"/>
          <w:lang w:eastAsia="pl-PL"/>
        </w:rPr>
        <w:t>21.156.506</w:t>
      </w:r>
      <w:r w:rsidRPr="00714AE6">
        <w:rPr>
          <w:rFonts w:ascii="Calibri" w:eastAsia="Times New Roman" w:hAnsi="Calibri" w:cs="Calibri"/>
          <w:lang w:eastAsia="pl-PL"/>
        </w:rPr>
        <w:t xml:space="preserve"> tys. zł, tj. na poziomie </w:t>
      </w:r>
      <w:r w:rsidRPr="00714AE6">
        <w:rPr>
          <w:rFonts w:ascii="Calibri" w:eastAsia="Times New Roman" w:hAnsi="Calibri" w:cs="Times New Roman"/>
          <w:szCs w:val="24"/>
          <w:lang w:eastAsia="pl-PL"/>
        </w:rPr>
        <w:t>95,2</w:t>
      </w:r>
      <w:r w:rsidRPr="00714AE6">
        <w:rPr>
          <w:rFonts w:ascii="Calibri" w:eastAsia="Times New Roman" w:hAnsi="Calibri" w:cs="Calibri"/>
          <w:lang w:eastAsia="pl-PL"/>
        </w:rPr>
        <w:t>% planu.</w:t>
      </w:r>
    </w:p>
    <w:p w:rsidR="00714AE6" w:rsidRPr="00714AE6" w:rsidRDefault="00714AE6" w:rsidP="00714AE6">
      <w:pPr>
        <w:spacing w:after="240" w:line="300" w:lineRule="auto"/>
        <w:ind w:left="360"/>
        <w:contextualSpacing/>
        <w:rPr>
          <w:rFonts w:ascii="Calibri" w:eastAsia="Times New Roman" w:hAnsi="Calibri" w:cs="Calibri"/>
          <w:lang w:eastAsia="pl-PL"/>
        </w:rPr>
      </w:pPr>
      <w:r w:rsidRPr="00714AE6">
        <w:rPr>
          <w:rFonts w:ascii="Calibri" w:eastAsia="Times New Roman" w:hAnsi="Calibri" w:cs="Calibri"/>
          <w:lang w:eastAsia="pl-PL"/>
        </w:rPr>
        <w:t xml:space="preserve">Wydatki bieżące zrealizowano na kwotę </w:t>
      </w:r>
      <w:r w:rsidRPr="00714AE6">
        <w:rPr>
          <w:rFonts w:ascii="Calibri" w:eastAsia="Times New Roman" w:hAnsi="Calibri" w:cs="Times New Roman"/>
          <w:szCs w:val="24"/>
          <w:lang w:eastAsia="pl-PL"/>
        </w:rPr>
        <w:t>18.874.247</w:t>
      </w:r>
      <w:r w:rsidRPr="00714AE6">
        <w:rPr>
          <w:rFonts w:ascii="Calibri" w:eastAsia="Times New Roman" w:hAnsi="Calibri" w:cs="Calibri"/>
          <w:lang w:eastAsia="pl-PL"/>
        </w:rPr>
        <w:t xml:space="preserve"> tys. zł, tj. na poziomie 95,9% planu.</w:t>
      </w:r>
    </w:p>
    <w:p w:rsidR="00714AE6" w:rsidRPr="00714AE6" w:rsidRDefault="00714AE6" w:rsidP="00714AE6">
      <w:pPr>
        <w:spacing w:after="240" w:line="300" w:lineRule="auto"/>
        <w:ind w:left="357"/>
        <w:rPr>
          <w:rFonts w:ascii="Calibri" w:eastAsia="Times New Roman" w:hAnsi="Calibri" w:cs="Calibri"/>
          <w:lang w:eastAsia="pl-PL"/>
        </w:rPr>
      </w:pPr>
      <w:r w:rsidRPr="00714AE6">
        <w:rPr>
          <w:rFonts w:ascii="Calibri" w:eastAsia="Times New Roman" w:hAnsi="Calibri" w:cs="Calibri"/>
          <w:lang w:eastAsia="pl-PL"/>
        </w:rPr>
        <w:t xml:space="preserve">Wydatki majątkowe zrealizowano na kwotę </w:t>
      </w:r>
      <w:r w:rsidRPr="00714AE6">
        <w:rPr>
          <w:rFonts w:ascii="Calibri" w:eastAsia="Times New Roman" w:hAnsi="Calibri" w:cs="Times New Roman"/>
          <w:szCs w:val="24"/>
          <w:lang w:eastAsia="pl-PL"/>
        </w:rPr>
        <w:t>2.282.259</w:t>
      </w:r>
      <w:r w:rsidRPr="00714AE6">
        <w:rPr>
          <w:rFonts w:ascii="Calibri" w:eastAsia="Times New Roman" w:hAnsi="Calibri" w:cs="Calibri"/>
          <w:lang w:eastAsia="pl-PL"/>
        </w:rPr>
        <w:t xml:space="preserve"> tys. zł, tj. na poziomie 89,7% planu.</w:t>
      </w:r>
    </w:p>
    <w:tbl>
      <w:tblPr>
        <w:tblStyle w:val="Zwykatabela22"/>
        <w:tblW w:w="4585" w:type="pct"/>
        <w:tblInd w:w="2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Caption w:val="Realizacja planu wydatków na 31 grudnia 2021 roku."/>
        <w:tblDescription w:val="Tabela zawiera dane liczbowe odnoszące się do planu i wykonania wydatków w podziale na części: miejską, powiatową i dzielnicową oraz w podziale na wydatki bieżące i majątkowe wg stanu na 31 grudnia 2021 roku wraz z poziomem realizacji planu."/>
      </w:tblPr>
      <w:tblGrid>
        <w:gridCol w:w="2165"/>
        <w:gridCol w:w="2092"/>
        <w:gridCol w:w="2091"/>
        <w:gridCol w:w="2091"/>
      </w:tblGrid>
      <w:tr w:rsidR="00714AE6" w:rsidRPr="00714AE6" w:rsidTr="00714AE6">
        <w:trPr>
          <w:trHeight w:val="782"/>
          <w:tblHeader/>
        </w:trPr>
        <w:tc>
          <w:tcPr>
            <w:cnfStyle w:val="000010000000" w:firstRow="0" w:lastRow="0" w:firstColumn="0" w:lastColumn="0" w:oddVBand="1" w:evenVBand="0" w:oddHBand="0" w:evenHBand="0" w:firstRowFirstColumn="0" w:firstRowLastColumn="0" w:lastRowFirstColumn="0" w:lastRowLastColumn="0"/>
            <w:tcW w:w="1282"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ind w:left="-142"/>
              <w:jc w:val="center"/>
              <w:rPr>
                <w:rFonts w:ascii="Calibri" w:hAnsi="Calibri" w:cs="Calibri"/>
                <w:b/>
                <w:bCs/>
                <w:color w:val="000000"/>
              </w:rPr>
            </w:pPr>
            <w:r w:rsidRPr="00714AE6">
              <w:rPr>
                <w:rFonts w:ascii="Calibri" w:hAnsi="Calibri" w:cs="Calibri"/>
                <w:b/>
                <w:bCs/>
                <w:color w:val="000000"/>
              </w:rPr>
              <w:t>Wyszczególnienie</w:t>
            </w: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ind w:left="-142"/>
              <w:jc w:val="center"/>
              <w:rPr>
                <w:rFonts w:ascii="Calibri" w:hAnsi="Calibri" w:cs="Calibri"/>
                <w:b/>
                <w:bCs/>
                <w:color w:val="000000"/>
              </w:rPr>
            </w:pPr>
            <w:r w:rsidRPr="00714AE6">
              <w:rPr>
                <w:rFonts w:ascii="Calibri" w:hAnsi="Calibri" w:cs="Calibri"/>
                <w:b/>
                <w:bCs/>
                <w:color w:val="000000"/>
              </w:rPr>
              <w:t>Plan na</w:t>
            </w:r>
          </w:p>
          <w:p w:rsidR="00714AE6" w:rsidRPr="00714AE6" w:rsidRDefault="00714AE6" w:rsidP="00714AE6">
            <w:pPr>
              <w:autoSpaceDE w:val="0"/>
              <w:autoSpaceDN w:val="0"/>
              <w:adjustRightInd w:val="0"/>
              <w:spacing w:after="0" w:line="240" w:lineRule="auto"/>
              <w:ind w:left="-142"/>
              <w:jc w:val="center"/>
              <w:rPr>
                <w:rFonts w:ascii="Calibri" w:hAnsi="Calibri" w:cs="Calibri"/>
                <w:b/>
                <w:bCs/>
                <w:color w:val="000000"/>
              </w:rPr>
            </w:pPr>
            <w:r w:rsidRPr="00714AE6">
              <w:rPr>
                <w:rFonts w:ascii="Calibri" w:hAnsi="Calibri" w:cs="Calibri"/>
                <w:b/>
                <w:bCs/>
                <w:color w:val="000000"/>
              </w:rPr>
              <w:t>31.12.2022 r.</w:t>
            </w:r>
          </w:p>
          <w:p w:rsidR="00714AE6" w:rsidRPr="00714AE6" w:rsidRDefault="00714AE6" w:rsidP="00714AE6">
            <w:pPr>
              <w:autoSpaceDE w:val="0"/>
              <w:autoSpaceDN w:val="0"/>
              <w:adjustRightInd w:val="0"/>
              <w:spacing w:after="0" w:line="240" w:lineRule="auto"/>
              <w:ind w:left="-142"/>
              <w:jc w:val="center"/>
              <w:rPr>
                <w:rFonts w:ascii="Calibri" w:hAnsi="Calibri" w:cs="Calibri"/>
                <w:b/>
                <w:bCs/>
                <w:color w:val="000000"/>
              </w:rPr>
            </w:pPr>
            <w:r w:rsidRPr="00714AE6">
              <w:rPr>
                <w:rFonts w:ascii="Calibri" w:hAnsi="Calibri" w:cs="Calibri"/>
                <w:b/>
                <w:bCs/>
                <w:color w:val="000000"/>
              </w:rPr>
              <w:t>(w tys. zł)</w:t>
            </w:r>
          </w:p>
        </w:tc>
        <w:tc>
          <w:tcPr>
            <w:cnfStyle w:val="000010000000" w:firstRow="0" w:lastRow="0" w:firstColumn="0" w:lastColumn="0" w:oddVBand="1" w:evenVBand="0" w:oddHBand="0" w:evenHBand="0" w:firstRowFirstColumn="0" w:firstRowLastColumn="0" w:lastRowFirstColumn="0" w:lastRowLastColumn="0"/>
            <w:tcW w:w="1239"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ind w:left="-142"/>
              <w:jc w:val="center"/>
              <w:rPr>
                <w:rFonts w:ascii="Calibri" w:hAnsi="Calibri" w:cs="Calibri"/>
                <w:b/>
                <w:bCs/>
                <w:color w:val="000000"/>
              </w:rPr>
            </w:pPr>
            <w:r w:rsidRPr="00714AE6">
              <w:rPr>
                <w:rFonts w:ascii="Calibri" w:hAnsi="Calibri" w:cs="Calibri"/>
                <w:b/>
                <w:bCs/>
                <w:color w:val="000000"/>
              </w:rPr>
              <w:t>Wykonanie na 31.12.2022 r.</w:t>
            </w:r>
          </w:p>
          <w:p w:rsidR="00714AE6" w:rsidRPr="00714AE6" w:rsidRDefault="00714AE6" w:rsidP="00714AE6">
            <w:pPr>
              <w:autoSpaceDE w:val="0"/>
              <w:autoSpaceDN w:val="0"/>
              <w:adjustRightInd w:val="0"/>
              <w:spacing w:after="0" w:line="240" w:lineRule="auto"/>
              <w:ind w:left="-142"/>
              <w:jc w:val="center"/>
              <w:rPr>
                <w:rFonts w:ascii="Calibri" w:hAnsi="Calibri" w:cs="Calibri"/>
                <w:b/>
                <w:bCs/>
                <w:color w:val="000000"/>
              </w:rPr>
            </w:pPr>
            <w:r w:rsidRPr="00714AE6">
              <w:rPr>
                <w:rFonts w:ascii="Calibri" w:hAnsi="Calibri" w:cs="Calibri"/>
                <w:b/>
                <w:bCs/>
                <w:color w:val="000000"/>
              </w:rPr>
              <w:t>(w tys. zł)</w:t>
            </w: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ind w:left="-142"/>
              <w:jc w:val="center"/>
              <w:rPr>
                <w:rFonts w:ascii="Calibri" w:hAnsi="Calibri" w:cs="Calibri"/>
                <w:b/>
                <w:bCs/>
                <w:color w:val="000000"/>
              </w:rPr>
            </w:pPr>
            <w:r w:rsidRPr="00714AE6">
              <w:rPr>
                <w:rFonts w:ascii="Calibri" w:hAnsi="Calibri" w:cs="Calibri"/>
                <w:b/>
                <w:bCs/>
                <w:color w:val="000000"/>
              </w:rPr>
              <w:t>Poziom realizacji planu</w:t>
            </w:r>
          </w:p>
          <w:p w:rsidR="00714AE6" w:rsidRPr="00714AE6" w:rsidRDefault="00714AE6" w:rsidP="00714AE6">
            <w:pPr>
              <w:autoSpaceDE w:val="0"/>
              <w:autoSpaceDN w:val="0"/>
              <w:adjustRightInd w:val="0"/>
              <w:spacing w:after="0" w:line="240" w:lineRule="auto"/>
              <w:ind w:left="-142"/>
              <w:jc w:val="center"/>
              <w:rPr>
                <w:rFonts w:ascii="Calibri" w:hAnsi="Calibri" w:cs="Calibri"/>
                <w:b/>
                <w:bCs/>
                <w:color w:val="000000"/>
              </w:rPr>
            </w:pPr>
            <w:r w:rsidRPr="00714AE6">
              <w:rPr>
                <w:rFonts w:ascii="Calibri" w:hAnsi="Calibri" w:cs="Calibri"/>
                <w:b/>
                <w:bCs/>
                <w:color w:val="000000"/>
              </w:rPr>
              <w:t>(w %)</w:t>
            </w:r>
          </w:p>
        </w:tc>
      </w:tr>
      <w:tr w:rsidR="00714AE6" w:rsidRPr="00714AE6" w:rsidTr="00714AE6">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1282"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rPr>
                <w:rFonts w:ascii="Calibri" w:hAnsi="Calibri" w:cs="Calibri"/>
                <w:b/>
                <w:bCs/>
                <w:color w:val="000000"/>
              </w:rPr>
            </w:pPr>
            <w:r w:rsidRPr="00714AE6">
              <w:rPr>
                <w:rFonts w:ascii="Calibri" w:hAnsi="Calibri" w:cs="Calibri"/>
                <w:b/>
                <w:bCs/>
                <w:color w:val="000000"/>
              </w:rPr>
              <w:t>Wydatki ogółem</w:t>
            </w:r>
          </w:p>
        </w:tc>
        <w:tc>
          <w:tcPr>
            <w:cnfStyle w:val="000001000000" w:firstRow="0" w:lastRow="0" w:firstColumn="0" w:lastColumn="0" w:oddVBand="0" w:evenVBand="1"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b/>
                <w:szCs w:val="24"/>
              </w:rPr>
              <w:t>22 231 019</w:t>
            </w:r>
          </w:p>
        </w:tc>
        <w:tc>
          <w:tcPr>
            <w:cnfStyle w:val="000010000000" w:firstRow="0" w:lastRow="0" w:firstColumn="0" w:lastColumn="0" w:oddVBand="1" w:evenVBand="0"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b/>
                <w:szCs w:val="24"/>
              </w:rPr>
              <w:t>21 156 506</w:t>
            </w:r>
          </w:p>
        </w:tc>
        <w:tc>
          <w:tcPr>
            <w:cnfStyle w:val="000001000000" w:firstRow="0" w:lastRow="0" w:firstColumn="0" w:lastColumn="0" w:oddVBand="0" w:evenVBand="1"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b/>
                <w:szCs w:val="24"/>
              </w:rPr>
              <w:t>95,2</w:t>
            </w:r>
          </w:p>
        </w:tc>
      </w:tr>
      <w:tr w:rsidR="00714AE6" w:rsidRPr="00714AE6" w:rsidTr="00714AE6">
        <w:trPr>
          <w:trHeight w:val="348"/>
        </w:trPr>
        <w:tc>
          <w:tcPr>
            <w:cnfStyle w:val="000010000000" w:firstRow="0" w:lastRow="0" w:firstColumn="0" w:lastColumn="0" w:oddVBand="1" w:evenVBand="0" w:oddHBand="0" w:evenHBand="0" w:firstRowFirstColumn="0" w:firstRowLastColumn="0" w:lastRowFirstColumn="0" w:lastRowLastColumn="0"/>
            <w:tcW w:w="1282" w:type="pct"/>
            <w:tcBorders>
              <w:left w:val="none" w:sz="0" w:space="0" w:color="auto"/>
              <w:right w:val="none" w:sz="0" w:space="0" w:color="auto"/>
            </w:tcBorders>
            <w:shd w:val="clear" w:color="auto" w:fill="E7E6E6" w:themeFill="background2"/>
            <w:vAlign w:val="center"/>
          </w:tcPr>
          <w:p w:rsidR="00714AE6" w:rsidRPr="00714AE6" w:rsidRDefault="00714AE6" w:rsidP="00714AE6">
            <w:pPr>
              <w:autoSpaceDE w:val="0"/>
              <w:autoSpaceDN w:val="0"/>
              <w:adjustRightInd w:val="0"/>
              <w:spacing w:after="0" w:line="240" w:lineRule="auto"/>
              <w:rPr>
                <w:rFonts w:ascii="Calibri" w:hAnsi="Calibri" w:cs="Calibri"/>
                <w:b/>
                <w:color w:val="000000"/>
              </w:rPr>
            </w:pPr>
            <w:r w:rsidRPr="00714AE6">
              <w:rPr>
                <w:rFonts w:ascii="Calibri" w:hAnsi="Calibri" w:cs="Calibri"/>
                <w:b/>
                <w:color w:val="000000"/>
              </w:rPr>
              <w:t>wg podziału na części</w:t>
            </w: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shd w:val="clear" w:color="auto" w:fill="E7E6E6" w:themeFill="background2"/>
            <w:vAlign w:val="center"/>
          </w:tcPr>
          <w:p w:rsidR="00714AE6" w:rsidRPr="00714AE6" w:rsidRDefault="00714AE6" w:rsidP="00714AE6">
            <w:pPr>
              <w:autoSpaceDE w:val="0"/>
              <w:autoSpaceDN w:val="0"/>
              <w:adjustRightInd w:val="0"/>
              <w:spacing w:after="0" w:line="240" w:lineRule="auto"/>
              <w:jc w:val="right"/>
              <w:rPr>
                <w:rFonts w:ascii="Calibri" w:hAnsi="Calibri" w:cs="Calibri"/>
                <w:b/>
                <w:color w:val="000000"/>
              </w:rPr>
            </w:pPr>
          </w:p>
        </w:tc>
        <w:tc>
          <w:tcPr>
            <w:cnfStyle w:val="000010000000" w:firstRow="0" w:lastRow="0" w:firstColumn="0" w:lastColumn="0" w:oddVBand="1" w:evenVBand="0" w:oddHBand="0" w:evenHBand="0" w:firstRowFirstColumn="0" w:firstRowLastColumn="0" w:lastRowFirstColumn="0" w:lastRowLastColumn="0"/>
            <w:tcW w:w="1239" w:type="pct"/>
            <w:tcBorders>
              <w:left w:val="none" w:sz="0" w:space="0" w:color="auto"/>
              <w:right w:val="none" w:sz="0" w:space="0" w:color="auto"/>
            </w:tcBorders>
            <w:shd w:val="clear" w:color="auto" w:fill="E7E6E6" w:themeFill="background2"/>
            <w:vAlign w:val="center"/>
          </w:tcPr>
          <w:p w:rsidR="00714AE6" w:rsidRPr="00714AE6" w:rsidRDefault="00714AE6" w:rsidP="00714AE6">
            <w:pPr>
              <w:autoSpaceDE w:val="0"/>
              <w:autoSpaceDN w:val="0"/>
              <w:adjustRightInd w:val="0"/>
              <w:spacing w:after="0" w:line="240" w:lineRule="auto"/>
              <w:jc w:val="right"/>
              <w:rPr>
                <w:rFonts w:ascii="Calibri" w:hAnsi="Calibri" w:cs="Calibri"/>
                <w:b/>
                <w:color w:val="000000"/>
              </w:rPr>
            </w:pP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shd w:val="clear" w:color="auto" w:fill="E7E6E6" w:themeFill="background2"/>
            <w:vAlign w:val="center"/>
          </w:tcPr>
          <w:p w:rsidR="00714AE6" w:rsidRPr="00714AE6" w:rsidRDefault="00714AE6" w:rsidP="00714AE6">
            <w:pPr>
              <w:autoSpaceDE w:val="0"/>
              <w:autoSpaceDN w:val="0"/>
              <w:adjustRightInd w:val="0"/>
              <w:spacing w:after="0" w:line="240" w:lineRule="auto"/>
              <w:jc w:val="center"/>
              <w:rPr>
                <w:rFonts w:ascii="Calibri" w:hAnsi="Calibri" w:cs="Calibri"/>
                <w:b/>
                <w:color w:val="000000"/>
              </w:rPr>
            </w:pPr>
          </w:p>
        </w:tc>
      </w:tr>
      <w:tr w:rsidR="00714AE6" w:rsidRPr="00714AE6" w:rsidTr="00714AE6">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1282"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część miejska</w:t>
            </w:r>
          </w:p>
        </w:tc>
        <w:tc>
          <w:tcPr>
            <w:cnfStyle w:val="000001000000" w:firstRow="0" w:lastRow="0" w:firstColumn="0" w:lastColumn="0" w:oddVBand="0" w:evenVBand="1"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10 396 460</w:t>
            </w:r>
          </w:p>
        </w:tc>
        <w:tc>
          <w:tcPr>
            <w:cnfStyle w:val="000010000000" w:firstRow="0" w:lastRow="0" w:firstColumn="0" w:lastColumn="0" w:oddVBand="1" w:evenVBand="0"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9 567 996</w:t>
            </w:r>
          </w:p>
        </w:tc>
        <w:tc>
          <w:tcPr>
            <w:cnfStyle w:val="000001000000" w:firstRow="0" w:lastRow="0" w:firstColumn="0" w:lastColumn="0" w:oddVBand="0" w:evenVBand="1"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center"/>
              <w:rPr>
                <w:rFonts w:ascii="Calibri" w:hAnsi="Calibri" w:cs="Calibri"/>
                <w:color w:val="000000"/>
              </w:rPr>
            </w:pPr>
            <w:r w:rsidRPr="00714AE6">
              <w:rPr>
                <w:rFonts w:ascii="Calibri" w:hAnsi="Calibri" w:cs="Calibri"/>
                <w:color w:val="000000"/>
              </w:rPr>
              <w:t>92,0</w:t>
            </w:r>
          </w:p>
        </w:tc>
      </w:tr>
      <w:tr w:rsidR="00714AE6" w:rsidRPr="00714AE6" w:rsidTr="00714AE6">
        <w:trPr>
          <w:trHeight w:val="348"/>
        </w:trPr>
        <w:tc>
          <w:tcPr>
            <w:cnfStyle w:val="000010000000" w:firstRow="0" w:lastRow="0" w:firstColumn="0" w:lastColumn="0" w:oddVBand="1" w:evenVBand="0" w:oddHBand="0" w:evenHBand="0" w:firstRowFirstColumn="0" w:firstRowLastColumn="0" w:lastRowFirstColumn="0" w:lastRowLastColumn="0"/>
            <w:tcW w:w="1282"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część powiatowa</w:t>
            </w: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1 943 316</w:t>
            </w:r>
          </w:p>
        </w:tc>
        <w:tc>
          <w:tcPr>
            <w:cnfStyle w:val="000010000000" w:firstRow="0" w:lastRow="0" w:firstColumn="0" w:lastColumn="0" w:oddVBand="1" w:evenVBand="0" w:oddHBand="0" w:evenHBand="0" w:firstRowFirstColumn="0" w:firstRowLastColumn="0" w:lastRowFirstColumn="0" w:lastRowLastColumn="0"/>
            <w:tcW w:w="1239"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1 918 473</w:t>
            </w: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center"/>
              <w:rPr>
                <w:rFonts w:ascii="Calibri" w:hAnsi="Calibri" w:cs="Calibri"/>
                <w:color w:val="000000"/>
              </w:rPr>
            </w:pPr>
            <w:r w:rsidRPr="00714AE6">
              <w:rPr>
                <w:rFonts w:ascii="Calibri" w:hAnsi="Calibri" w:cs="Calibri"/>
                <w:color w:val="000000"/>
              </w:rPr>
              <w:t>98,7</w:t>
            </w:r>
          </w:p>
        </w:tc>
      </w:tr>
      <w:tr w:rsidR="00714AE6" w:rsidRPr="00714AE6" w:rsidTr="00714AE6">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1282"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dzielnice</w:t>
            </w:r>
          </w:p>
        </w:tc>
        <w:tc>
          <w:tcPr>
            <w:cnfStyle w:val="000001000000" w:firstRow="0" w:lastRow="0" w:firstColumn="0" w:lastColumn="0" w:oddVBand="0" w:evenVBand="1"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9 891 243</w:t>
            </w:r>
          </w:p>
        </w:tc>
        <w:tc>
          <w:tcPr>
            <w:cnfStyle w:val="000010000000" w:firstRow="0" w:lastRow="0" w:firstColumn="0" w:lastColumn="0" w:oddVBand="1" w:evenVBand="0"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9 670 037</w:t>
            </w:r>
          </w:p>
        </w:tc>
        <w:tc>
          <w:tcPr>
            <w:cnfStyle w:val="000001000000" w:firstRow="0" w:lastRow="0" w:firstColumn="0" w:lastColumn="0" w:oddVBand="0" w:evenVBand="1"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center"/>
              <w:rPr>
                <w:rFonts w:ascii="Calibri" w:hAnsi="Calibri" w:cs="Calibri"/>
                <w:color w:val="000000"/>
              </w:rPr>
            </w:pPr>
            <w:r w:rsidRPr="00714AE6">
              <w:rPr>
                <w:rFonts w:ascii="Calibri" w:hAnsi="Calibri" w:cs="Calibri"/>
                <w:color w:val="000000"/>
              </w:rPr>
              <w:t>97,8</w:t>
            </w:r>
          </w:p>
        </w:tc>
      </w:tr>
      <w:tr w:rsidR="00714AE6" w:rsidRPr="00714AE6" w:rsidTr="00714AE6">
        <w:trPr>
          <w:trHeight w:val="348"/>
        </w:trPr>
        <w:tc>
          <w:tcPr>
            <w:cnfStyle w:val="000010000000" w:firstRow="0" w:lastRow="0" w:firstColumn="0" w:lastColumn="0" w:oddVBand="1" w:evenVBand="0" w:oddHBand="0" w:evenHBand="0" w:firstRowFirstColumn="0" w:firstRowLastColumn="0" w:lastRowFirstColumn="0" w:lastRowLastColumn="0"/>
            <w:tcW w:w="1282" w:type="pct"/>
            <w:tcBorders>
              <w:left w:val="none" w:sz="0" w:space="0" w:color="auto"/>
              <w:right w:val="none" w:sz="0" w:space="0" w:color="auto"/>
            </w:tcBorders>
            <w:shd w:val="clear" w:color="auto" w:fill="E7E6E6" w:themeFill="background2"/>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b/>
                <w:bCs/>
                <w:color w:val="000000"/>
              </w:rPr>
              <w:t>wg podziału na rodzaje wydatków:</w:t>
            </w: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shd w:val="clear" w:color="auto" w:fill="E7E6E6" w:themeFill="background2"/>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1239" w:type="pct"/>
            <w:tcBorders>
              <w:left w:val="none" w:sz="0" w:space="0" w:color="auto"/>
              <w:right w:val="none" w:sz="0" w:space="0" w:color="auto"/>
            </w:tcBorders>
            <w:shd w:val="clear" w:color="auto" w:fill="E7E6E6" w:themeFill="background2"/>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shd w:val="clear" w:color="auto" w:fill="E7E6E6" w:themeFill="background2"/>
            <w:vAlign w:val="center"/>
          </w:tcPr>
          <w:p w:rsidR="00714AE6" w:rsidRPr="00714AE6" w:rsidRDefault="00714AE6" w:rsidP="00714AE6">
            <w:pPr>
              <w:autoSpaceDE w:val="0"/>
              <w:autoSpaceDN w:val="0"/>
              <w:adjustRightInd w:val="0"/>
              <w:spacing w:after="0" w:line="240" w:lineRule="auto"/>
              <w:jc w:val="center"/>
              <w:rPr>
                <w:rFonts w:ascii="Calibri" w:hAnsi="Calibri" w:cs="Calibri"/>
                <w:color w:val="000000"/>
              </w:rPr>
            </w:pPr>
          </w:p>
        </w:tc>
      </w:tr>
      <w:tr w:rsidR="00714AE6" w:rsidRPr="00714AE6" w:rsidTr="00714AE6">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1282"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bieżące</w:t>
            </w:r>
          </w:p>
        </w:tc>
        <w:tc>
          <w:tcPr>
            <w:cnfStyle w:val="000001000000" w:firstRow="0" w:lastRow="0" w:firstColumn="0" w:lastColumn="0" w:oddVBand="0" w:evenVBand="1"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szCs w:val="24"/>
              </w:rPr>
              <w:t>19 686 599</w:t>
            </w:r>
          </w:p>
        </w:tc>
        <w:tc>
          <w:tcPr>
            <w:cnfStyle w:val="000010000000" w:firstRow="0" w:lastRow="0" w:firstColumn="0" w:lastColumn="0" w:oddVBand="1" w:evenVBand="0"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szCs w:val="24"/>
              </w:rPr>
              <w:t>18 874 247</w:t>
            </w:r>
          </w:p>
        </w:tc>
        <w:tc>
          <w:tcPr>
            <w:cnfStyle w:val="000001000000" w:firstRow="0" w:lastRow="0" w:firstColumn="0" w:lastColumn="0" w:oddVBand="0" w:evenVBand="1" w:oddHBand="0" w:evenHBand="0" w:firstRowFirstColumn="0" w:firstRowLastColumn="0" w:lastRowFirstColumn="0" w:lastRowLastColumn="0"/>
            <w:tcW w:w="1239" w:type="pct"/>
            <w:tcBorders>
              <w:top w:val="none" w:sz="0" w:space="0" w:color="auto"/>
              <w:left w:val="none" w:sz="0" w:space="0" w:color="auto"/>
              <w:bottom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center"/>
              <w:rPr>
                <w:rFonts w:ascii="Calibri" w:hAnsi="Calibri" w:cs="Calibri"/>
                <w:color w:val="000000"/>
              </w:rPr>
            </w:pPr>
            <w:r w:rsidRPr="00714AE6">
              <w:rPr>
                <w:rFonts w:ascii="Calibri" w:hAnsi="Calibri" w:cs="Calibri"/>
              </w:rPr>
              <w:t>95,9</w:t>
            </w:r>
          </w:p>
        </w:tc>
      </w:tr>
      <w:tr w:rsidR="00714AE6" w:rsidRPr="00714AE6" w:rsidTr="00714AE6">
        <w:trPr>
          <w:trHeight w:val="348"/>
        </w:trPr>
        <w:tc>
          <w:tcPr>
            <w:cnfStyle w:val="000010000000" w:firstRow="0" w:lastRow="0" w:firstColumn="0" w:lastColumn="0" w:oddVBand="1" w:evenVBand="0" w:oddHBand="0" w:evenHBand="0" w:firstRowFirstColumn="0" w:firstRowLastColumn="0" w:lastRowFirstColumn="0" w:lastRowLastColumn="0"/>
            <w:tcW w:w="1282"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majątkowe</w:t>
            </w: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szCs w:val="24"/>
              </w:rPr>
              <w:t>2 544 421</w:t>
            </w:r>
          </w:p>
        </w:tc>
        <w:tc>
          <w:tcPr>
            <w:cnfStyle w:val="000010000000" w:firstRow="0" w:lastRow="0" w:firstColumn="0" w:lastColumn="0" w:oddVBand="1" w:evenVBand="0" w:oddHBand="0" w:evenHBand="0" w:firstRowFirstColumn="0" w:firstRowLastColumn="0" w:lastRowFirstColumn="0" w:lastRowLastColumn="0"/>
            <w:tcW w:w="1239"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szCs w:val="24"/>
              </w:rPr>
              <w:t>2 282 259</w:t>
            </w:r>
          </w:p>
        </w:tc>
        <w:tc>
          <w:tcPr>
            <w:cnfStyle w:val="000001000000" w:firstRow="0" w:lastRow="0" w:firstColumn="0" w:lastColumn="0" w:oddVBand="0" w:evenVBand="1" w:oddHBand="0" w:evenHBand="0" w:firstRowFirstColumn="0" w:firstRowLastColumn="0" w:lastRowFirstColumn="0" w:lastRowLastColumn="0"/>
            <w:tcW w:w="1239"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center"/>
              <w:rPr>
                <w:rFonts w:ascii="Calibri" w:hAnsi="Calibri" w:cs="Calibri"/>
                <w:color w:val="000000"/>
              </w:rPr>
            </w:pPr>
            <w:r w:rsidRPr="00714AE6">
              <w:rPr>
                <w:rFonts w:ascii="Calibri" w:hAnsi="Calibri" w:cs="Calibri"/>
              </w:rPr>
              <w:t>89,7</w:t>
            </w:r>
          </w:p>
        </w:tc>
      </w:tr>
    </w:tbl>
    <w:p w:rsidR="00714AE6" w:rsidRPr="00714AE6" w:rsidRDefault="00714AE6" w:rsidP="00714AE6">
      <w:pPr>
        <w:spacing w:before="240" w:after="240" w:line="300" w:lineRule="auto"/>
        <w:ind w:left="357"/>
        <w:rPr>
          <w:rFonts w:ascii="Calibri" w:eastAsia="Times New Roman" w:hAnsi="Calibri" w:cs="Calibri"/>
          <w:lang w:eastAsia="pl-PL"/>
        </w:rPr>
      </w:pPr>
      <w:r w:rsidRPr="00714AE6">
        <w:rPr>
          <w:rFonts w:ascii="Calibri" w:eastAsia="Times New Roman" w:hAnsi="Calibri" w:cs="Calibri"/>
          <w:lang w:eastAsia="pl-PL"/>
        </w:rPr>
        <w:t xml:space="preserve">Odnotowane oszczędności bądź niższe zapotrzebowanie na wydatki dotyczyło wydatków bieżących m.in. na: funkcjonowanie systemu gospodarki odpadami komunalnymi (256.638 tys. zł), funkcjonowanie Urzędu m.st. Warszawy (102.059 tys. zł), transport i komunikację (72.639 tys. zł), ochronę zdrowia i pomoc społeczną (72.130 tys. zł), edukację (58.088 tys. zł), regulację stanów </w:t>
      </w:r>
      <w:r w:rsidRPr="00714AE6">
        <w:rPr>
          <w:rFonts w:ascii="Calibri" w:eastAsia="Times New Roman" w:hAnsi="Calibri" w:cs="Calibri"/>
          <w:lang w:eastAsia="pl-PL"/>
        </w:rPr>
        <w:lastRenderedPageBreak/>
        <w:t>prawnych nieruchomości, w tym na odszkodowania za nieruchomości (20.802 tys. zł). Nie zaszła też konieczność wykorzystania pełnej puli środków ujętych w rezerwach budżetowych. Na koniec 2022 r. stan rezerw budżetowych wyniósł 100.282 tys. zł, w tym stan obowiązkowej rezerwy kryzysowej wyniósł 55.799 tys. zł.</w:t>
      </w:r>
    </w:p>
    <w:p w:rsidR="00714AE6" w:rsidRPr="00714AE6" w:rsidRDefault="00714AE6" w:rsidP="00714AE6">
      <w:pPr>
        <w:spacing w:after="0" w:line="300" w:lineRule="auto"/>
        <w:ind w:left="357"/>
        <w:rPr>
          <w:rFonts w:ascii="Calibri" w:eastAsia="Times New Roman" w:hAnsi="Calibri" w:cs="Calibri"/>
          <w:lang w:eastAsia="pl-PL"/>
        </w:rPr>
      </w:pPr>
      <w:r w:rsidRPr="00714AE6">
        <w:rPr>
          <w:rFonts w:ascii="Calibri" w:eastAsia="Times New Roman" w:hAnsi="Calibri" w:cs="Calibri"/>
          <w:lang w:eastAsia="pl-PL"/>
        </w:rPr>
        <w:t>Różnice między planowanymi a wykonanymi wydatkami majątkowymi w kwocie 262.161 tys. zł wynikały przede wszystkim z:</w:t>
      </w:r>
    </w:p>
    <w:p w:rsidR="00714AE6" w:rsidRPr="00714AE6" w:rsidRDefault="00714AE6" w:rsidP="00BF05CD">
      <w:pPr>
        <w:numPr>
          <w:ilvl w:val="0"/>
          <w:numId w:val="11"/>
        </w:numPr>
        <w:spacing w:after="0" w:line="300" w:lineRule="auto"/>
        <w:contextualSpacing/>
        <w:rPr>
          <w:rFonts w:ascii="Calibri" w:eastAsia="Times New Roman" w:hAnsi="Calibri" w:cs="Times New Roman"/>
          <w:lang w:eastAsia="pl-PL"/>
        </w:rPr>
      </w:pPr>
      <w:r w:rsidRPr="00714AE6">
        <w:rPr>
          <w:rFonts w:ascii="Calibri" w:eastAsia="Times New Roman" w:hAnsi="Calibri" w:cs="Times New Roman"/>
          <w:szCs w:val="24"/>
          <w:lang w:eastAsia="pl-PL"/>
        </w:rPr>
        <w:t>opóźnień w opracowaniu dokumentacji projektowej,</w:t>
      </w:r>
    </w:p>
    <w:p w:rsidR="00714AE6" w:rsidRPr="00714AE6" w:rsidRDefault="00714AE6" w:rsidP="00BF05CD">
      <w:pPr>
        <w:numPr>
          <w:ilvl w:val="0"/>
          <w:numId w:val="11"/>
        </w:numPr>
        <w:spacing w:after="240" w:line="300" w:lineRule="auto"/>
        <w:contextualSpacing/>
        <w:rPr>
          <w:rFonts w:ascii="Calibri" w:eastAsia="Times New Roman" w:hAnsi="Calibri" w:cs="Calibri"/>
          <w:lang w:eastAsia="pl-PL"/>
        </w:rPr>
      </w:pPr>
      <w:r w:rsidRPr="00714AE6">
        <w:rPr>
          <w:rFonts w:ascii="Calibri" w:eastAsia="Times New Roman" w:hAnsi="Calibri" w:cs="Times New Roman"/>
          <w:szCs w:val="20"/>
          <w:lang w:eastAsia="pl-PL"/>
        </w:rPr>
        <w:t>utrudnień w realizacji inwestycji, w tym z powodu zaburzeń w dostawach materiałów budowlanych oraz wyposażenia</w:t>
      </w:r>
      <w:r w:rsidRPr="00714AE6">
        <w:rPr>
          <w:rFonts w:ascii="Calibri" w:eastAsia="Times New Roman" w:hAnsi="Calibri" w:cs="Calibri"/>
          <w:lang w:eastAsia="pl-PL"/>
        </w:rPr>
        <w:t>.</w:t>
      </w:r>
    </w:p>
    <w:p w:rsidR="00714AE6" w:rsidRPr="00714AE6" w:rsidRDefault="00714AE6" w:rsidP="00BF05CD">
      <w:pPr>
        <w:numPr>
          <w:ilvl w:val="0"/>
          <w:numId w:val="6"/>
        </w:numPr>
        <w:spacing w:after="240" w:line="300" w:lineRule="auto"/>
        <w:ind w:left="357" w:hanging="357"/>
        <w:contextualSpacing/>
        <w:rPr>
          <w:rFonts w:ascii="Calibri" w:eastAsia="Times New Roman" w:hAnsi="Calibri" w:cs="Calibri"/>
          <w:lang w:eastAsia="pl-PL"/>
        </w:rPr>
      </w:pPr>
      <w:r w:rsidRPr="00714AE6">
        <w:rPr>
          <w:rFonts w:ascii="Calibri" w:eastAsia="Times New Roman" w:hAnsi="Calibri" w:cs="Calibri"/>
          <w:lang w:eastAsia="pl-PL"/>
        </w:rPr>
        <w:t>W 2022 r. dokonano zmian budżetu m.st. Warszawy na podstawie 7 uchwał Rady m.st. Warszawy oraz na podstawie 42 zarządzeń Prezydenta m.st. Warszawy w zakresach pozostających w kompetencji tych organów.</w:t>
      </w:r>
    </w:p>
    <w:p w:rsidR="00714AE6" w:rsidRPr="00714AE6" w:rsidRDefault="00714AE6" w:rsidP="00714AE6">
      <w:pPr>
        <w:spacing w:after="240" w:line="300" w:lineRule="auto"/>
        <w:ind w:left="357"/>
        <w:contextualSpacing/>
        <w:rPr>
          <w:rFonts w:ascii="Calibri" w:eastAsia="Times New Roman" w:hAnsi="Calibri" w:cs="Calibri"/>
          <w:lang w:eastAsia="pl-PL"/>
        </w:rPr>
      </w:pPr>
      <w:r w:rsidRPr="00714AE6">
        <w:rPr>
          <w:rFonts w:ascii="Calibri" w:eastAsia="Times New Roman" w:hAnsi="Calibri" w:cs="Calibri"/>
          <w:lang w:eastAsia="pl-PL"/>
        </w:rPr>
        <w:t>Skutki zmian dokonanych w budżecie w trakcie roku przedstawiają się następująco:</w:t>
      </w:r>
    </w:p>
    <w:tbl>
      <w:tblPr>
        <w:tblStyle w:val="Zwykatabela22"/>
        <w:tblW w:w="4577" w:type="pct"/>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Caption w:val="Kwota zmian planu dochodów i wydatków w 2022 roku"/>
        <w:tblDescription w:val="Tabela zawiera dane liczbowe dotyczące kwoty zmian w planie dochodów i wydatków z podziałem na wydatki bieżące i majątkowe dokonanych w trakcie 2022 roku, z uwzględnieniem planu na 1 stycznia 2022 roku i 31 stycznia 2022 roku."/>
      </w:tblPr>
      <w:tblGrid>
        <w:gridCol w:w="1984"/>
        <w:gridCol w:w="2147"/>
        <w:gridCol w:w="2147"/>
        <w:gridCol w:w="2146"/>
      </w:tblGrid>
      <w:tr w:rsidR="00714AE6" w:rsidRPr="00714AE6" w:rsidTr="00714AE6">
        <w:trPr>
          <w:trHeight w:val="929"/>
          <w:tblHeader/>
        </w:trPr>
        <w:tc>
          <w:tcPr>
            <w:cnfStyle w:val="000010000000" w:firstRow="0" w:lastRow="0" w:firstColumn="0" w:lastColumn="0" w:oddVBand="1" w:evenVBand="0" w:oddHBand="0" w:evenHBand="0" w:firstRowFirstColumn="0" w:firstRowLastColumn="0" w:lastRowFirstColumn="0" w:lastRowLastColumn="0"/>
            <w:tcW w:w="1177"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Wyszczególnienie</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Plan na 1.01.2022 r.</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wg uchwały budżetowej (w tys. zł)</w:t>
            </w:r>
          </w:p>
        </w:tc>
        <w:tc>
          <w:tcPr>
            <w:cnfStyle w:val="000010000000" w:firstRow="0" w:lastRow="0" w:firstColumn="0" w:lastColumn="0" w:oddVBand="1" w:evenVBand="0" w:oddHBand="0" w:evenHBand="0" w:firstRowFirstColumn="0" w:firstRowLastColumn="0" w:lastRowFirstColumn="0" w:lastRowLastColumn="0"/>
            <w:tcW w:w="1274"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Plan po zmianach</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na 31.12.2022 r.</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 tys. zł)</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Kwota zmiany planu (w tys. zł)</w:t>
            </w:r>
          </w:p>
        </w:tc>
      </w:tr>
      <w:tr w:rsidR="00714AE6" w:rsidRPr="00714AE6" w:rsidTr="00714AE6">
        <w:trPr>
          <w:trHeight w:val="348"/>
          <w:tblHeader/>
        </w:trPr>
        <w:tc>
          <w:tcPr>
            <w:cnfStyle w:val="000010000000" w:firstRow="0" w:lastRow="0" w:firstColumn="0" w:lastColumn="0" w:oddVBand="1" w:evenVBand="0" w:oddHBand="0" w:evenHBand="0" w:firstRowFirstColumn="0" w:firstRowLastColumn="0" w:lastRowFirstColumn="0" w:lastRowLastColumn="0"/>
            <w:tcW w:w="1177"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rPr>
                <w:rFonts w:ascii="Calibri" w:hAnsi="Calibri" w:cs="Calibri"/>
                <w:b/>
                <w:bCs/>
                <w:color w:val="000000"/>
              </w:rPr>
            </w:pPr>
            <w:r w:rsidRPr="00714AE6">
              <w:rPr>
                <w:rFonts w:ascii="Calibri" w:hAnsi="Calibri" w:cs="Calibri"/>
                <w:b/>
                <w:bCs/>
                <w:color w:val="000000"/>
              </w:rPr>
              <w:t>Dochody ogółem</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b/>
                <w:szCs w:val="24"/>
              </w:rPr>
              <w:t>19 210 473</w:t>
            </w:r>
          </w:p>
        </w:tc>
        <w:tc>
          <w:tcPr>
            <w:cnfStyle w:val="000010000000" w:firstRow="0" w:lastRow="0" w:firstColumn="0" w:lastColumn="0" w:oddVBand="1" w:evenVBand="0" w:oddHBand="0" w:evenHBand="0" w:firstRowFirstColumn="0" w:firstRowLastColumn="0" w:lastRowFirstColumn="0" w:lastRowLastColumn="0"/>
            <w:tcW w:w="1274"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b/>
                <w:szCs w:val="24"/>
              </w:rPr>
              <w:t>21 061 684</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cs="Calibri"/>
                <w:b/>
                <w:bCs/>
                <w:color w:val="000000"/>
              </w:rPr>
              <w:t>+1.851.211</w:t>
            </w:r>
          </w:p>
        </w:tc>
      </w:tr>
      <w:tr w:rsidR="00714AE6" w:rsidRPr="00714AE6" w:rsidTr="00714AE6">
        <w:trPr>
          <w:trHeight w:val="348"/>
          <w:tblHeader/>
        </w:trPr>
        <w:tc>
          <w:tcPr>
            <w:cnfStyle w:val="000010000000" w:firstRow="0" w:lastRow="0" w:firstColumn="0" w:lastColumn="0" w:oddVBand="1" w:evenVBand="0" w:oddHBand="0" w:evenHBand="0" w:firstRowFirstColumn="0" w:firstRowLastColumn="0" w:lastRowFirstColumn="0" w:lastRowLastColumn="0"/>
            <w:tcW w:w="1177"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rPr>
                <w:rFonts w:ascii="Calibri" w:hAnsi="Calibri" w:cs="Calibri"/>
                <w:b/>
                <w:bCs/>
                <w:color w:val="000000"/>
              </w:rPr>
            </w:pPr>
            <w:r w:rsidRPr="00714AE6">
              <w:rPr>
                <w:rFonts w:ascii="Calibri" w:hAnsi="Calibri" w:cs="Calibri"/>
                <w:b/>
                <w:bCs/>
                <w:color w:val="000000"/>
              </w:rPr>
              <w:t>Wydatki ogółem,</w:t>
            </w:r>
          </w:p>
          <w:p w:rsidR="00714AE6" w:rsidRPr="00714AE6" w:rsidRDefault="00714AE6" w:rsidP="00714AE6">
            <w:pPr>
              <w:autoSpaceDE w:val="0"/>
              <w:autoSpaceDN w:val="0"/>
              <w:adjustRightInd w:val="0"/>
              <w:spacing w:after="0" w:line="240" w:lineRule="auto"/>
              <w:rPr>
                <w:rFonts w:ascii="Calibri" w:hAnsi="Calibri" w:cs="Calibri"/>
                <w:b/>
                <w:bCs/>
                <w:color w:val="000000"/>
              </w:rPr>
            </w:pPr>
            <w:r w:rsidRPr="00714AE6">
              <w:rPr>
                <w:rFonts w:ascii="Calibri" w:hAnsi="Calibri" w:cs="Calibri"/>
                <w:b/>
                <w:bCs/>
                <w:color w:val="000000"/>
              </w:rPr>
              <w:t>z tego:</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cs="Calibri"/>
                <w:b/>
                <w:bCs/>
                <w:color w:val="000000"/>
              </w:rPr>
              <w:t>21 418 901</w:t>
            </w:r>
          </w:p>
        </w:tc>
        <w:tc>
          <w:tcPr>
            <w:cnfStyle w:val="000010000000" w:firstRow="0" w:lastRow="0" w:firstColumn="0" w:lastColumn="0" w:oddVBand="1" w:evenVBand="0" w:oddHBand="0" w:evenHBand="0" w:firstRowFirstColumn="0" w:firstRowLastColumn="0" w:lastRowFirstColumn="0" w:lastRowLastColumn="0"/>
            <w:tcW w:w="1274"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cs="Calibri"/>
                <w:b/>
                <w:bCs/>
                <w:color w:val="000000"/>
              </w:rPr>
              <w:t>22 231 019</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right"/>
              <w:rPr>
                <w:rFonts w:ascii="Calibri" w:hAnsi="Calibri" w:cs="Calibri"/>
                <w:b/>
                <w:bCs/>
                <w:color w:val="000000"/>
              </w:rPr>
            </w:pPr>
            <w:r w:rsidRPr="00714AE6">
              <w:rPr>
                <w:rFonts w:ascii="Calibri" w:hAnsi="Calibri" w:cs="Calibri"/>
                <w:b/>
                <w:bCs/>
                <w:color w:val="000000"/>
              </w:rPr>
              <w:t>+812.118</w:t>
            </w:r>
          </w:p>
        </w:tc>
      </w:tr>
      <w:tr w:rsidR="00714AE6" w:rsidRPr="00714AE6" w:rsidTr="00714AE6">
        <w:trPr>
          <w:trHeight w:val="348"/>
          <w:tblHeader/>
        </w:trPr>
        <w:tc>
          <w:tcPr>
            <w:cnfStyle w:val="000010000000" w:firstRow="0" w:lastRow="0" w:firstColumn="0" w:lastColumn="0" w:oddVBand="1" w:evenVBand="0" w:oddHBand="0" w:evenHBand="0" w:firstRowFirstColumn="0" w:firstRowLastColumn="0" w:lastRowFirstColumn="0" w:lastRowLastColumn="0"/>
            <w:tcW w:w="1177"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bieżące</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18 568 833</w:t>
            </w:r>
          </w:p>
        </w:tc>
        <w:tc>
          <w:tcPr>
            <w:cnfStyle w:val="000010000000" w:firstRow="0" w:lastRow="0" w:firstColumn="0" w:lastColumn="0" w:oddVBand="1" w:evenVBand="0" w:oddHBand="0" w:evenHBand="0" w:firstRowFirstColumn="0" w:firstRowLastColumn="0" w:lastRowFirstColumn="0" w:lastRowLastColumn="0"/>
            <w:tcW w:w="1274"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19 686 599</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+1.117.765</w:t>
            </w:r>
          </w:p>
        </w:tc>
      </w:tr>
      <w:tr w:rsidR="00714AE6" w:rsidRPr="00714AE6" w:rsidTr="00714AE6">
        <w:trPr>
          <w:trHeight w:val="348"/>
          <w:tblHeader/>
        </w:trPr>
        <w:tc>
          <w:tcPr>
            <w:cnfStyle w:val="000010000000" w:firstRow="0" w:lastRow="0" w:firstColumn="0" w:lastColumn="0" w:oddVBand="1" w:evenVBand="0" w:oddHBand="0" w:evenHBand="0" w:firstRowFirstColumn="0" w:firstRowLastColumn="0" w:lastRowFirstColumn="0" w:lastRowLastColumn="0"/>
            <w:tcW w:w="1177"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rPr>
                <w:rFonts w:ascii="Calibri" w:hAnsi="Calibri" w:cs="Calibri"/>
                <w:color w:val="000000"/>
              </w:rPr>
            </w:pPr>
            <w:r w:rsidRPr="00714AE6">
              <w:rPr>
                <w:rFonts w:ascii="Calibri" w:hAnsi="Calibri" w:cs="Calibri"/>
                <w:color w:val="000000"/>
              </w:rPr>
              <w:t>majątkowe</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szCs w:val="24"/>
              </w:rPr>
              <w:t>2 850 068</w:t>
            </w:r>
          </w:p>
        </w:tc>
        <w:tc>
          <w:tcPr>
            <w:cnfStyle w:val="000010000000" w:firstRow="0" w:lastRow="0" w:firstColumn="0" w:lastColumn="0" w:oddVBand="1" w:evenVBand="0" w:oddHBand="0" w:evenHBand="0" w:firstRowFirstColumn="0" w:firstRowLastColumn="0" w:lastRowFirstColumn="0" w:lastRowLastColumn="0"/>
            <w:tcW w:w="1274"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2 544 421</w:t>
            </w:r>
          </w:p>
        </w:tc>
        <w:tc>
          <w:tcPr>
            <w:cnfStyle w:val="000001000000" w:firstRow="0" w:lastRow="0" w:firstColumn="0" w:lastColumn="0" w:oddVBand="0" w:evenVBand="1" w:oddHBand="0" w:evenHBand="0" w:firstRowFirstColumn="0" w:firstRowLastColumn="0" w:lastRowFirstColumn="0" w:lastRowLastColumn="0"/>
            <w:tcW w:w="1274"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sym w:font="Symbol" w:char="F02D"/>
            </w:r>
            <w:r w:rsidRPr="00714AE6">
              <w:rPr>
                <w:rFonts w:ascii="Calibri" w:hAnsi="Calibri" w:cs="Calibri"/>
                <w:color w:val="000000"/>
              </w:rPr>
              <w:t>305.647</w:t>
            </w:r>
          </w:p>
        </w:tc>
      </w:tr>
    </w:tbl>
    <w:p w:rsidR="00714AE6" w:rsidRPr="00714AE6" w:rsidRDefault="00714AE6" w:rsidP="00714AE6">
      <w:pPr>
        <w:spacing w:before="240" w:after="240" w:line="300" w:lineRule="auto"/>
        <w:ind w:left="357"/>
        <w:rPr>
          <w:rFonts w:ascii="Calibri" w:eastAsia="Times New Roman" w:hAnsi="Calibri" w:cs="Calibri"/>
          <w:lang w:eastAsia="pl-PL"/>
        </w:rPr>
      </w:pPr>
      <w:r w:rsidRPr="00714AE6">
        <w:rPr>
          <w:rFonts w:ascii="Calibri" w:eastAsia="Times New Roman" w:hAnsi="Calibri" w:cs="Calibri"/>
          <w:lang w:eastAsia="pl-PL"/>
        </w:rPr>
        <w:t>Zmian w budżecie m.st. Warszawy dokonano z uwagi m.in. na:</w:t>
      </w:r>
    </w:p>
    <w:p w:rsidR="00714AE6" w:rsidRPr="00714AE6" w:rsidRDefault="00714AE6" w:rsidP="00BF05CD">
      <w:pPr>
        <w:numPr>
          <w:ilvl w:val="0"/>
          <w:numId w:val="8"/>
        </w:numPr>
        <w:spacing w:after="0" w:line="300" w:lineRule="auto"/>
        <w:ind w:left="1037" w:hanging="357"/>
        <w:contextualSpacing/>
        <w:rPr>
          <w:rFonts w:ascii="Calibri" w:eastAsia="Times New Roman" w:hAnsi="Calibri" w:cs="Calibri"/>
          <w:lang w:eastAsia="pl-PL"/>
        </w:rPr>
      </w:pPr>
      <w:r w:rsidRPr="00714AE6">
        <w:rPr>
          <w:rFonts w:ascii="Calibri" w:eastAsia="Times New Roman" w:hAnsi="Calibri" w:cs="Calibri"/>
          <w:lang w:eastAsia="pl-PL"/>
        </w:rPr>
        <w:t>częściową rekompensatę utraty dochodów m.st. Warszawy w 2023 r. z tytułu udziału w podatku dochodowym PIT na skutek wprowadzenia zmian w systemie prawnym wynikających z kolejnego etapu rządowego programu Polski Ład wprowadzonego od 1 lipca 2022 r. z przeznaczeniem na wydatki m.st. Warszawy w 2023 r.;</w:t>
      </w:r>
    </w:p>
    <w:p w:rsidR="00714AE6" w:rsidRPr="00714AE6" w:rsidRDefault="00714AE6" w:rsidP="00BF05CD">
      <w:pPr>
        <w:numPr>
          <w:ilvl w:val="0"/>
          <w:numId w:val="8"/>
        </w:numPr>
        <w:spacing w:after="0" w:line="300" w:lineRule="auto"/>
        <w:ind w:left="1037" w:hanging="357"/>
        <w:contextualSpacing/>
        <w:rPr>
          <w:rFonts w:ascii="Calibri" w:eastAsia="Times New Roman" w:hAnsi="Calibri" w:cs="Calibri"/>
          <w:lang w:eastAsia="pl-PL"/>
        </w:rPr>
      </w:pPr>
      <w:r w:rsidRPr="00714AE6">
        <w:rPr>
          <w:rFonts w:eastAsia="Times New Roman" w:cstheme="minorHAnsi"/>
          <w:lang w:eastAsia="pl-PL"/>
        </w:rPr>
        <w:t xml:space="preserve">działania związane z pomocą obywatelom Ukrainy w związku z konfliktem zbrojnym na terytorium tego państwa, </w:t>
      </w:r>
      <w:r w:rsidRPr="00714AE6">
        <w:rPr>
          <w:rFonts w:ascii="Calibri" w:eastAsia="Times New Roman" w:hAnsi="Calibri" w:cs="Calibri"/>
          <w:lang w:eastAsia="pl-PL"/>
        </w:rPr>
        <w:t xml:space="preserve">w tym korekty planu dochodów o dochody otrzymane na realizację zadań związanych pomocą obywatelom Ukrainy w związku </w:t>
      </w:r>
      <w:r w:rsidRPr="00714AE6">
        <w:rPr>
          <w:rFonts w:ascii="Calibri" w:eastAsia="Times New Roman" w:hAnsi="Calibri" w:cs="Times New Roman"/>
          <w:szCs w:val="20"/>
          <w:lang w:eastAsia="pl-PL"/>
        </w:rPr>
        <w:t>ze wsparciem</w:t>
      </w:r>
      <w:r w:rsidRPr="00714AE6">
        <w:rPr>
          <w:rFonts w:ascii="Calibri" w:eastAsia="Times New Roman" w:hAnsi="Calibri" w:cs="Calibri"/>
          <w:lang w:eastAsia="pl-PL"/>
        </w:rPr>
        <w:t xml:space="preserve"> finansowym z Funduszu Pomocy z jednoczesnymi korektami planu wydatków finansowanych ze środków Funduszu Pomocy oraz </w:t>
      </w:r>
      <w:r w:rsidRPr="00714AE6">
        <w:rPr>
          <w:rFonts w:eastAsia="Times New Roman" w:cstheme="minorHAnsi"/>
          <w:lang w:eastAsia="pl-PL"/>
        </w:rPr>
        <w:t>korekty planu dochodów o środki z Funduszu Narodów Zjednoczonych na rzecz Dzieci – UNICEF z jednoczesnymi korektami planu wydatków;</w:t>
      </w:r>
    </w:p>
    <w:p w:rsidR="00714AE6" w:rsidRPr="00714AE6" w:rsidRDefault="00714AE6" w:rsidP="00BF05CD">
      <w:pPr>
        <w:numPr>
          <w:ilvl w:val="0"/>
          <w:numId w:val="8"/>
        </w:numPr>
        <w:spacing w:after="0" w:line="300" w:lineRule="auto"/>
        <w:ind w:left="1037"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działania związane z przeciwdziałaniem i usuwaniem skutków COVID-19, w tym korekty planu dochodów o dochody otrzymane na realizację zadań związanych z zapobieganiem, przeciwdziałaniem i zwalczaniem COVID-19 w związku </w:t>
      </w:r>
      <w:r w:rsidRPr="00714AE6">
        <w:rPr>
          <w:rFonts w:ascii="Calibri" w:eastAsia="Times New Roman" w:hAnsi="Calibri" w:cs="Times New Roman"/>
          <w:szCs w:val="20"/>
          <w:lang w:eastAsia="pl-PL"/>
        </w:rPr>
        <w:t>ze wsparciem</w:t>
      </w:r>
      <w:r w:rsidRPr="00714AE6">
        <w:rPr>
          <w:rFonts w:ascii="Calibri" w:eastAsia="Times New Roman" w:hAnsi="Calibri" w:cs="Calibri"/>
          <w:lang w:eastAsia="pl-PL"/>
        </w:rPr>
        <w:t xml:space="preserve"> finansowym z Funduszu Przeciwdziałania COVID-19 z jednoczesnymi korektami planu wydatków finansowanych ze środków Funduszu Przeciwdziałania COVID-19;</w:t>
      </w:r>
    </w:p>
    <w:p w:rsidR="00714AE6" w:rsidRPr="00714AE6" w:rsidRDefault="00714AE6" w:rsidP="00BF05CD">
      <w:pPr>
        <w:numPr>
          <w:ilvl w:val="0"/>
          <w:numId w:val="18"/>
        </w:numPr>
        <w:spacing w:after="0" w:line="300" w:lineRule="auto"/>
        <w:ind w:left="1037" w:hanging="357"/>
        <w:contextualSpacing/>
        <w:rPr>
          <w:rFonts w:ascii="Calibri" w:eastAsia="Times New Roman" w:hAnsi="Calibri" w:cs="Calibri"/>
          <w:lang w:eastAsia="pl-PL"/>
        </w:rPr>
      </w:pPr>
      <w:r w:rsidRPr="00714AE6">
        <w:rPr>
          <w:rFonts w:ascii="Calibri" w:eastAsia="Times New Roman" w:hAnsi="Calibri" w:cs="Calibri"/>
          <w:lang w:eastAsia="pl-PL"/>
        </w:rPr>
        <w:lastRenderedPageBreak/>
        <w:t>korekty dotyczące wielkości środków przekazywanych m.st. Warszawie z budżetu państwa w formie subwencji i dotacji celowych przeznaczonych na realizację zadań własnych, zadań z zakresu administracji rządowej oraz innych zadań zleconych ustawami;</w:t>
      </w:r>
    </w:p>
    <w:p w:rsidR="00714AE6" w:rsidRPr="00714AE6" w:rsidRDefault="00714AE6" w:rsidP="00BF05CD">
      <w:pPr>
        <w:numPr>
          <w:ilvl w:val="0"/>
          <w:numId w:val="8"/>
        </w:numPr>
        <w:spacing w:after="240" w:line="300" w:lineRule="auto"/>
        <w:ind w:left="1037" w:hanging="357"/>
        <w:contextualSpacing/>
        <w:rPr>
          <w:rFonts w:ascii="Calibri" w:eastAsia="Times New Roman" w:hAnsi="Calibri" w:cs="Calibri"/>
          <w:lang w:eastAsia="pl-PL"/>
        </w:rPr>
      </w:pPr>
      <w:r w:rsidRPr="00714AE6">
        <w:rPr>
          <w:rFonts w:ascii="Calibri" w:eastAsia="Times New Roman" w:hAnsi="Calibri" w:cs="Calibri"/>
          <w:lang w:eastAsia="pl-PL"/>
        </w:rPr>
        <w:t>przyjęcie do realizacji zadań w oparciu o zawarte porozumienia;</w:t>
      </w:r>
    </w:p>
    <w:p w:rsidR="00714AE6" w:rsidRPr="00714AE6" w:rsidRDefault="00714AE6" w:rsidP="00BF05CD">
      <w:pPr>
        <w:numPr>
          <w:ilvl w:val="0"/>
          <w:numId w:val="8"/>
        </w:numPr>
        <w:spacing w:after="240" w:line="300" w:lineRule="auto"/>
        <w:ind w:left="1037" w:hanging="357"/>
        <w:contextualSpacing/>
        <w:rPr>
          <w:rFonts w:ascii="Calibri" w:eastAsia="Times New Roman" w:hAnsi="Calibri" w:cs="Calibri"/>
          <w:lang w:eastAsia="pl-PL"/>
        </w:rPr>
      </w:pPr>
      <w:r w:rsidRPr="00714AE6">
        <w:rPr>
          <w:rFonts w:ascii="Calibri" w:eastAsia="Times New Roman" w:hAnsi="Calibri" w:cs="Calibri"/>
          <w:lang w:eastAsia="pl-PL"/>
        </w:rPr>
        <w:t>korekty w zakresie realizacji projektów współfinansowanych ze środków Unii Europejskiej i innych źródeł zagranicznych w związku z pozyskaniem dodatkowych środków na realizację nowych projektów oraz zmianami w harmonogramach realizacji dotychczasowych projektów;</w:t>
      </w:r>
    </w:p>
    <w:p w:rsidR="00714AE6" w:rsidRPr="00714AE6" w:rsidRDefault="00714AE6" w:rsidP="00BF05CD">
      <w:pPr>
        <w:numPr>
          <w:ilvl w:val="0"/>
          <w:numId w:val="8"/>
        </w:numPr>
        <w:spacing w:after="240" w:line="300" w:lineRule="auto"/>
        <w:ind w:left="1037" w:hanging="357"/>
        <w:contextualSpacing/>
        <w:rPr>
          <w:rFonts w:ascii="Calibri" w:eastAsia="Times New Roman" w:hAnsi="Calibri" w:cs="Calibri"/>
          <w:lang w:eastAsia="pl-PL"/>
        </w:rPr>
      </w:pPr>
      <w:r w:rsidRPr="00714AE6">
        <w:rPr>
          <w:rFonts w:ascii="Calibri" w:eastAsia="Times New Roman" w:hAnsi="Calibri" w:cs="Calibri"/>
          <w:lang w:eastAsia="pl-PL"/>
        </w:rPr>
        <w:t>zwrot podatku VAT od zakupionych usług;</w:t>
      </w:r>
    </w:p>
    <w:p w:rsidR="00714AE6" w:rsidRPr="00714AE6" w:rsidRDefault="00714AE6" w:rsidP="00BF05CD">
      <w:pPr>
        <w:numPr>
          <w:ilvl w:val="0"/>
          <w:numId w:val="8"/>
        </w:numPr>
        <w:spacing w:after="0" w:line="300" w:lineRule="auto"/>
        <w:ind w:left="1037" w:hanging="357"/>
        <w:contextualSpacing/>
        <w:rPr>
          <w:rFonts w:ascii="Calibri" w:eastAsia="Times New Roman" w:hAnsi="Calibri" w:cs="Calibri"/>
          <w:lang w:eastAsia="pl-PL"/>
        </w:rPr>
      </w:pPr>
      <w:r w:rsidRPr="00714AE6">
        <w:rPr>
          <w:rFonts w:ascii="Calibri" w:eastAsia="Times New Roman" w:hAnsi="Calibri" w:cs="Calibri"/>
          <w:lang w:eastAsia="pl-PL"/>
        </w:rPr>
        <w:t>wnioski jednostek organizacyjnych Miasta w sprawie zmian w planach finansowych polegających na urealnieniu planu dochodów i związanymi z tym zmianami w planie wydatków oraz przeniesieniach wydatków pomiędzy zadaniami, dysponentami, działami, rozdziałami i paragrafami klasyfikacji budżetowej w ramach planu, w tym ze względu na konieczność dostosowania budżetu do realizacji zadań m.st. Warszawy w warunkach silnego wzrostu inflacji;</w:t>
      </w:r>
    </w:p>
    <w:p w:rsidR="00714AE6" w:rsidRPr="00714AE6" w:rsidRDefault="00714AE6" w:rsidP="00BF05CD">
      <w:pPr>
        <w:numPr>
          <w:ilvl w:val="0"/>
          <w:numId w:val="8"/>
        </w:numPr>
        <w:spacing w:after="240" w:line="300" w:lineRule="auto"/>
        <w:ind w:left="1037" w:hanging="357"/>
        <w:contextualSpacing/>
        <w:rPr>
          <w:rFonts w:ascii="Calibri" w:eastAsia="Times New Roman" w:hAnsi="Calibri" w:cs="Calibri"/>
          <w:lang w:eastAsia="pl-PL"/>
        </w:rPr>
      </w:pPr>
      <w:r w:rsidRPr="00714AE6">
        <w:rPr>
          <w:rFonts w:ascii="Calibri" w:eastAsia="Times New Roman" w:hAnsi="Calibri" w:cs="Calibri"/>
          <w:lang w:eastAsia="pl-PL"/>
        </w:rPr>
        <w:t>korekty w zakresie programu inwestycyjnego ujętego w Wieloletniej Prognozie Finansowej związane m.in. z:</w:t>
      </w:r>
    </w:p>
    <w:p w:rsidR="00714AE6" w:rsidRPr="00714AE6" w:rsidRDefault="00714AE6" w:rsidP="00BF05CD">
      <w:pPr>
        <w:numPr>
          <w:ilvl w:val="0"/>
          <w:numId w:val="10"/>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zabezpieczeniem w 2022 r. środków niewykorzystanych na inwestycje w 2021 r.,</w:t>
      </w:r>
    </w:p>
    <w:p w:rsidR="00714AE6" w:rsidRPr="00714AE6" w:rsidRDefault="00714AE6" w:rsidP="00BF05CD">
      <w:pPr>
        <w:numPr>
          <w:ilvl w:val="0"/>
          <w:numId w:val="10"/>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korektami harmonogramów realizacji i finansowania inwestycji w związku m.in. z wydłużającymi się postępowaniami przetargowymi,</w:t>
      </w:r>
    </w:p>
    <w:p w:rsidR="00714AE6" w:rsidRPr="00714AE6" w:rsidRDefault="00714AE6" w:rsidP="00BF05CD">
      <w:pPr>
        <w:numPr>
          <w:ilvl w:val="0"/>
          <w:numId w:val="10"/>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wprowadzeniem do planu w trakcie roku budżetowego nowych zadań inwestycyjnych,</w:t>
      </w:r>
    </w:p>
    <w:p w:rsidR="00714AE6" w:rsidRPr="00714AE6" w:rsidRDefault="00714AE6" w:rsidP="00BF05CD">
      <w:pPr>
        <w:numPr>
          <w:ilvl w:val="0"/>
          <w:numId w:val="10"/>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 xml:space="preserve">rozdysponowaniem środków finansowych zabezpieczonych w programach branżowych na inwestycje </w:t>
      </w:r>
      <w:proofErr w:type="spellStart"/>
      <w:r w:rsidRPr="00714AE6">
        <w:rPr>
          <w:rFonts w:ascii="Calibri" w:eastAsia="Times New Roman" w:hAnsi="Calibri" w:cs="Calibri"/>
          <w:lang w:eastAsia="pl-PL"/>
        </w:rPr>
        <w:t>ogólnomiejskie</w:t>
      </w:r>
      <w:proofErr w:type="spellEnd"/>
      <w:r w:rsidRPr="00714AE6">
        <w:rPr>
          <w:rFonts w:ascii="Calibri" w:eastAsia="Times New Roman" w:hAnsi="Calibri" w:cs="Calibri"/>
          <w:lang w:eastAsia="pl-PL"/>
        </w:rPr>
        <w:t xml:space="preserve"> i dzielnicowe,</w:t>
      </w:r>
    </w:p>
    <w:p w:rsidR="00714AE6" w:rsidRPr="00714AE6" w:rsidRDefault="00714AE6" w:rsidP="00BF05CD">
      <w:pPr>
        <w:numPr>
          <w:ilvl w:val="0"/>
          <w:numId w:val="10"/>
        </w:numPr>
        <w:spacing w:after="240" w:line="300" w:lineRule="auto"/>
        <w:ind w:left="1434" w:hanging="357"/>
        <w:contextualSpacing/>
        <w:rPr>
          <w:rFonts w:ascii="Calibri" w:eastAsia="Times New Roman" w:hAnsi="Calibri" w:cs="Calibri"/>
          <w:lang w:eastAsia="pl-PL"/>
        </w:rPr>
      </w:pPr>
      <w:r w:rsidRPr="00714AE6">
        <w:rPr>
          <w:rFonts w:ascii="Calibri" w:eastAsia="Times New Roman" w:hAnsi="Calibri" w:cs="Calibri"/>
          <w:lang w:eastAsia="pl-PL"/>
        </w:rPr>
        <w:t>zwrotem podatku VAT od faktur inwestycyjnych.</w:t>
      </w:r>
    </w:p>
    <w:p w:rsidR="00714AE6" w:rsidRPr="00714AE6" w:rsidRDefault="00714AE6" w:rsidP="00714AE6">
      <w:p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Zmiany w zakresie programu inwestycyjnego ujętego w Wieloletniej Prognozie Finansowej m.st. Warszawy na lata 2022-2050 dokonane w trakcie 2022 r. zaprezentowano w poniższej tabeli:</w:t>
      </w:r>
    </w:p>
    <w:p w:rsidR="00714AE6" w:rsidRPr="00714AE6" w:rsidRDefault="00714AE6" w:rsidP="00714AE6">
      <w:pPr>
        <w:spacing w:after="240" w:line="300" w:lineRule="auto"/>
        <w:contextualSpacing/>
        <w:rPr>
          <w:rFonts w:ascii="Calibri" w:eastAsia="Times New Roman" w:hAnsi="Calibri" w:cs="Calibri"/>
          <w:sz w:val="2"/>
          <w:szCs w:val="2"/>
          <w:lang w:eastAsia="pl-PL"/>
        </w:rPr>
      </w:pPr>
    </w:p>
    <w:tbl>
      <w:tblPr>
        <w:tblStyle w:val="Zwykatabela22"/>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Zmiany w zakresie programu inwestycyjnego ujętego w Wieloletniej Prognozie Finansowej m.st. Warszawy"/>
        <w:tblDescription w:val="Tabela zawiera dane liczbowe dla lat 2022-2027 w zakresie planu wydatków majątkowch wg stanu na 1 stycznia 2022 roku i 31 grudnia 2022 roku z uwzględnieniem kwoty zmian planu wydatków majątkowych."/>
      </w:tblPr>
      <w:tblGrid>
        <w:gridCol w:w="2304"/>
        <w:gridCol w:w="2182"/>
        <w:gridCol w:w="2182"/>
        <w:gridCol w:w="2182"/>
      </w:tblGrid>
      <w:tr w:rsidR="00714AE6" w:rsidRPr="00714AE6" w:rsidTr="00714AE6">
        <w:trPr>
          <w:trHeight w:val="1162"/>
          <w:tblHeader/>
          <w:jc w:val="center"/>
        </w:trPr>
        <w:tc>
          <w:tcPr>
            <w:cnfStyle w:val="000010000000" w:firstRow="0" w:lastRow="0" w:firstColumn="0" w:lastColumn="0" w:oddVBand="1" w:evenVBand="0" w:oddHBand="0" w:evenHBand="0" w:firstRowFirstColumn="0" w:firstRowLastColumn="0" w:lastRowFirstColumn="0" w:lastRowLastColumn="0"/>
            <w:tcW w:w="1301"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Wyszczególnienie</w:t>
            </w:r>
            <w:r w:rsidRPr="00714AE6">
              <w:rPr>
                <w:rFonts w:ascii="Calibri" w:hAnsi="Calibri" w:cs="Calibri"/>
                <w:b/>
                <w:bCs/>
              </w:rPr>
              <w:t>*</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Plan wydatków majątkowych na 1.01.2022 r. wg WPF</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 tys. zł)</w:t>
            </w:r>
          </w:p>
        </w:tc>
        <w:tc>
          <w:tcPr>
            <w:cnfStyle w:val="000010000000" w:firstRow="0" w:lastRow="0" w:firstColumn="0" w:lastColumn="0" w:oddVBand="1" w:evenVBand="0" w:oddHBand="0" w:evenHBand="0" w:firstRowFirstColumn="0" w:firstRowLastColumn="0" w:lastRowFirstColumn="0" w:lastRowLastColumn="0"/>
            <w:tcW w:w="1233"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Plan wydatków majątkowych po zmianach na 31.12.2022 r. wg WPF</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 tys. zł)</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shd w:val="clear" w:color="auto" w:fill="BFBFBF" w:themeFill="background1" w:themeFillShade="BF"/>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Kwota zmiany planu wydatków majątkowych</w:t>
            </w:r>
          </w:p>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(w tys. zł)</w:t>
            </w:r>
          </w:p>
        </w:tc>
      </w:tr>
      <w:tr w:rsidR="00714AE6" w:rsidRPr="00714AE6" w:rsidTr="00714AE6">
        <w:trPr>
          <w:trHeight w:val="348"/>
          <w:tblHeader/>
          <w:jc w:val="center"/>
        </w:trPr>
        <w:tc>
          <w:tcPr>
            <w:cnfStyle w:val="000010000000" w:firstRow="0" w:lastRow="0" w:firstColumn="0" w:lastColumn="0" w:oddVBand="1" w:evenVBand="0" w:oddHBand="0" w:evenHBand="0" w:firstRowFirstColumn="0" w:firstRowLastColumn="0" w:lastRowFirstColumn="0" w:lastRowLastColumn="0"/>
            <w:tcW w:w="1301"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2022 r.</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szCs w:val="24"/>
              </w:rPr>
              <w:t>2 850 068</w:t>
            </w:r>
          </w:p>
        </w:tc>
        <w:tc>
          <w:tcPr>
            <w:cnfStyle w:val="000010000000" w:firstRow="0" w:lastRow="0" w:firstColumn="0" w:lastColumn="0" w:oddVBand="1" w:evenVBand="0"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2 544 421</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sym w:font="Symbol" w:char="F02D"/>
            </w:r>
            <w:r w:rsidRPr="00714AE6">
              <w:rPr>
                <w:rFonts w:ascii="Calibri" w:hAnsi="Calibri" w:cs="Calibri"/>
                <w:color w:val="000000"/>
              </w:rPr>
              <w:t>305 647</w:t>
            </w:r>
          </w:p>
        </w:tc>
      </w:tr>
      <w:tr w:rsidR="00714AE6" w:rsidRPr="00714AE6" w:rsidTr="00714AE6">
        <w:trPr>
          <w:trHeight w:val="348"/>
          <w:tblHeader/>
          <w:jc w:val="center"/>
        </w:trPr>
        <w:tc>
          <w:tcPr>
            <w:cnfStyle w:val="000010000000" w:firstRow="0" w:lastRow="0" w:firstColumn="0" w:lastColumn="0" w:oddVBand="1" w:evenVBand="0" w:oddHBand="0" w:evenHBand="0" w:firstRowFirstColumn="0" w:firstRowLastColumn="0" w:lastRowFirstColumn="0" w:lastRowLastColumn="0"/>
            <w:tcW w:w="1301"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2023 r.</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3 769 297</w:t>
            </w:r>
          </w:p>
        </w:tc>
        <w:tc>
          <w:tcPr>
            <w:cnfStyle w:val="000010000000" w:firstRow="0" w:lastRow="0" w:firstColumn="0" w:lastColumn="0" w:oddVBand="1" w:evenVBand="0"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4 067 277</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+297 980</w:t>
            </w:r>
          </w:p>
        </w:tc>
      </w:tr>
      <w:tr w:rsidR="00714AE6" w:rsidRPr="00714AE6" w:rsidTr="00714AE6">
        <w:trPr>
          <w:trHeight w:val="348"/>
          <w:tblHeader/>
          <w:jc w:val="center"/>
        </w:trPr>
        <w:tc>
          <w:tcPr>
            <w:cnfStyle w:val="000010000000" w:firstRow="0" w:lastRow="0" w:firstColumn="0" w:lastColumn="0" w:oddVBand="1" w:evenVBand="0" w:oddHBand="0" w:evenHBand="0" w:firstRowFirstColumn="0" w:firstRowLastColumn="0" w:lastRowFirstColumn="0" w:lastRowLastColumn="0"/>
            <w:tcW w:w="1301"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2024 r.</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2 573 813</w:t>
            </w:r>
          </w:p>
        </w:tc>
        <w:tc>
          <w:tcPr>
            <w:cnfStyle w:val="000010000000" w:firstRow="0" w:lastRow="0" w:firstColumn="0" w:lastColumn="0" w:oddVBand="1" w:evenVBand="0"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2 521 844</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sym w:font="Symbol" w:char="F02D"/>
            </w:r>
            <w:r w:rsidRPr="00714AE6">
              <w:rPr>
                <w:rFonts w:ascii="Calibri" w:hAnsi="Calibri" w:cs="Calibri"/>
                <w:color w:val="000000"/>
              </w:rPr>
              <w:t>51 968</w:t>
            </w:r>
          </w:p>
        </w:tc>
      </w:tr>
      <w:tr w:rsidR="00714AE6" w:rsidRPr="00714AE6" w:rsidTr="00714AE6">
        <w:trPr>
          <w:trHeight w:val="348"/>
          <w:tblHeader/>
          <w:jc w:val="center"/>
        </w:trPr>
        <w:tc>
          <w:tcPr>
            <w:cnfStyle w:val="000010000000" w:firstRow="0" w:lastRow="0" w:firstColumn="0" w:lastColumn="0" w:oddVBand="1" w:evenVBand="0" w:oddHBand="0" w:evenHBand="0" w:firstRowFirstColumn="0" w:firstRowLastColumn="0" w:lastRowFirstColumn="0" w:lastRowLastColumn="0"/>
            <w:tcW w:w="1301"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2025 r.</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1 788 408</w:t>
            </w:r>
          </w:p>
        </w:tc>
        <w:tc>
          <w:tcPr>
            <w:cnfStyle w:val="000010000000" w:firstRow="0" w:lastRow="0" w:firstColumn="0" w:lastColumn="0" w:oddVBand="1" w:evenVBand="0"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2 327 139</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+538 731</w:t>
            </w:r>
          </w:p>
        </w:tc>
      </w:tr>
      <w:tr w:rsidR="00714AE6" w:rsidRPr="00714AE6" w:rsidTr="00714AE6">
        <w:trPr>
          <w:trHeight w:val="348"/>
          <w:tblHeader/>
          <w:jc w:val="center"/>
        </w:trPr>
        <w:tc>
          <w:tcPr>
            <w:cnfStyle w:val="000010000000" w:firstRow="0" w:lastRow="0" w:firstColumn="0" w:lastColumn="0" w:oddVBand="1" w:evenVBand="0" w:oddHBand="0" w:evenHBand="0" w:firstRowFirstColumn="0" w:firstRowLastColumn="0" w:lastRowFirstColumn="0" w:lastRowLastColumn="0"/>
            <w:tcW w:w="1301"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2026 r.</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1 709 646</w:t>
            </w:r>
          </w:p>
        </w:tc>
        <w:tc>
          <w:tcPr>
            <w:cnfStyle w:val="000010000000" w:firstRow="0" w:lastRow="0" w:firstColumn="0" w:lastColumn="0" w:oddVBand="1" w:evenVBand="0"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2 029 355</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+319 709</w:t>
            </w:r>
          </w:p>
        </w:tc>
      </w:tr>
      <w:tr w:rsidR="00714AE6" w:rsidRPr="00714AE6" w:rsidTr="00714AE6">
        <w:trPr>
          <w:trHeight w:val="348"/>
          <w:tblHeader/>
          <w:jc w:val="center"/>
        </w:trPr>
        <w:tc>
          <w:tcPr>
            <w:cnfStyle w:val="000010000000" w:firstRow="0" w:lastRow="0" w:firstColumn="0" w:lastColumn="0" w:oddVBand="1" w:evenVBand="0" w:oddHBand="0" w:evenHBand="0" w:firstRowFirstColumn="0" w:firstRowLastColumn="0" w:lastRowFirstColumn="0" w:lastRowLastColumn="0"/>
            <w:tcW w:w="1301" w:type="pct"/>
            <w:tcBorders>
              <w:left w:val="none" w:sz="0" w:space="0" w:color="auto"/>
              <w:right w:val="none" w:sz="0" w:space="0" w:color="auto"/>
            </w:tcBorders>
            <w:shd w:val="clear" w:color="auto" w:fill="DEEAF6" w:themeFill="accent1" w:themeFillTint="33"/>
            <w:vAlign w:val="center"/>
          </w:tcPr>
          <w:p w:rsidR="00714AE6" w:rsidRPr="00714AE6" w:rsidRDefault="00714AE6" w:rsidP="00714AE6">
            <w:pPr>
              <w:autoSpaceDE w:val="0"/>
              <w:autoSpaceDN w:val="0"/>
              <w:adjustRightInd w:val="0"/>
              <w:spacing w:after="0" w:line="240" w:lineRule="auto"/>
              <w:jc w:val="center"/>
              <w:rPr>
                <w:rFonts w:ascii="Calibri" w:hAnsi="Calibri" w:cs="Calibri"/>
                <w:b/>
                <w:bCs/>
                <w:color w:val="000000"/>
              </w:rPr>
            </w:pPr>
            <w:r w:rsidRPr="00714AE6">
              <w:rPr>
                <w:rFonts w:ascii="Calibri" w:hAnsi="Calibri" w:cs="Calibri"/>
                <w:b/>
                <w:bCs/>
                <w:color w:val="000000"/>
              </w:rPr>
              <w:t>2027 r.</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1 465 835</w:t>
            </w:r>
          </w:p>
        </w:tc>
        <w:tc>
          <w:tcPr>
            <w:cnfStyle w:val="000010000000" w:firstRow="0" w:lastRow="0" w:firstColumn="0" w:lastColumn="0" w:oddVBand="1" w:evenVBand="0"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1 520 509</w:t>
            </w:r>
          </w:p>
        </w:tc>
        <w:tc>
          <w:tcPr>
            <w:cnfStyle w:val="000001000000" w:firstRow="0" w:lastRow="0" w:firstColumn="0" w:lastColumn="0" w:oddVBand="0" w:evenVBand="1" w:oddHBand="0" w:evenHBand="0" w:firstRowFirstColumn="0" w:firstRowLastColumn="0" w:lastRowFirstColumn="0" w:lastRowLastColumn="0"/>
            <w:tcW w:w="1233" w:type="pct"/>
            <w:tcBorders>
              <w:left w:val="none" w:sz="0" w:space="0" w:color="auto"/>
              <w:right w:val="none" w:sz="0" w:space="0" w:color="auto"/>
            </w:tcBorders>
            <w:vAlign w:val="center"/>
          </w:tcPr>
          <w:p w:rsidR="00714AE6" w:rsidRPr="00714AE6" w:rsidRDefault="00714AE6" w:rsidP="00714AE6">
            <w:pPr>
              <w:autoSpaceDE w:val="0"/>
              <w:autoSpaceDN w:val="0"/>
              <w:adjustRightInd w:val="0"/>
              <w:spacing w:after="0" w:line="240" w:lineRule="auto"/>
              <w:jc w:val="right"/>
              <w:rPr>
                <w:rFonts w:ascii="Calibri" w:hAnsi="Calibri" w:cs="Calibri"/>
                <w:color w:val="000000"/>
              </w:rPr>
            </w:pPr>
            <w:r w:rsidRPr="00714AE6">
              <w:rPr>
                <w:rFonts w:ascii="Calibri" w:hAnsi="Calibri" w:cs="Calibri"/>
                <w:color w:val="000000"/>
              </w:rPr>
              <w:t>+54 674</w:t>
            </w:r>
          </w:p>
        </w:tc>
      </w:tr>
    </w:tbl>
    <w:p w:rsidR="00714AE6" w:rsidRPr="00714AE6" w:rsidRDefault="00714AE6" w:rsidP="00714AE6">
      <w:pPr>
        <w:spacing w:after="0" w:line="300" w:lineRule="auto"/>
        <w:ind w:left="357"/>
        <w:contextualSpacing/>
        <w:rPr>
          <w:rFonts w:ascii="Calibri" w:eastAsia="Times New Roman" w:hAnsi="Calibri" w:cs="Calibri"/>
          <w:sz w:val="20"/>
          <w:szCs w:val="20"/>
          <w:lang w:eastAsia="pl-PL"/>
        </w:rPr>
      </w:pPr>
      <w:r w:rsidRPr="00714AE6">
        <w:rPr>
          <w:rFonts w:ascii="Calibri" w:eastAsia="Times New Roman" w:hAnsi="Calibri" w:cs="Calibri"/>
          <w:sz w:val="20"/>
          <w:szCs w:val="20"/>
          <w:lang w:eastAsia="pl-PL"/>
        </w:rPr>
        <w:t>*Tabela zawiera zmiany w zakresie programu inwestycyjnego dla 2022 r. i 5-ciu kolejnych lat następujących po 2022 r</w:t>
      </w:r>
      <w:r w:rsidRPr="00714AE6">
        <w:rPr>
          <w:rFonts w:ascii="Calibri" w:eastAsia="Times New Roman" w:hAnsi="Calibri" w:cs="Times New Roman"/>
          <w:sz w:val="20"/>
          <w:szCs w:val="20"/>
          <w:lang w:eastAsia="pl-PL"/>
        </w:rPr>
        <w:t>., tj. do 2027 r.</w:t>
      </w:r>
    </w:p>
    <w:p w:rsidR="00714AE6" w:rsidRPr="00714AE6" w:rsidRDefault="00714AE6" w:rsidP="00BF05CD">
      <w:pPr>
        <w:numPr>
          <w:ilvl w:val="0"/>
          <w:numId w:val="14"/>
        </w:numPr>
        <w:spacing w:before="240" w:after="240" w:line="300" w:lineRule="auto"/>
        <w:ind w:left="357" w:hanging="357"/>
        <w:contextualSpacing/>
        <w:rPr>
          <w:rFonts w:ascii="Calibri" w:eastAsia="Times New Roman" w:hAnsi="Calibri" w:cs="Calibri"/>
          <w:lang w:eastAsia="pl-PL"/>
        </w:rPr>
      </w:pPr>
      <w:r w:rsidRPr="00714AE6">
        <w:rPr>
          <w:rFonts w:ascii="Calibri" w:eastAsia="Times New Roman" w:hAnsi="Calibri" w:cs="Calibri"/>
          <w:lang w:eastAsia="pl-PL"/>
        </w:rPr>
        <w:t>Budżet m.st. Warszawy za 2022 r. zamknął się dodatnim wynikiem – nadwyżką budżetową w </w:t>
      </w:r>
      <w:r w:rsidRPr="00714AE6">
        <w:rPr>
          <w:rFonts w:ascii="Calibri" w:eastAsia="Times New Roman" w:hAnsi="Calibri" w:cs="Calibri"/>
          <w:color w:val="000000"/>
          <w:lang w:eastAsia="pl-PL"/>
        </w:rPr>
        <w:t xml:space="preserve">wysokości </w:t>
      </w:r>
      <w:r w:rsidRPr="00714AE6">
        <w:rPr>
          <w:rFonts w:ascii="Calibri" w:eastAsia="Times New Roman" w:hAnsi="Calibri" w:cs="Times New Roman"/>
          <w:szCs w:val="24"/>
          <w:lang w:eastAsia="pl-PL"/>
        </w:rPr>
        <w:t>496.645</w:t>
      </w:r>
      <w:r w:rsidRPr="00714AE6">
        <w:rPr>
          <w:rFonts w:ascii="Calibri" w:eastAsia="Times New Roman" w:hAnsi="Calibri" w:cs="Calibri"/>
          <w:color w:val="000000"/>
          <w:lang w:eastAsia="pl-PL"/>
        </w:rPr>
        <w:t xml:space="preserve"> tys. zł. </w:t>
      </w:r>
      <w:r w:rsidRPr="00714AE6">
        <w:rPr>
          <w:rFonts w:ascii="Calibri" w:eastAsia="Times New Roman" w:hAnsi="Calibri" w:cs="Calibri"/>
          <w:bCs/>
          <w:color w:val="000000"/>
          <w:lang w:eastAsia="pl-PL"/>
        </w:rPr>
        <w:t>Po</w:t>
      </w:r>
      <w:r w:rsidRPr="00714AE6">
        <w:rPr>
          <w:rFonts w:ascii="Calibri" w:eastAsia="Times New Roman" w:hAnsi="Calibri" w:cs="Calibri"/>
          <w:bCs/>
          <w:lang w:eastAsia="pl-PL"/>
        </w:rPr>
        <w:t xml:space="preserve"> podsumowaniu realizacji budżetu za 2022 r. w budżecie m.st. Warszawy </w:t>
      </w:r>
      <w:r w:rsidRPr="00714AE6">
        <w:rPr>
          <w:rFonts w:ascii="Calibri" w:eastAsia="Times New Roman" w:hAnsi="Calibri" w:cs="Calibri"/>
          <w:lang w:eastAsia="pl-PL"/>
        </w:rPr>
        <w:t>wystąpiła</w:t>
      </w:r>
      <w:r w:rsidRPr="00714AE6">
        <w:rPr>
          <w:rFonts w:ascii="Calibri" w:eastAsia="Times New Roman" w:hAnsi="Calibri" w:cs="Calibri"/>
          <w:bCs/>
          <w:lang w:eastAsia="pl-PL"/>
        </w:rPr>
        <w:t xml:space="preserve"> nadwyżka operacyjna</w:t>
      </w:r>
      <w:r w:rsidRPr="00714AE6">
        <w:rPr>
          <w:rFonts w:ascii="Calibri" w:eastAsia="Times New Roman" w:hAnsi="Calibri" w:cs="Calibri"/>
          <w:lang w:eastAsia="pl-PL"/>
        </w:rPr>
        <w:t xml:space="preserve"> w wysokości</w:t>
      </w:r>
      <w:r w:rsidRPr="00714AE6">
        <w:rPr>
          <w:rFonts w:ascii="Calibri" w:eastAsia="Times New Roman" w:hAnsi="Calibri" w:cs="Calibri"/>
          <w:bCs/>
          <w:lang w:eastAsia="pl-PL"/>
        </w:rPr>
        <w:t xml:space="preserve"> 1.810.222</w:t>
      </w:r>
      <w:r w:rsidRPr="00714AE6">
        <w:rPr>
          <w:rFonts w:ascii="Calibri" w:eastAsia="Times New Roman" w:hAnsi="Calibri" w:cs="Calibri"/>
          <w:color w:val="000000"/>
          <w:lang w:eastAsia="pl-PL"/>
        </w:rPr>
        <w:t xml:space="preserve"> </w:t>
      </w:r>
      <w:r w:rsidRPr="00714AE6">
        <w:rPr>
          <w:rFonts w:ascii="Calibri" w:eastAsia="Times New Roman" w:hAnsi="Calibri" w:cs="Calibri"/>
          <w:lang w:eastAsia="pl-PL"/>
        </w:rPr>
        <w:t>tys. zł –</w:t>
      </w:r>
      <w:r w:rsidRPr="00714AE6">
        <w:rPr>
          <w:rFonts w:ascii="Calibri" w:eastAsia="Times New Roman" w:hAnsi="Calibri" w:cs="Calibri"/>
          <w:b/>
          <w:lang w:eastAsia="pl-PL"/>
        </w:rPr>
        <w:t xml:space="preserve"> </w:t>
      </w:r>
      <w:r w:rsidRPr="00714AE6">
        <w:rPr>
          <w:rFonts w:ascii="Calibri" w:eastAsia="Times New Roman" w:hAnsi="Calibri" w:cs="Calibri"/>
          <w:lang w:eastAsia="pl-PL"/>
        </w:rPr>
        <w:t xml:space="preserve">liczona jako </w:t>
      </w:r>
      <w:r w:rsidRPr="00714AE6">
        <w:rPr>
          <w:rFonts w:ascii="Calibri" w:eastAsia="Times New Roman" w:hAnsi="Calibri" w:cs="Calibri"/>
          <w:lang w:eastAsia="pl-PL"/>
        </w:rPr>
        <w:lastRenderedPageBreak/>
        <w:t xml:space="preserve">różnica pomiędzy dochodami bieżącymi (uwzględniającymi </w:t>
      </w:r>
      <w:r w:rsidRPr="00714AE6">
        <w:rPr>
          <w:rFonts w:ascii="Calibri" w:eastAsia="Times New Roman" w:hAnsi="Calibri" w:cs="Times New Roman"/>
          <w:szCs w:val="24"/>
          <w:lang w:eastAsia="pl-PL"/>
        </w:rPr>
        <w:t>przekazaną z budżetu państwa w IV kwartale 2022 r. kwotę 851.904 tys. zł stanowiącą częściową rekompensatę z tytułu ograniczenia w 2023 r. dochodów</w:t>
      </w:r>
      <w:r w:rsidRPr="00714AE6">
        <w:rPr>
          <w:rFonts w:ascii="Calibri" w:eastAsia="Times New Roman" w:hAnsi="Calibri" w:cs="Calibri"/>
          <w:lang w:eastAsia="pl-PL"/>
        </w:rPr>
        <w:t xml:space="preserve"> m.st. Warszawy z udziału w podatku dochodowym od osób fizycznych (PIT) na skutek wprowadzenia zmian podatkowych wdrożonych w ramach rządowego programu Polski Ład</w:t>
      </w:r>
      <w:r w:rsidRPr="00714AE6">
        <w:rPr>
          <w:rFonts w:ascii="Calibri" w:eastAsia="Times New Roman" w:hAnsi="Calibri" w:cs="Times New Roman"/>
          <w:szCs w:val="24"/>
          <w:lang w:eastAsia="pl-PL"/>
        </w:rPr>
        <w:t>) a wydatkami bieżącymi</w:t>
      </w:r>
      <w:r w:rsidRPr="00714AE6">
        <w:rPr>
          <w:rFonts w:ascii="Calibri" w:eastAsia="Times New Roman" w:hAnsi="Calibri" w:cs="Calibri"/>
          <w:lang w:eastAsia="pl-PL"/>
        </w:rPr>
        <w:t>.</w:t>
      </w:r>
    </w:p>
    <w:p w:rsidR="00714AE6" w:rsidRPr="00714AE6" w:rsidRDefault="00714AE6" w:rsidP="00BF05CD">
      <w:pPr>
        <w:numPr>
          <w:ilvl w:val="0"/>
          <w:numId w:val="14"/>
        </w:numPr>
        <w:spacing w:after="240" w:line="300" w:lineRule="auto"/>
        <w:ind w:left="357"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W ramach wydatków poniesionych w 2022 r. na działania związane z pomocą obywatelom Ukrainy w związku z konfliktem zbrojnym na terytorium tego państwa wydatkowano </w:t>
      </w:r>
      <w:r w:rsidRPr="00714AE6">
        <w:rPr>
          <w:rFonts w:ascii="Calibri" w:eastAsia="Times New Roman" w:hAnsi="Calibri" w:cs="Times New Roman"/>
          <w:szCs w:val="24"/>
          <w:lang w:eastAsia="pl-PL"/>
        </w:rPr>
        <w:t xml:space="preserve">555.476 tys. zł, z czego 70.767 tys. zł zostało sfinansowane ze środków własnych m.st. Warszawy. </w:t>
      </w:r>
      <w:r w:rsidRPr="00714AE6">
        <w:rPr>
          <w:rFonts w:ascii="Calibri" w:eastAsia="Times New Roman" w:hAnsi="Calibri" w:cs="Calibri"/>
          <w:lang w:eastAsia="pl-PL"/>
        </w:rPr>
        <w:t xml:space="preserve">Jednocześnie na działania związane z pomocą obywatelom Ukrainy uzyskano dochody w łącznej kwocie </w:t>
      </w:r>
      <w:r w:rsidRPr="00714AE6">
        <w:rPr>
          <w:rFonts w:ascii="Calibri" w:eastAsia="Times New Roman" w:hAnsi="Calibri" w:cs="Times New Roman"/>
          <w:szCs w:val="24"/>
          <w:lang w:eastAsia="pl-PL"/>
        </w:rPr>
        <w:t xml:space="preserve">528.832 </w:t>
      </w:r>
      <w:r w:rsidRPr="00714AE6">
        <w:rPr>
          <w:rFonts w:ascii="Calibri" w:eastAsia="Times New Roman" w:hAnsi="Calibri" w:cs="Calibri"/>
          <w:lang w:eastAsia="pl-PL"/>
        </w:rPr>
        <w:t xml:space="preserve">tys. zł, w tym: </w:t>
      </w:r>
      <w:r w:rsidRPr="00714AE6">
        <w:rPr>
          <w:rFonts w:ascii="Calibri" w:eastAsia="Times New Roman" w:hAnsi="Calibri" w:cs="Times New Roman"/>
          <w:szCs w:val="24"/>
          <w:lang w:eastAsia="pl-PL"/>
        </w:rPr>
        <w:t>440.097</w:t>
      </w:r>
      <w:r w:rsidRPr="00714AE6">
        <w:rPr>
          <w:rFonts w:ascii="Calibri" w:eastAsia="Times New Roman" w:hAnsi="Calibri" w:cs="Calibri"/>
          <w:lang w:eastAsia="pl-PL"/>
        </w:rPr>
        <w:t xml:space="preserve"> tys. zł z Funduszu Pomocy, </w:t>
      </w:r>
      <w:r w:rsidRPr="00714AE6">
        <w:rPr>
          <w:rFonts w:ascii="Calibri" w:eastAsia="Times New Roman" w:hAnsi="Calibri" w:cs="Times New Roman"/>
          <w:szCs w:val="24"/>
          <w:lang w:eastAsia="pl-PL"/>
        </w:rPr>
        <w:t xml:space="preserve">78.059 tys. zł </w:t>
      </w:r>
      <w:r w:rsidRPr="00714AE6">
        <w:rPr>
          <w:rFonts w:eastAsia="Times New Roman" w:cstheme="minorHAnsi"/>
          <w:lang w:eastAsia="pl-PL"/>
        </w:rPr>
        <w:t xml:space="preserve">z Funduszu Narodów Zjednoczonych na rzecz Dzieci – UNICEF i </w:t>
      </w:r>
      <w:r w:rsidRPr="00714AE6">
        <w:rPr>
          <w:rFonts w:ascii="Calibri" w:eastAsia="Times New Roman" w:hAnsi="Calibri" w:cs="Times New Roman"/>
          <w:szCs w:val="24"/>
          <w:lang w:eastAsia="pl-PL"/>
        </w:rPr>
        <w:t>9.053 tys. zł z darowizn</w:t>
      </w:r>
      <w:r w:rsidRPr="00714AE6">
        <w:rPr>
          <w:rFonts w:ascii="Calibri" w:eastAsia="Times New Roman" w:hAnsi="Calibri" w:cs="Calibri"/>
          <w:lang w:eastAsia="pl-PL"/>
        </w:rPr>
        <w:t>.</w:t>
      </w:r>
    </w:p>
    <w:tbl>
      <w:tblPr>
        <w:tblStyle w:val="Tabela-Siatka12"/>
        <w:tblW w:w="0" w:type="auto"/>
        <w:jc w:val="center"/>
        <w:tblLook w:val="04A0" w:firstRow="1" w:lastRow="0" w:firstColumn="1" w:lastColumn="0" w:noHBand="0" w:noVBand="1"/>
        <w:tblCaption w:val="Tabela zawiera zestawienie dochodów i wydatków na pomoc obywatelom Ukrainy w 2022 roku"/>
        <w:tblDescription w:val="Tabela zawiera dane liczbowe dotyczące wykonania dochodów i wydatków wg stanu na 31 grudnia 2022 roku na pomoc obywatelom Ukrainy. Dochody wyniosły 528.832 tys. zł, a wydatki wyniosły 555.476 tys. zł."/>
      </w:tblPr>
      <w:tblGrid>
        <w:gridCol w:w="729"/>
        <w:gridCol w:w="1046"/>
        <w:gridCol w:w="4917"/>
        <w:gridCol w:w="1727"/>
      </w:tblGrid>
      <w:tr w:rsidR="00714AE6" w:rsidRPr="00714AE6" w:rsidTr="00714AE6">
        <w:trPr>
          <w:trHeight w:val="290"/>
          <w:tblHeader/>
          <w:jc w:val="center"/>
        </w:trPr>
        <w:tc>
          <w:tcPr>
            <w:tcW w:w="0" w:type="auto"/>
            <w:gridSpan w:val="3"/>
            <w:shd w:val="clear" w:color="auto" w:fill="BFBFBF" w:themeFill="background1" w:themeFillShade="BF"/>
            <w:vAlign w:val="center"/>
          </w:tcPr>
          <w:p w:rsidR="00714AE6" w:rsidRPr="00714AE6" w:rsidRDefault="00714AE6" w:rsidP="00714AE6">
            <w:pPr>
              <w:tabs>
                <w:tab w:val="left" w:pos="360"/>
              </w:tabs>
              <w:spacing w:after="0" w:line="300" w:lineRule="auto"/>
              <w:jc w:val="center"/>
              <w:rPr>
                <w:rFonts w:ascii="Calibri" w:hAnsi="Calibri" w:cs="Calibri"/>
                <w:sz w:val="22"/>
                <w:szCs w:val="22"/>
              </w:rPr>
            </w:pPr>
            <w:r w:rsidRPr="00714AE6">
              <w:rPr>
                <w:rFonts w:ascii="Calibri" w:hAnsi="Calibri" w:cs="Calibri"/>
                <w:b/>
                <w:sz w:val="22"/>
                <w:szCs w:val="22"/>
              </w:rPr>
              <w:t>Wyszczególnienie</w:t>
            </w:r>
          </w:p>
        </w:tc>
        <w:tc>
          <w:tcPr>
            <w:tcW w:w="0" w:type="auto"/>
            <w:shd w:val="clear" w:color="auto" w:fill="BFBFBF" w:themeFill="background1" w:themeFillShade="BF"/>
            <w:vAlign w:val="center"/>
          </w:tcPr>
          <w:p w:rsidR="00714AE6" w:rsidRPr="00714AE6" w:rsidRDefault="00714AE6" w:rsidP="00714AE6">
            <w:pPr>
              <w:tabs>
                <w:tab w:val="left" w:pos="360"/>
              </w:tabs>
              <w:spacing w:after="0" w:line="360" w:lineRule="auto"/>
              <w:jc w:val="center"/>
              <w:rPr>
                <w:rFonts w:ascii="Calibri" w:hAnsi="Calibri" w:cs="Calibri"/>
                <w:b/>
                <w:sz w:val="22"/>
                <w:szCs w:val="22"/>
              </w:rPr>
            </w:pPr>
            <w:r w:rsidRPr="00714AE6">
              <w:rPr>
                <w:rFonts w:ascii="Calibri" w:hAnsi="Calibri" w:cs="Calibri"/>
                <w:b/>
                <w:sz w:val="22"/>
                <w:szCs w:val="22"/>
              </w:rPr>
              <w:t>Kwota (w tys. zł)</w:t>
            </w:r>
          </w:p>
        </w:tc>
      </w:tr>
      <w:tr w:rsidR="00714AE6" w:rsidRPr="00714AE6" w:rsidTr="00714AE6">
        <w:trPr>
          <w:tblHeader/>
          <w:jc w:val="center"/>
        </w:trPr>
        <w:tc>
          <w:tcPr>
            <w:tcW w:w="0" w:type="auto"/>
            <w:gridSpan w:val="3"/>
            <w:shd w:val="clear" w:color="auto" w:fill="DEEAF6" w:themeFill="accent1" w:themeFillTint="33"/>
            <w:vAlign w:val="center"/>
          </w:tcPr>
          <w:p w:rsidR="00714AE6" w:rsidRPr="00714AE6" w:rsidRDefault="00714AE6" w:rsidP="00714AE6">
            <w:pPr>
              <w:tabs>
                <w:tab w:val="left" w:pos="360"/>
              </w:tabs>
              <w:spacing w:after="0" w:line="240" w:lineRule="auto"/>
              <w:rPr>
                <w:rFonts w:ascii="Calibri" w:hAnsi="Calibri" w:cs="Calibri"/>
                <w:b/>
                <w:sz w:val="22"/>
                <w:szCs w:val="22"/>
              </w:rPr>
            </w:pPr>
            <w:r w:rsidRPr="00714AE6">
              <w:rPr>
                <w:rFonts w:ascii="Calibri" w:hAnsi="Calibri" w:cs="Calibri"/>
                <w:b/>
                <w:sz w:val="22"/>
                <w:szCs w:val="22"/>
              </w:rPr>
              <w:t>Dochody ogółem na pomoc obywatelom Ukrainy,</w:t>
            </w:r>
          </w:p>
          <w:p w:rsidR="00714AE6" w:rsidRPr="00714AE6" w:rsidRDefault="00714AE6" w:rsidP="00714AE6">
            <w:pPr>
              <w:tabs>
                <w:tab w:val="left" w:pos="360"/>
              </w:tabs>
              <w:spacing w:after="0" w:line="240" w:lineRule="auto"/>
              <w:rPr>
                <w:rFonts w:ascii="Calibri" w:hAnsi="Calibri" w:cs="Calibri"/>
                <w:b/>
                <w:sz w:val="22"/>
                <w:szCs w:val="22"/>
              </w:rPr>
            </w:pPr>
            <w:r w:rsidRPr="00714AE6">
              <w:rPr>
                <w:rFonts w:ascii="Calibri" w:hAnsi="Calibri" w:cs="Calibri"/>
                <w:b/>
                <w:sz w:val="22"/>
                <w:szCs w:val="22"/>
              </w:rPr>
              <w:t>otrzymane ze źródeł zewnętrznych, z tego:</w:t>
            </w:r>
          </w:p>
        </w:tc>
        <w:tc>
          <w:tcPr>
            <w:tcW w:w="0" w:type="auto"/>
            <w:shd w:val="clear" w:color="auto" w:fill="DEEAF6" w:themeFill="accent1" w:themeFillTint="33"/>
            <w:vAlign w:val="center"/>
          </w:tcPr>
          <w:p w:rsidR="00714AE6" w:rsidRPr="00714AE6" w:rsidRDefault="00714AE6" w:rsidP="00714AE6">
            <w:pPr>
              <w:tabs>
                <w:tab w:val="left" w:pos="360"/>
              </w:tabs>
              <w:spacing w:after="0" w:line="240" w:lineRule="auto"/>
              <w:jc w:val="right"/>
              <w:rPr>
                <w:rFonts w:ascii="Calibri" w:hAnsi="Calibri" w:cs="Calibri"/>
                <w:b/>
                <w:sz w:val="22"/>
                <w:szCs w:val="22"/>
              </w:rPr>
            </w:pPr>
            <w:r w:rsidRPr="00714AE6">
              <w:rPr>
                <w:rFonts w:ascii="Calibri" w:hAnsi="Calibri" w:cs="Calibri"/>
                <w:b/>
                <w:sz w:val="22"/>
                <w:szCs w:val="22"/>
              </w:rPr>
              <w:t>528 832</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240" w:lineRule="auto"/>
              <w:jc w:val="center"/>
              <w:rPr>
                <w:rFonts w:ascii="Calibri" w:hAnsi="Calibri" w:cs="Calibri"/>
                <w:sz w:val="22"/>
                <w:szCs w:val="22"/>
              </w:rPr>
            </w:pPr>
            <w:r w:rsidRPr="00714AE6">
              <w:rPr>
                <w:rFonts w:ascii="Calibri" w:hAnsi="Calibri" w:cs="Calibri"/>
                <w:sz w:val="22"/>
                <w:szCs w:val="22"/>
              </w:rPr>
              <w:t>1.</w:t>
            </w:r>
          </w:p>
        </w:tc>
        <w:tc>
          <w:tcPr>
            <w:tcW w:w="0" w:type="auto"/>
            <w:gridSpan w:val="2"/>
            <w:vAlign w:val="center"/>
          </w:tcPr>
          <w:p w:rsidR="00714AE6" w:rsidRPr="00714AE6" w:rsidRDefault="00714AE6" w:rsidP="00714AE6">
            <w:pPr>
              <w:tabs>
                <w:tab w:val="left" w:pos="360"/>
              </w:tabs>
              <w:spacing w:after="0" w:line="240" w:lineRule="auto"/>
              <w:rPr>
                <w:rFonts w:ascii="Calibri" w:hAnsi="Calibri" w:cs="Calibri"/>
                <w:sz w:val="22"/>
                <w:szCs w:val="22"/>
              </w:rPr>
            </w:pPr>
            <w:r w:rsidRPr="00714AE6">
              <w:rPr>
                <w:rFonts w:ascii="Calibri" w:hAnsi="Calibri" w:cs="Calibri"/>
                <w:sz w:val="22"/>
                <w:szCs w:val="22"/>
              </w:rPr>
              <w:t>dochody z Funduszu Pomocy i dotacji</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sz w:val="22"/>
                <w:szCs w:val="24"/>
              </w:rPr>
              <w:t>441 700</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300" w:lineRule="auto"/>
              <w:jc w:val="center"/>
              <w:rPr>
                <w:rFonts w:ascii="Calibri" w:hAnsi="Calibri" w:cs="Calibri"/>
                <w:sz w:val="22"/>
                <w:szCs w:val="22"/>
              </w:rPr>
            </w:pPr>
            <w:r w:rsidRPr="00714AE6">
              <w:rPr>
                <w:rFonts w:ascii="Calibri" w:hAnsi="Calibri" w:cs="Calibri"/>
                <w:sz w:val="22"/>
                <w:szCs w:val="22"/>
              </w:rPr>
              <w:t>2.</w:t>
            </w:r>
          </w:p>
        </w:tc>
        <w:tc>
          <w:tcPr>
            <w:tcW w:w="0" w:type="auto"/>
            <w:gridSpan w:val="2"/>
            <w:vAlign w:val="center"/>
          </w:tcPr>
          <w:p w:rsidR="00714AE6" w:rsidRPr="00714AE6" w:rsidRDefault="00714AE6" w:rsidP="00714AE6">
            <w:pPr>
              <w:tabs>
                <w:tab w:val="left" w:pos="360"/>
              </w:tabs>
              <w:spacing w:after="0" w:line="300" w:lineRule="auto"/>
              <w:rPr>
                <w:rFonts w:ascii="Calibri" w:hAnsi="Calibri" w:cs="Calibri"/>
                <w:sz w:val="22"/>
                <w:szCs w:val="22"/>
              </w:rPr>
            </w:pPr>
            <w:r w:rsidRPr="00714AE6">
              <w:rPr>
                <w:rFonts w:ascii="Calibri" w:hAnsi="Calibri" w:cs="Calibri"/>
                <w:sz w:val="22"/>
                <w:szCs w:val="22"/>
              </w:rPr>
              <w:t>dochody z darowizn</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sz w:val="22"/>
                <w:szCs w:val="24"/>
              </w:rPr>
              <w:t>9 053</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300" w:lineRule="auto"/>
              <w:jc w:val="center"/>
              <w:rPr>
                <w:rFonts w:ascii="Calibri" w:hAnsi="Calibri" w:cs="Calibri"/>
                <w:sz w:val="22"/>
                <w:szCs w:val="22"/>
              </w:rPr>
            </w:pPr>
            <w:r w:rsidRPr="00714AE6">
              <w:rPr>
                <w:rFonts w:ascii="Calibri" w:hAnsi="Calibri" w:cs="Calibri"/>
                <w:sz w:val="22"/>
                <w:szCs w:val="22"/>
              </w:rPr>
              <w:t>3.</w:t>
            </w:r>
          </w:p>
        </w:tc>
        <w:tc>
          <w:tcPr>
            <w:tcW w:w="0" w:type="auto"/>
            <w:gridSpan w:val="2"/>
            <w:vAlign w:val="center"/>
          </w:tcPr>
          <w:p w:rsidR="00714AE6" w:rsidRPr="00714AE6" w:rsidRDefault="00714AE6" w:rsidP="00714AE6">
            <w:pPr>
              <w:tabs>
                <w:tab w:val="left" w:pos="360"/>
              </w:tabs>
              <w:spacing w:after="0" w:line="300" w:lineRule="auto"/>
              <w:rPr>
                <w:rFonts w:ascii="Calibri" w:hAnsi="Calibri" w:cs="Calibri"/>
                <w:sz w:val="22"/>
                <w:szCs w:val="22"/>
              </w:rPr>
            </w:pPr>
            <w:r w:rsidRPr="00714AE6">
              <w:rPr>
                <w:rFonts w:ascii="Calibri" w:hAnsi="Calibri" w:cs="Calibri"/>
                <w:sz w:val="22"/>
                <w:szCs w:val="22"/>
              </w:rPr>
              <w:t>dochody z UNICEF</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sz w:val="22"/>
                <w:szCs w:val="24"/>
              </w:rPr>
              <w:t>78 059</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240" w:lineRule="auto"/>
              <w:jc w:val="center"/>
              <w:rPr>
                <w:rFonts w:ascii="Calibri" w:hAnsi="Calibri" w:cs="Calibri"/>
                <w:sz w:val="22"/>
                <w:szCs w:val="22"/>
              </w:rPr>
            </w:pPr>
            <w:r w:rsidRPr="00714AE6">
              <w:rPr>
                <w:rFonts w:ascii="Calibri" w:hAnsi="Calibri" w:cs="Calibri"/>
                <w:sz w:val="22"/>
                <w:szCs w:val="22"/>
              </w:rPr>
              <w:t>4.</w:t>
            </w:r>
          </w:p>
        </w:tc>
        <w:tc>
          <w:tcPr>
            <w:tcW w:w="0" w:type="auto"/>
            <w:gridSpan w:val="2"/>
            <w:vAlign w:val="center"/>
          </w:tcPr>
          <w:p w:rsidR="00714AE6" w:rsidRPr="00714AE6" w:rsidRDefault="00714AE6" w:rsidP="00714AE6">
            <w:pPr>
              <w:tabs>
                <w:tab w:val="left" w:pos="360"/>
              </w:tabs>
              <w:spacing w:after="0" w:line="240" w:lineRule="auto"/>
              <w:rPr>
                <w:rFonts w:ascii="Calibri" w:hAnsi="Calibri" w:cs="Calibri"/>
                <w:sz w:val="22"/>
                <w:szCs w:val="22"/>
              </w:rPr>
            </w:pPr>
            <w:r w:rsidRPr="00714AE6">
              <w:rPr>
                <w:rFonts w:ascii="Calibri" w:hAnsi="Calibri" w:cs="Calibri"/>
                <w:sz w:val="22"/>
                <w:szCs w:val="22"/>
              </w:rPr>
              <w:t>dochody z Konfederacji Lewiatan</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sz w:val="22"/>
                <w:szCs w:val="24"/>
              </w:rPr>
              <w:t>20</w:t>
            </w:r>
          </w:p>
        </w:tc>
      </w:tr>
      <w:tr w:rsidR="00714AE6" w:rsidRPr="00714AE6" w:rsidTr="00714AE6">
        <w:trPr>
          <w:tblHeader/>
          <w:jc w:val="center"/>
        </w:trPr>
        <w:tc>
          <w:tcPr>
            <w:tcW w:w="0" w:type="auto"/>
            <w:gridSpan w:val="3"/>
            <w:shd w:val="clear" w:color="auto" w:fill="DEEAF6" w:themeFill="accent1" w:themeFillTint="33"/>
            <w:vAlign w:val="center"/>
          </w:tcPr>
          <w:p w:rsidR="00714AE6" w:rsidRPr="00714AE6" w:rsidRDefault="00714AE6" w:rsidP="00714AE6">
            <w:pPr>
              <w:tabs>
                <w:tab w:val="left" w:pos="360"/>
              </w:tabs>
              <w:spacing w:after="0" w:line="240" w:lineRule="auto"/>
              <w:rPr>
                <w:rFonts w:ascii="Calibri" w:hAnsi="Calibri" w:cs="Calibri"/>
                <w:b/>
                <w:sz w:val="22"/>
                <w:szCs w:val="22"/>
              </w:rPr>
            </w:pPr>
            <w:r w:rsidRPr="00714AE6">
              <w:rPr>
                <w:rFonts w:ascii="Calibri" w:hAnsi="Calibri" w:cs="Calibri"/>
                <w:b/>
                <w:sz w:val="22"/>
                <w:szCs w:val="22"/>
              </w:rPr>
              <w:t>Wydatki ogółem na działania związane z pomocą obywatelom Ukrainy,</w:t>
            </w:r>
          </w:p>
          <w:p w:rsidR="00714AE6" w:rsidRPr="00714AE6" w:rsidRDefault="00714AE6" w:rsidP="00714AE6">
            <w:pPr>
              <w:tabs>
                <w:tab w:val="left" w:pos="360"/>
              </w:tabs>
              <w:spacing w:after="0" w:line="240" w:lineRule="auto"/>
              <w:rPr>
                <w:rFonts w:ascii="Calibri" w:hAnsi="Calibri" w:cs="Calibri"/>
                <w:b/>
                <w:sz w:val="22"/>
                <w:szCs w:val="22"/>
              </w:rPr>
            </w:pPr>
            <w:r w:rsidRPr="00714AE6">
              <w:rPr>
                <w:rFonts w:ascii="Calibri" w:hAnsi="Calibri" w:cs="Calibri"/>
                <w:b/>
                <w:sz w:val="22"/>
                <w:szCs w:val="22"/>
              </w:rPr>
              <w:t>w tym finansowane:</w:t>
            </w:r>
          </w:p>
        </w:tc>
        <w:tc>
          <w:tcPr>
            <w:tcW w:w="0" w:type="auto"/>
            <w:shd w:val="clear" w:color="auto" w:fill="DEEAF6" w:themeFill="accent1" w:themeFillTint="33"/>
            <w:vAlign w:val="center"/>
          </w:tcPr>
          <w:p w:rsidR="00714AE6" w:rsidRPr="00714AE6" w:rsidRDefault="00714AE6" w:rsidP="00714AE6">
            <w:pPr>
              <w:tabs>
                <w:tab w:val="left" w:pos="360"/>
              </w:tabs>
              <w:spacing w:after="0" w:line="240" w:lineRule="auto"/>
              <w:jc w:val="right"/>
              <w:rPr>
                <w:rFonts w:ascii="Calibri" w:hAnsi="Calibri" w:cs="Calibri"/>
                <w:b/>
                <w:sz w:val="22"/>
                <w:szCs w:val="22"/>
              </w:rPr>
            </w:pPr>
            <w:r w:rsidRPr="00714AE6">
              <w:rPr>
                <w:rFonts w:ascii="Calibri" w:hAnsi="Calibri"/>
                <w:b/>
                <w:sz w:val="22"/>
                <w:szCs w:val="24"/>
              </w:rPr>
              <w:t>555 476</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240" w:lineRule="auto"/>
              <w:jc w:val="center"/>
              <w:rPr>
                <w:rFonts w:ascii="Calibri" w:hAnsi="Calibri" w:cs="Calibri"/>
                <w:sz w:val="22"/>
                <w:szCs w:val="22"/>
              </w:rPr>
            </w:pPr>
            <w:r w:rsidRPr="00714AE6">
              <w:rPr>
                <w:rFonts w:ascii="Calibri" w:hAnsi="Calibri" w:cs="Calibri"/>
                <w:sz w:val="22"/>
                <w:szCs w:val="22"/>
              </w:rPr>
              <w:t>1.</w:t>
            </w:r>
          </w:p>
        </w:tc>
        <w:tc>
          <w:tcPr>
            <w:tcW w:w="0" w:type="auto"/>
            <w:gridSpan w:val="2"/>
            <w:vAlign w:val="center"/>
          </w:tcPr>
          <w:p w:rsidR="00714AE6" w:rsidRPr="00714AE6" w:rsidRDefault="00714AE6" w:rsidP="00714AE6">
            <w:pPr>
              <w:tabs>
                <w:tab w:val="left" w:pos="360"/>
              </w:tabs>
              <w:spacing w:after="0" w:line="240" w:lineRule="auto"/>
              <w:rPr>
                <w:rFonts w:ascii="Calibri" w:hAnsi="Calibri" w:cs="Calibri"/>
                <w:sz w:val="22"/>
                <w:szCs w:val="22"/>
              </w:rPr>
            </w:pPr>
            <w:r w:rsidRPr="00714AE6">
              <w:rPr>
                <w:rFonts w:ascii="Calibri" w:hAnsi="Calibri" w:cs="Calibri"/>
                <w:sz w:val="22"/>
                <w:szCs w:val="22"/>
              </w:rPr>
              <w:t>ze środków zewnętrznych pochodzących z:</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sz w:val="22"/>
                <w:szCs w:val="24"/>
              </w:rPr>
              <w:t>484 709</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300" w:lineRule="auto"/>
              <w:jc w:val="center"/>
              <w:rPr>
                <w:rFonts w:ascii="Calibri" w:hAnsi="Calibri" w:cs="Calibri"/>
                <w:sz w:val="22"/>
                <w:szCs w:val="22"/>
              </w:rPr>
            </w:pPr>
          </w:p>
        </w:tc>
        <w:tc>
          <w:tcPr>
            <w:tcW w:w="0" w:type="auto"/>
            <w:vAlign w:val="center"/>
          </w:tcPr>
          <w:p w:rsidR="00714AE6" w:rsidRPr="00714AE6" w:rsidRDefault="00714AE6" w:rsidP="00714AE6">
            <w:pPr>
              <w:tabs>
                <w:tab w:val="left" w:pos="360"/>
              </w:tabs>
              <w:spacing w:after="0" w:line="300" w:lineRule="auto"/>
              <w:rPr>
                <w:rFonts w:ascii="Calibri" w:hAnsi="Calibri" w:cs="Calibri"/>
                <w:sz w:val="22"/>
                <w:szCs w:val="22"/>
              </w:rPr>
            </w:pPr>
            <w:r w:rsidRPr="00714AE6">
              <w:rPr>
                <w:rFonts w:ascii="Calibri" w:hAnsi="Calibri" w:cs="Calibri"/>
                <w:sz w:val="22"/>
                <w:szCs w:val="22"/>
              </w:rPr>
              <w:t>1.1.</w:t>
            </w:r>
          </w:p>
        </w:tc>
        <w:tc>
          <w:tcPr>
            <w:tcW w:w="0" w:type="auto"/>
            <w:vAlign w:val="center"/>
          </w:tcPr>
          <w:p w:rsidR="00714AE6" w:rsidRPr="00714AE6" w:rsidRDefault="00714AE6" w:rsidP="00714AE6">
            <w:pPr>
              <w:tabs>
                <w:tab w:val="left" w:pos="360"/>
              </w:tabs>
              <w:spacing w:after="0" w:line="300" w:lineRule="auto"/>
              <w:rPr>
                <w:rFonts w:ascii="Calibri" w:hAnsi="Calibri" w:cs="Calibri"/>
                <w:sz w:val="22"/>
                <w:szCs w:val="22"/>
              </w:rPr>
            </w:pPr>
            <w:r w:rsidRPr="00714AE6">
              <w:rPr>
                <w:rFonts w:ascii="Calibri" w:hAnsi="Calibri" w:cs="Calibri"/>
                <w:sz w:val="22"/>
                <w:szCs w:val="22"/>
              </w:rPr>
              <w:t>Funduszu Pomocy i dotacji</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sz w:val="22"/>
                <w:szCs w:val="24"/>
              </w:rPr>
              <w:t>427 936</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300" w:lineRule="auto"/>
              <w:jc w:val="center"/>
              <w:rPr>
                <w:rFonts w:ascii="Calibri" w:hAnsi="Calibri" w:cs="Calibri"/>
                <w:sz w:val="22"/>
                <w:szCs w:val="22"/>
              </w:rPr>
            </w:pPr>
          </w:p>
        </w:tc>
        <w:tc>
          <w:tcPr>
            <w:tcW w:w="0" w:type="auto"/>
            <w:vAlign w:val="center"/>
          </w:tcPr>
          <w:p w:rsidR="00714AE6" w:rsidRPr="00714AE6" w:rsidRDefault="00714AE6" w:rsidP="00714AE6">
            <w:pPr>
              <w:tabs>
                <w:tab w:val="left" w:pos="360"/>
              </w:tabs>
              <w:spacing w:after="0" w:line="300" w:lineRule="auto"/>
              <w:rPr>
                <w:rFonts w:ascii="Calibri" w:hAnsi="Calibri" w:cs="Calibri"/>
                <w:sz w:val="22"/>
                <w:szCs w:val="22"/>
              </w:rPr>
            </w:pPr>
            <w:r w:rsidRPr="00714AE6">
              <w:rPr>
                <w:rFonts w:ascii="Calibri" w:hAnsi="Calibri" w:cs="Calibri"/>
                <w:sz w:val="22"/>
                <w:szCs w:val="22"/>
              </w:rPr>
              <w:t>1.2.</w:t>
            </w:r>
          </w:p>
        </w:tc>
        <w:tc>
          <w:tcPr>
            <w:tcW w:w="0" w:type="auto"/>
            <w:vAlign w:val="center"/>
          </w:tcPr>
          <w:p w:rsidR="00714AE6" w:rsidRPr="00714AE6" w:rsidRDefault="00714AE6" w:rsidP="00714AE6">
            <w:pPr>
              <w:tabs>
                <w:tab w:val="left" w:pos="360"/>
              </w:tabs>
              <w:spacing w:after="0" w:line="300" w:lineRule="auto"/>
              <w:rPr>
                <w:rFonts w:ascii="Calibri" w:hAnsi="Calibri" w:cs="Calibri"/>
                <w:sz w:val="22"/>
                <w:szCs w:val="22"/>
              </w:rPr>
            </w:pPr>
            <w:r w:rsidRPr="00714AE6">
              <w:rPr>
                <w:rFonts w:ascii="Calibri" w:hAnsi="Calibri" w:cs="Calibri"/>
                <w:sz w:val="22"/>
                <w:szCs w:val="22"/>
              </w:rPr>
              <w:t>darowizn</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sz w:val="22"/>
                <w:szCs w:val="24"/>
              </w:rPr>
              <w:t>687</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240" w:lineRule="auto"/>
              <w:jc w:val="center"/>
              <w:rPr>
                <w:rFonts w:ascii="Calibri" w:hAnsi="Calibri" w:cs="Calibri"/>
                <w:sz w:val="22"/>
                <w:szCs w:val="22"/>
              </w:rPr>
            </w:pPr>
          </w:p>
        </w:tc>
        <w:tc>
          <w:tcPr>
            <w:tcW w:w="0" w:type="auto"/>
            <w:vAlign w:val="center"/>
          </w:tcPr>
          <w:p w:rsidR="00714AE6" w:rsidRPr="00714AE6" w:rsidRDefault="00714AE6" w:rsidP="00714AE6">
            <w:pPr>
              <w:tabs>
                <w:tab w:val="left" w:pos="360"/>
              </w:tabs>
              <w:spacing w:after="0" w:line="240" w:lineRule="auto"/>
              <w:rPr>
                <w:rFonts w:ascii="Calibri" w:hAnsi="Calibri" w:cs="Calibri"/>
                <w:sz w:val="22"/>
                <w:szCs w:val="22"/>
              </w:rPr>
            </w:pPr>
            <w:r w:rsidRPr="00714AE6">
              <w:rPr>
                <w:rFonts w:ascii="Calibri" w:hAnsi="Calibri" w:cs="Calibri"/>
                <w:sz w:val="22"/>
                <w:szCs w:val="22"/>
              </w:rPr>
              <w:t>1.3.</w:t>
            </w:r>
          </w:p>
        </w:tc>
        <w:tc>
          <w:tcPr>
            <w:tcW w:w="0" w:type="auto"/>
            <w:vAlign w:val="center"/>
          </w:tcPr>
          <w:p w:rsidR="00714AE6" w:rsidRPr="00714AE6" w:rsidRDefault="00714AE6" w:rsidP="00714AE6">
            <w:pPr>
              <w:tabs>
                <w:tab w:val="left" w:pos="360"/>
              </w:tabs>
              <w:spacing w:after="0" w:line="240" w:lineRule="auto"/>
              <w:rPr>
                <w:rFonts w:ascii="Calibri" w:hAnsi="Calibri" w:cs="Calibri"/>
                <w:sz w:val="22"/>
                <w:szCs w:val="22"/>
              </w:rPr>
            </w:pPr>
            <w:r w:rsidRPr="00714AE6">
              <w:rPr>
                <w:rFonts w:ascii="Calibri" w:hAnsi="Calibri" w:cs="Calibri"/>
                <w:sz w:val="22"/>
                <w:szCs w:val="22"/>
              </w:rPr>
              <w:t>UNICEF</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sz w:val="22"/>
                <w:szCs w:val="24"/>
              </w:rPr>
              <w:t>56 066</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240" w:lineRule="auto"/>
              <w:jc w:val="center"/>
              <w:rPr>
                <w:rFonts w:ascii="Calibri" w:hAnsi="Calibri" w:cs="Calibri"/>
                <w:sz w:val="22"/>
                <w:szCs w:val="22"/>
              </w:rPr>
            </w:pPr>
          </w:p>
        </w:tc>
        <w:tc>
          <w:tcPr>
            <w:tcW w:w="0" w:type="auto"/>
            <w:vAlign w:val="center"/>
          </w:tcPr>
          <w:p w:rsidR="00714AE6" w:rsidRPr="00714AE6" w:rsidRDefault="00714AE6" w:rsidP="00714AE6">
            <w:pPr>
              <w:tabs>
                <w:tab w:val="left" w:pos="360"/>
              </w:tabs>
              <w:spacing w:after="0" w:line="240" w:lineRule="auto"/>
              <w:rPr>
                <w:rFonts w:ascii="Calibri" w:hAnsi="Calibri" w:cs="Calibri"/>
                <w:sz w:val="22"/>
                <w:szCs w:val="22"/>
              </w:rPr>
            </w:pPr>
            <w:r w:rsidRPr="00714AE6">
              <w:rPr>
                <w:rFonts w:ascii="Calibri" w:hAnsi="Calibri" w:cs="Calibri"/>
                <w:sz w:val="22"/>
                <w:szCs w:val="22"/>
              </w:rPr>
              <w:t>1.4.</w:t>
            </w:r>
          </w:p>
        </w:tc>
        <w:tc>
          <w:tcPr>
            <w:tcW w:w="0" w:type="auto"/>
            <w:vAlign w:val="center"/>
          </w:tcPr>
          <w:p w:rsidR="00714AE6" w:rsidRPr="00714AE6" w:rsidRDefault="00714AE6" w:rsidP="00714AE6">
            <w:pPr>
              <w:tabs>
                <w:tab w:val="left" w:pos="360"/>
              </w:tabs>
              <w:spacing w:after="0" w:line="240" w:lineRule="auto"/>
              <w:rPr>
                <w:rFonts w:ascii="Calibri" w:hAnsi="Calibri" w:cs="Calibri"/>
                <w:sz w:val="22"/>
                <w:szCs w:val="22"/>
              </w:rPr>
            </w:pPr>
            <w:r w:rsidRPr="00714AE6">
              <w:rPr>
                <w:rFonts w:ascii="Calibri" w:hAnsi="Calibri" w:cs="Calibri"/>
                <w:sz w:val="22"/>
                <w:szCs w:val="22"/>
              </w:rPr>
              <w:t>Konfederacji Lewiatan</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cs="Calibri"/>
                <w:sz w:val="22"/>
                <w:szCs w:val="22"/>
              </w:rPr>
              <w:t>20</w:t>
            </w:r>
          </w:p>
        </w:tc>
      </w:tr>
      <w:tr w:rsidR="00714AE6" w:rsidRPr="00714AE6" w:rsidTr="00714AE6">
        <w:trPr>
          <w:tblHeader/>
          <w:jc w:val="center"/>
        </w:trPr>
        <w:tc>
          <w:tcPr>
            <w:tcW w:w="0" w:type="auto"/>
            <w:vAlign w:val="center"/>
          </w:tcPr>
          <w:p w:rsidR="00714AE6" w:rsidRPr="00714AE6" w:rsidRDefault="00714AE6" w:rsidP="00714AE6">
            <w:pPr>
              <w:tabs>
                <w:tab w:val="left" w:pos="360"/>
              </w:tabs>
              <w:spacing w:after="0" w:line="240" w:lineRule="auto"/>
              <w:jc w:val="center"/>
              <w:rPr>
                <w:rFonts w:ascii="Calibri" w:hAnsi="Calibri" w:cs="Calibri"/>
                <w:sz w:val="22"/>
                <w:szCs w:val="22"/>
              </w:rPr>
            </w:pPr>
            <w:r w:rsidRPr="00714AE6">
              <w:rPr>
                <w:rFonts w:ascii="Calibri" w:hAnsi="Calibri" w:cs="Calibri"/>
                <w:sz w:val="22"/>
                <w:szCs w:val="22"/>
              </w:rPr>
              <w:t>2.</w:t>
            </w:r>
          </w:p>
        </w:tc>
        <w:tc>
          <w:tcPr>
            <w:tcW w:w="0" w:type="auto"/>
            <w:gridSpan w:val="2"/>
            <w:vAlign w:val="center"/>
          </w:tcPr>
          <w:p w:rsidR="00714AE6" w:rsidRPr="00714AE6" w:rsidRDefault="00714AE6" w:rsidP="00714AE6">
            <w:pPr>
              <w:tabs>
                <w:tab w:val="left" w:pos="360"/>
              </w:tabs>
              <w:spacing w:after="0" w:line="240" w:lineRule="auto"/>
              <w:rPr>
                <w:rFonts w:ascii="Calibri" w:hAnsi="Calibri" w:cs="Calibri"/>
                <w:sz w:val="22"/>
                <w:szCs w:val="22"/>
              </w:rPr>
            </w:pPr>
            <w:r w:rsidRPr="00714AE6">
              <w:rPr>
                <w:rFonts w:ascii="Calibri" w:hAnsi="Calibri" w:cs="Calibri"/>
                <w:sz w:val="22"/>
                <w:szCs w:val="22"/>
              </w:rPr>
              <w:t>ze środków własnych</w:t>
            </w:r>
          </w:p>
        </w:tc>
        <w:tc>
          <w:tcPr>
            <w:tcW w:w="0" w:type="auto"/>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sz w:val="22"/>
                <w:szCs w:val="24"/>
              </w:rPr>
              <w:t>70 767</w:t>
            </w:r>
          </w:p>
        </w:tc>
      </w:tr>
    </w:tbl>
    <w:p w:rsidR="00714AE6" w:rsidRPr="00714AE6" w:rsidRDefault="00714AE6" w:rsidP="00BF05CD">
      <w:pPr>
        <w:numPr>
          <w:ilvl w:val="0"/>
          <w:numId w:val="14"/>
        </w:numPr>
        <w:spacing w:before="240" w:after="0" w:line="300" w:lineRule="auto"/>
        <w:ind w:left="357"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W ramach wydatków poniesionych w 2022 r. na działania związane z przeciwdziałaniem i usuwaniem skutków COVID-19 wydatkowano </w:t>
      </w:r>
      <w:r w:rsidRPr="00714AE6">
        <w:rPr>
          <w:rFonts w:ascii="Calibri" w:eastAsia="Times New Roman" w:hAnsi="Calibri" w:cs="Times New Roman"/>
          <w:szCs w:val="24"/>
          <w:lang w:eastAsia="pl-PL"/>
        </w:rPr>
        <w:t>28.759</w:t>
      </w:r>
      <w:r w:rsidRPr="00714AE6">
        <w:rPr>
          <w:rFonts w:ascii="Calibri" w:eastAsia="Times New Roman" w:hAnsi="Calibri" w:cs="Calibri"/>
          <w:lang w:eastAsia="pl-PL"/>
        </w:rPr>
        <w:t xml:space="preserve"> tys. zł, w tym na wydatki bieżące poniesiono środki w wysokości </w:t>
      </w:r>
      <w:r w:rsidRPr="00714AE6">
        <w:rPr>
          <w:rFonts w:ascii="Calibri" w:eastAsia="Times New Roman" w:hAnsi="Calibri" w:cs="Times New Roman"/>
          <w:szCs w:val="24"/>
          <w:lang w:eastAsia="pl-PL"/>
        </w:rPr>
        <w:t>28.305</w:t>
      </w:r>
      <w:r w:rsidRPr="00714AE6">
        <w:rPr>
          <w:rFonts w:ascii="Calibri" w:eastAsia="Times New Roman" w:hAnsi="Calibri" w:cs="Calibri"/>
          <w:lang w:eastAsia="pl-PL"/>
        </w:rPr>
        <w:t xml:space="preserve"> tys. zł, a na wydatki majątkowe – 454 tys. zł.</w:t>
      </w:r>
    </w:p>
    <w:p w:rsidR="00714AE6" w:rsidRPr="00714AE6" w:rsidRDefault="00714AE6" w:rsidP="00714AE6">
      <w:pPr>
        <w:spacing w:after="240" w:line="300" w:lineRule="auto"/>
        <w:ind w:left="357"/>
        <w:contextualSpacing/>
        <w:rPr>
          <w:rFonts w:ascii="Calibri" w:eastAsia="Times New Roman" w:hAnsi="Calibri" w:cs="Calibri"/>
          <w:lang w:eastAsia="pl-PL"/>
        </w:rPr>
      </w:pPr>
      <w:r w:rsidRPr="00714AE6">
        <w:rPr>
          <w:rFonts w:ascii="Calibri" w:eastAsia="Times New Roman" w:hAnsi="Calibri" w:cs="Calibri"/>
          <w:lang w:eastAsia="pl-PL"/>
        </w:rPr>
        <w:t xml:space="preserve">Jednocześnie na działania związane z COVID-19 uzyskano dochody w łącznej kwocie </w:t>
      </w:r>
      <w:r w:rsidRPr="00714AE6">
        <w:rPr>
          <w:rFonts w:ascii="Calibri" w:eastAsia="Times New Roman" w:hAnsi="Calibri" w:cs="Times New Roman"/>
          <w:szCs w:val="24"/>
          <w:lang w:eastAsia="pl-PL"/>
        </w:rPr>
        <w:t>30.391</w:t>
      </w:r>
      <w:r w:rsidRPr="00714AE6">
        <w:rPr>
          <w:rFonts w:ascii="Calibri" w:eastAsia="Times New Roman" w:hAnsi="Calibri" w:cs="Calibri"/>
          <w:lang w:eastAsia="pl-PL"/>
        </w:rPr>
        <w:t xml:space="preserve"> tys. zł, w tym </w:t>
      </w:r>
      <w:r w:rsidRPr="00714AE6">
        <w:rPr>
          <w:rFonts w:ascii="Calibri" w:eastAsia="Times New Roman" w:hAnsi="Calibri" w:cs="Times New Roman"/>
          <w:szCs w:val="24"/>
          <w:lang w:eastAsia="pl-PL"/>
        </w:rPr>
        <w:t>29.872</w:t>
      </w:r>
      <w:r w:rsidRPr="00714AE6">
        <w:rPr>
          <w:rFonts w:ascii="Calibri" w:eastAsia="Times New Roman" w:hAnsi="Calibri" w:cs="Calibri"/>
          <w:lang w:eastAsia="pl-PL"/>
        </w:rPr>
        <w:t xml:space="preserve"> tys. zł z Funduszu Przeciwdziałania COVID-19.</w:t>
      </w:r>
    </w:p>
    <w:p w:rsidR="00714AE6" w:rsidRPr="00714AE6" w:rsidRDefault="00714AE6" w:rsidP="00714AE6">
      <w:pPr>
        <w:spacing w:after="240" w:line="300" w:lineRule="auto"/>
        <w:ind w:left="357"/>
        <w:rPr>
          <w:rFonts w:ascii="Calibri" w:eastAsia="Times New Roman" w:hAnsi="Calibri" w:cs="Calibri"/>
          <w:lang w:eastAsia="pl-PL"/>
        </w:rPr>
      </w:pPr>
      <w:r w:rsidRPr="00714AE6">
        <w:rPr>
          <w:rFonts w:ascii="Calibri" w:eastAsia="Times New Roman" w:hAnsi="Calibri" w:cs="Calibri"/>
          <w:lang w:eastAsia="pl-PL"/>
        </w:rPr>
        <w:t xml:space="preserve">Z zestawienia powyższych kwot wynika, że w ujęciu netto </w:t>
      </w:r>
      <w:r w:rsidRPr="00714AE6">
        <w:rPr>
          <w:rFonts w:ascii="Calibri" w:eastAsia="Times New Roman" w:hAnsi="Calibri" w:cs="Times New Roman"/>
          <w:szCs w:val="24"/>
          <w:lang w:eastAsia="pl-PL"/>
        </w:rPr>
        <w:t>wpływ COVID-19 na budżet m.st. Warszawy w 2022 r. zamknął się kwotą +1.632 tys. zł. Środki z Funduszu Przeciwdziałania COVID-19 niewykorzystane w 2022 r. zostały uwzględnione w uchwale nr LXXIX/2554/2023 Rady Miasta Stołecznego Warszawy z 9 marca 2023 r. w sprawie zmian w budżecie miasta stołecznego Warszawy na 2023 rok z przeznaczeniem na finansowanie zadań w 2023 r.</w:t>
      </w:r>
    </w:p>
    <w:tbl>
      <w:tblPr>
        <w:tblStyle w:val="Tabela-Siatka12"/>
        <w:tblW w:w="4578" w:type="pct"/>
        <w:jc w:val="center"/>
        <w:tblLook w:val="04A0" w:firstRow="1" w:lastRow="0" w:firstColumn="1" w:lastColumn="0" w:noHBand="0" w:noVBand="1"/>
        <w:tblCaption w:val="Tabela zawiera zestawienie bilansu COVID-19 w 2022 roku"/>
        <w:tblDescription w:val="Wpływ COVID-19 na budżet m.st. Warszawy w 2022 r. zamknął się kwotą 1.632 tys. zł."/>
      </w:tblPr>
      <w:tblGrid>
        <w:gridCol w:w="851"/>
        <w:gridCol w:w="5083"/>
        <w:gridCol w:w="2492"/>
      </w:tblGrid>
      <w:tr w:rsidR="00714AE6" w:rsidRPr="00714AE6" w:rsidTr="00714AE6">
        <w:trPr>
          <w:trHeight w:val="290"/>
          <w:tblHeader/>
          <w:jc w:val="center"/>
        </w:trPr>
        <w:tc>
          <w:tcPr>
            <w:tcW w:w="505" w:type="pct"/>
            <w:shd w:val="clear" w:color="auto" w:fill="BFBFBF" w:themeFill="background1" w:themeFillShade="BF"/>
            <w:vAlign w:val="center"/>
          </w:tcPr>
          <w:p w:rsidR="00714AE6" w:rsidRPr="00714AE6" w:rsidRDefault="00714AE6" w:rsidP="00714AE6">
            <w:pPr>
              <w:tabs>
                <w:tab w:val="left" w:pos="360"/>
              </w:tabs>
              <w:spacing w:after="0" w:line="360" w:lineRule="auto"/>
              <w:jc w:val="center"/>
              <w:rPr>
                <w:rFonts w:ascii="Calibri" w:hAnsi="Calibri" w:cs="Calibri"/>
                <w:sz w:val="22"/>
                <w:szCs w:val="22"/>
              </w:rPr>
            </w:pPr>
            <w:r w:rsidRPr="00714AE6">
              <w:rPr>
                <w:rFonts w:ascii="Calibri" w:hAnsi="Calibri" w:cs="Calibri"/>
                <w:b/>
                <w:sz w:val="22"/>
                <w:szCs w:val="22"/>
              </w:rPr>
              <w:lastRenderedPageBreak/>
              <w:t>Lp.</w:t>
            </w:r>
          </w:p>
        </w:tc>
        <w:tc>
          <w:tcPr>
            <w:tcW w:w="3016" w:type="pct"/>
            <w:shd w:val="clear" w:color="auto" w:fill="BFBFBF" w:themeFill="background1" w:themeFillShade="BF"/>
            <w:vAlign w:val="center"/>
          </w:tcPr>
          <w:p w:rsidR="00714AE6" w:rsidRPr="00714AE6" w:rsidRDefault="00714AE6" w:rsidP="00714AE6">
            <w:pPr>
              <w:tabs>
                <w:tab w:val="left" w:pos="360"/>
              </w:tabs>
              <w:spacing w:after="0" w:line="300" w:lineRule="auto"/>
              <w:jc w:val="center"/>
              <w:rPr>
                <w:rFonts w:ascii="Calibri" w:hAnsi="Calibri" w:cs="Calibri"/>
                <w:sz w:val="22"/>
                <w:szCs w:val="22"/>
              </w:rPr>
            </w:pPr>
            <w:r w:rsidRPr="00714AE6">
              <w:rPr>
                <w:rFonts w:ascii="Calibri" w:hAnsi="Calibri" w:cs="Calibri"/>
                <w:b/>
                <w:sz w:val="22"/>
                <w:szCs w:val="22"/>
              </w:rPr>
              <w:t>Wyszczególnienie</w:t>
            </w:r>
          </w:p>
        </w:tc>
        <w:tc>
          <w:tcPr>
            <w:tcW w:w="1479" w:type="pct"/>
            <w:shd w:val="clear" w:color="auto" w:fill="BFBFBF" w:themeFill="background1" w:themeFillShade="BF"/>
            <w:vAlign w:val="center"/>
          </w:tcPr>
          <w:p w:rsidR="00714AE6" w:rsidRPr="00714AE6" w:rsidRDefault="00714AE6" w:rsidP="00714AE6">
            <w:pPr>
              <w:tabs>
                <w:tab w:val="left" w:pos="360"/>
              </w:tabs>
              <w:spacing w:after="0" w:line="360" w:lineRule="auto"/>
              <w:jc w:val="center"/>
              <w:rPr>
                <w:rFonts w:ascii="Calibri" w:hAnsi="Calibri" w:cs="Calibri"/>
                <w:sz w:val="22"/>
                <w:szCs w:val="22"/>
              </w:rPr>
            </w:pPr>
            <w:r w:rsidRPr="00714AE6">
              <w:rPr>
                <w:rFonts w:ascii="Calibri" w:hAnsi="Calibri" w:cs="Calibri"/>
                <w:b/>
                <w:sz w:val="22"/>
                <w:szCs w:val="22"/>
              </w:rPr>
              <w:t>Kwota (w tys. zł)</w:t>
            </w:r>
          </w:p>
        </w:tc>
      </w:tr>
      <w:tr w:rsidR="00714AE6" w:rsidRPr="00714AE6" w:rsidTr="00714AE6">
        <w:trPr>
          <w:tblHeader/>
          <w:jc w:val="center"/>
        </w:trPr>
        <w:tc>
          <w:tcPr>
            <w:tcW w:w="505" w:type="pct"/>
            <w:vAlign w:val="center"/>
          </w:tcPr>
          <w:p w:rsidR="00714AE6" w:rsidRPr="00714AE6" w:rsidRDefault="00714AE6" w:rsidP="00714AE6">
            <w:pPr>
              <w:tabs>
                <w:tab w:val="left" w:pos="360"/>
              </w:tabs>
              <w:spacing w:after="0" w:line="360" w:lineRule="auto"/>
              <w:jc w:val="center"/>
              <w:rPr>
                <w:rFonts w:ascii="Calibri" w:hAnsi="Calibri" w:cs="Calibri"/>
                <w:sz w:val="22"/>
                <w:szCs w:val="22"/>
              </w:rPr>
            </w:pPr>
            <w:r w:rsidRPr="00714AE6">
              <w:rPr>
                <w:rFonts w:ascii="Calibri" w:hAnsi="Calibri" w:cs="Calibri"/>
                <w:sz w:val="22"/>
                <w:szCs w:val="22"/>
              </w:rPr>
              <w:t>1.</w:t>
            </w:r>
          </w:p>
        </w:tc>
        <w:tc>
          <w:tcPr>
            <w:tcW w:w="3016" w:type="pct"/>
            <w:vAlign w:val="center"/>
          </w:tcPr>
          <w:p w:rsidR="00714AE6" w:rsidRPr="00714AE6" w:rsidRDefault="00714AE6" w:rsidP="00714AE6">
            <w:pPr>
              <w:tabs>
                <w:tab w:val="left" w:pos="360"/>
              </w:tabs>
              <w:spacing w:after="0" w:line="300" w:lineRule="auto"/>
              <w:rPr>
                <w:rFonts w:ascii="Calibri" w:hAnsi="Calibri" w:cs="Calibri"/>
                <w:sz w:val="22"/>
                <w:szCs w:val="22"/>
              </w:rPr>
            </w:pPr>
            <w:r w:rsidRPr="00714AE6">
              <w:rPr>
                <w:rFonts w:ascii="Calibri" w:hAnsi="Calibri" w:cs="Calibri"/>
                <w:sz w:val="22"/>
                <w:szCs w:val="22"/>
              </w:rPr>
              <w:t>Dochody otrzymane w związku z zapobieganiem, przeciwdziałaniem i zwalczaniem COVID-19</w:t>
            </w:r>
          </w:p>
        </w:tc>
        <w:tc>
          <w:tcPr>
            <w:tcW w:w="1479" w:type="pct"/>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cs="Calibri"/>
                <w:sz w:val="22"/>
                <w:szCs w:val="22"/>
              </w:rPr>
              <w:t>+</w:t>
            </w:r>
            <w:r w:rsidRPr="00714AE6">
              <w:rPr>
                <w:rFonts w:ascii="Calibri" w:hAnsi="Calibri"/>
                <w:sz w:val="22"/>
                <w:szCs w:val="24"/>
              </w:rPr>
              <w:t>30.391</w:t>
            </w:r>
          </w:p>
        </w:tc>
      </w:tr>
      <w:tr w:rsidR="00714AE6" w:rsidRPr="00714AE6" w:rsidTr="00714AE6">
        <w:trPr>
          <w:tblHeader/>
          <w:jc w:val="center"/>
        </w:trPr>
        <w:tc>
          <w:tcPr>
            <w:tcW w:w="505" w:type="pct"/>
            <w:vAlign w:val="center"/>
          </w:tcPr>
          <w:p w:rsidR="00714AE6" w:rsidRPr="00714AE6" w:rsidRDefault="00714AE6" w:rsidP="00714AE6">
            <w:pPr>
              <w:tabs>
                <w:tab w:val="left" w:pos="360"/>
              </w:tabs>
              <w:spacing w:after="0" w:line="360" w:lineRule="auto"/>
              <w:jc w:val="center"/>
              <w:rPr>
                <w:rFonts w:ascii="Calibri" w:hAnsi="Calibri" w:cs="Calibri"/>
                <w:sz w:val="22"/>
                <w:szCs w:val="22"/>
              </w:rPr>
            </w:pPr>
            <w:r w:rsidRPr="00714AE6">
              <w:rPr>
                <w:rFonts w:ascii="Calibri" w:hAnsi="Calibri" w:cs="Calibri"/>
                <w:sz w:val="22"/>
                <w:szCs w:val="22"/>
              </w:rPr>
              <w:t>2.</w:t>
            </w:r>
          </w:p>
        </w:tc>
        <w:tc>
          <w:tcPr>
            <w:tcW w:w="3016" w:type="pct"/>
            <w:vAlign w:val="center"/>
          </w:tcPr>
          <w:p w:rsidR="00714AE6" w:rsidRPr="00714AE6" w:rsidRDefault="00714AE6" w:rsidP="00714AE6">
            <w:pPr>
              <w:tabs>
                <w:tab w:val="left" w:pos="360"/>
              </w:tabs>
              <w:spacing w:after="0" w:line="300" w:lineRule="auto"/>
              <w:rPr>
                <w:rFonts w:ascii="Calibri" w:hAnsi="Calibri" w:cs="Calibri"/>
                <w:sz w:val="22"/>
                <w:szCs w:val="22"/>
              </w:rPr>
            </w:pPr>
            <w:r w:rsidRPr="00714AE6">
              <w:rPr>
                <w:rFonts w:ascii="Calibri" w:hAnsi="Calibri" w:cs="Calibri"/>
                <w:sz w:val="22"/>
                <w:szCs w:val="22"/>
              </w:rPr>
              <w:t>Wydatki na działania związane z zapobieganiem, przeciwdziałaniem i zwalczaniem COVID-19</w:t>
            </w:r>
          </w:p>
        </w:tc>
        <w:tc>
          <w:tcPr>
            <w:tcW w:w="1479" w:type="pct"/>
            <w:vAlign w:val="center"/>
          </w:tcPr>
          <w:p w:rsidR="00714AE6" w:rsidRPr="00714AE6" w:rsidRDefault="00714AE6" w:rsidP="00714AE6">
            <w:pPr>
              <w:tabs>
                <w:tab w:val="left" w:pos="360"/>
              </w:tabs>
              <w:spacing w:after="0" w:line="360" w:lineRule="auto"/>
              <w:jc w:val="right"/>
              <w:rPr>
                <w:rFonts w:ascii="Calibri" w:hAnsi="Calibri" w:cs="Calibri"/>
                <w:sz w:val="22"/>
                <w:szCs w:val="22"/>
              </w:rPr>
            </w:pPr>
            <w:r w:rsidRPr="00714AE6">
              <w:rPr>
                <w:rFonts w:ascii="Calibri" w:hAnsi="Calibri" w:cs="Calibri"/>
                <w:sz w:val="22"/>
                <w:szCs w:val="22"/>
              </w:rPr>
              <w:sym w:font="Symbol" w:char="F02D"/>
            </w:r>
            <w:r w:rsidRPr="00714AE6">
              <w:rPr>
                <w:rFonts w:ascii="Calibri" w:hAnsi="Calibri"/>
                <w:sz w:val="22"/>
                <w:szCs w:val="24"/>
              </w:rPr>
              <w:t>28.759</w:t>
            </w:r>
          </w:p>
        </w:tc>
      </w:tr>
      <w:tr w:rsidR="00714AE6" w:rsidRPr="00714AE6" w:rsidTr="00714AE6">
        <w:trPr>
          <w:tblHeader/>
          <w:jc w:val="center"/>
        </w:trPr>
        <w:tc>
          <w:tcPr>
            <w:tcW w:w="505" w:type="pct"/>
            <w:shd w:val="clear" w:color="auto" w:fill="DEEAF6" w:themeFill="accent1" w:themeFillTint="33"/>
            <w:vAlign w:val="center"/>
          </w:tcPr>
          <w:p w:rsidR="00714AE6" w:rsidRPr="00714AE6" w:rsidRDefault="00714AE6" w:rsidP="00714AE6">
            <w:pPr>
              <w:tabs>
                <w:tab w:val="left" w:pos="360"/>
              </w:tabs>
              <w:spacing w:after="0" w:line="360" w:lineRule="auto"/>
              <w:jc w:val="center"/>
              <w:rPr>
                <w:rFonts w:ascii="Calibri" w:hAnsi="Calibri" w:cs="Calibri"/>
                <w:sz w:val="22"/>
                <w:szCs w:val="22"/>
              </w:rPr>
            </w:pPr>
            <w:r w:rsidRPr="00714AE6">
              <w:rPr>
                <w:rFonts w:ascii="Calibri" w:hAnsi="Calibri" w:cs="Calibri"/>
                <w:sz w:val="22"/>
                <w:szCs w:val="22"/>
              </w:rPr>
              <w:t>3.</w:t>
            </w:r>
          </w:p>
        </w:tc>
        <w:tc>
          <w:tcPr>
            <w:tcW w:w="3016" w:type="pct"/>
            <w:shd w:val="clear" w:color="auto" w:fill="DEEAF6" w:themeFill="accent1" w:themeFillTint="33"/>
            <w:vAlign w:val="center"/>
          </w:tcPr>
          <w:p w:rsidR="00714AE6" w:rsidRPr="00714AE6" w:rsidRDefault="00714AE6" w:rsidP="00714AE6">
            <w:pPr>
              <w:tabs>
                <w:tab w:val="left" w:pos="360"/>
              </w:tabs>
              <w:spacing w:after="0" w:line="360" w:lineRule="auto"/>
              <w:rPr>
                <w:rFonts w:ascii="Calibri" w:hAnsi="Calibri" w:cs="Calibri"/>
                <w:b/>
                <w:sz w:val="22"/>
                <w:szCs w:val="22"/>
              </w:rPr>
            </w:pPr>
            <w:r w:rsidRPr="00714AE6">
              <w:rPr>
                <w:rFonts w:ascii="Calibri" w:hAnsi="Calibri" w:cs="Calibri"/>
                <w:b/>
                <w:sz w:val="22"/>
                <w:szCs w:val="22"/>
              </w:rPr>
              <w:t>Bilans COVID-19 w 2022 r. [1+2]</w:t>
            </w:r>
          </w:p>
        </w:tc>
        <w:tc>
          <w:tcPr>
            <w:tcW w:w="1479" w:type="pct"/>
            <w:shd w:val="clear" w:color="auto" w:fill="DEEAF6" w:themeFill="accent1" w:themeFillTint="33"/>
            <w:vAlign w:val="center"/>
          </w:tcPr>
          <w:p w:rsidR="00714AE6" w:rsidRPr="00714AE6" w:rsidRDefault="00714AE6" w:rsidP="00714AE6">
            <w:pPr>
              <w:tabs>
                <w:tab w:val="left" w:pos="360"/>
              </w:tabs>
              <w:spacing w:after="0" w:line="360" w:lineRule="auto"/>
              <w:jc w:val="right"/>
              <w:rPr>
                <w:rFonts w:ascii="Calibri" w:hAnsi="Calibri" w:cs="Calibri"/>
                <w:b/>
                <w:sz w:val="22"/>
                <w:szCs w:val="22"/>
              </w:rPr>
            </w:pPr>
            <w:r w:rsidRPr="00714AE6">
              <w:rPr>
                <w:rFonts w:ascii="Calibri" w:hAnsi="Calibri" w:cs="Calibri"/>
                <w:b/>
                <w:sz w:val="22"/>
                <w:szCs w:val="22"/>
              </w:rPr>
              <w:t>+1.632</w:t>
            </w:r>
          </w:p>
        </w:tc>
      </w:tr>
    </w:tbl>
    <w:p w:rsidR="00714AE6" w:rsidRPr="00714AE6" w:rsidRDefault="00714AE6" w:rsidP="00BF05CD">
      <w:pPr>
        <w:numPr>
          <w:ilvl w:val="0"/>
          <w:numId w:val="14"/>
        </w:numPr>
        <w:spacing w:before="240" w:after="0" w:line="300" w:lineRule="auto"/>
        <w:ind w:left="357"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Zagregowana wartość przedsięwzięć wieloletnich ogółem przewidzianych do realizacji w latach 2022-2050 wg stanu na 31.12.2022 r. wyniosła </w:t>
      </w:r>
      <w:r w:rsidRPr="00714AE6">
        <w:rPr>
          <w:rFonts w:ascii="Calibri" w:eastAsia="Times New Roman" w:hAnsi="Calibri" w:cs="Times New Roman"/>
          <w:szCs w:val="24"/>
          <w:lang w:eastAsia="pl-PL"/>
        </w:rPr>
        <w:t>142.068.343</w:t>
      </w:r>
      <w:r w:rsidRPr="00714AE6">
        <w:rPr>
          <w:rFonts w:ascii="Calibri" w:eastAsia="Times New Roman" w:hAnsi="Calibri" w:cs="Calibri"/>
          <w:lang w:eastAsia="pl-PL"/>
        </w:rPr>
        <w:t xml:space="preserve"> tys. zł. Dla 2022 r. planowana zagregowana wartość tych przedsięwzięć wyniosła </w:t>
      </w:r>
      <w:r w:rsidRPr="00714AE6">
        <w:rPr>
          <w:rFonts w:ascii="Calibri" w:eastAsia="Times New Roman" w:hAnsi="Calibri" w:cs="Times New Roman"/>
          <w:szCs w:val="24"/>
          <w:lang w:eastAsia="pl-PL"/>
        </w:rPr>
        <w:t>8.130.412</w:t>
      </w:r>
      <w:r w:rsidRPr="00714AE6">
        <w:rPr>
          <w:rFonts w:ascii="Calibri" w:eastAsia="Times New Roman" w:hAnsi="Calibri" w:cs="Calibri"/>
          <w:lang w:eastAsia="pl-PL"/>
        </w:rPr>
        <w:t xml:space="preserve"> tys. zł.</w:t>
      </w:r>
    </w:p>
    <w:p w:rsidR="00714AE6" w:rsidRPr="00714AE6" w:rsidRDefault="00714AE6" w:rsidP="00714AE6">
      <w:pPr>
        <w:spacing w:after="240" w:line="300" w:lineRule="auto"/>
        <w:ind w:left="360"/>
        <w:contextualSpacing/>
        <w:rPr>
          <w:rFonts w:ascii="Calibri" w:eastAsia="Times New Roman" w:hAnsi="Calibri" w:cs="Calibri"/>
          <w:lang w:eastAsia="pl-PL"/>
        </w:rPr>
      </w:pPr>
      <w:r w:rsidRPr="00714AE6">
        <w:rPr>
          <w:rFonts w:ascii="Calibri" w:eastAsia="Times New Roman" w:hAnsi="Calibri" w:cs="Calibri"/>
          <w:lang w:eastAsia="pl-PL"/>
        </w:rPr>
        <w:t>Na koniec 2022 r. udział planowanych przedsięwzięć wieloletnich ogółem w planowanych wydatkach ogółem łącznie w latach 2022-2050 wyniósł 21,5%.</w:t>
      </w:r>
    </w:p>
    <w:p w:rsidR="00714AE6" w:rsidRPr="00714AE6" w:rsidRDefault="00714AE6" w:rsidP="00714AE6">
      <w:pPr>
        <w:spacing w:after="240" w:line="300" w:lineRule="auto"/>
        <w:ind w:left="360"/>
        <w:contextualSpacing/>
        <w:rPr>
          <w:rFonts w:ascii="Calibri" w:eastAsia="Times New Roman" w:hAnsi="Calibri" w:cs="Calibri"/>
          <w:lang w:eastAsia="pl-PL"/>
        </w:rPr>
      </w:pPr>
      <w:r w:rsidRPr="00714AE6">
        <w:rPr>
          <w:rFonts w:ascii="Calibri" w:eastAsia="Times New Roman" w:hAnsi="Calibri" w:cs="Calibri"/>
          <w:lang w:eastAsia="pl-PL"/>
        </w:rPr>
        <w:t xml:space="preserve">W 2022 r. realizacja przedsięwzięć wieloletnich wyniosła </w:t>
      </w:r>
      <w:r w:rsidRPr="00714AE6">
        <w:rPr>
          <w:rFonts w:ascii="Calibri" w:eastAsia="Times New Roman" w:hAnsi="Calibri" w:cs="Times New Roman"/>
          <w:szCs w:val="24"/>
          <w:lang w:eastAsia="pl-PL"/>
        </w:rPr>
        <w:t>7.183.069</w:t>
      </w:r>
      <w:r w:rsidRPr="00714AE6">
        <w:rPr>
          <w:rFonts w:ascii="Calibri" w:eastAsia="Times New Roman" w:hAnsi="Calibri" w:cs="Calibri"/>
          <w:lang w:eastAsia="pl-PL"/>
        </w:rPr>
        <w:t xml:space="preserve"> tys. zł, co stanowi 88,3% planu rocznego.</w:t>
      </w:r>
    </w:p>
    <w:p w:rsidR="00714AE6" w:rsidRPr="00714AE6" w:rsidRDefault="00714AE6" w:rsidP="00714AE6">
      <w:pPr>
        <w:spacing w:after="240" w:line="300" w:lineRule="auto"/>
        <w:ind w:left="360"/>
        <w:contextualSpacing/>
        <w:rPr>
          <w:rFonts w:ascii="Calibri" w:eastAsia="Times New Roman" w:hAnsi="Calibri" w:cs="Calibri"/>
          <w:lang w:eastAsia="pl-PL"/>
        </w:rPr>
      </w:pPr>
      <w:r w:rsidRPr="00714AE6">
        <w:rPr>
          <w:rFonts w:ascii="Calibri" w:eastAsia="Times New Roman" w:hAnsi="Calibri" w:cs="Calibri"/>
          <w:lang w:eastAsia="pl-PL"/>
        </w:rPr>
        <w:t xml:space="preserve">W ramach kwoty wieloletnich przedsięwzięć ogółem zagregowana wartość przedsięwzięć majątkowych w latach 2022-2050 na dzień 31.12.2022 r. wyniosła </w:t>
      </w:r>
      <w:r w:rsidRPr="00714AE6">
        <w:rPr>
          <w:rFonts w:ascii="Calibri" w:eastAsia="Times New Roman" w:hAnsi="Calibri" w:cs="Times New Roman"/>
          <w:szCs w:val="24"/>
          <w:lang w:eastAsia="pl-PL"/>
        </w:rPr>
        <w:t>16.167.573</w:t>
      </w:r>
      <w:r w:rsidRPr="00714AE6">
        <w:rPr>
          <w:rFonts w:ascii="Calibri" w:eastAsia="Times New Roman" w:hAnsi="Calibri" w:cs="Calibri"/>
          <w:lang w:eastAsia="pl-PL"/>
        </w:rPr>
        <w:t xml:space="preserve"> tys. zł. Dla 2022 r. planowana zagregowana wartość tych przedsięwzięć wyniosła </w:t>
      </w:r>
      <w:r w:rsidRPr="00714AE6">
        <w:rPr>
          <w:rFonts w:ascii="Calibri" w:eastAsia="Times New Roman" w:hAnsi="Calibri" w:cs="Times New Roman"/>
          <w:szCs w:val="24"/>
          <w:lang w:eastAsia="pl-PL"/>
        </w:rPr>
        <w:t>2.252.081</w:t>
      </w:r>
      <w:r w:rsidRPr="00714AE6">
        <w:rPr>
          <w:rFonts w:ascii="Calibri" w:eastAsia="Times New Roman" w:hAnsi="Calibri" w:cs="Calibri"/>
          <w:lang w:eastAsia="pl-PL"/>
        </w:rPr>
        <w:t xml:space="preserve"> tys. zł.</w:t>
      </w:r>
    </w:p>
    <w:p w:rsidR="00714AE6" w:rsidRPr="00714AE6" w:rsidRDefault="00714AE6" w:rsidP="00714AE6">
      <w:pPr>
        <w:spacing w:after="240" w:line="300" w:lineRule="auto"/>
        <w:ind w:left="360"/>
        <w:contextualSpacing/>
        <w:rPr>
          <w:rFonts w:ascii="Calibri" w:eastAsia="Times New Roman" w:hAnsi="Calibri" w:cs="Calibri"/>
          <w:lang w:eastAsia="pl-PL"/>
        </w:rPr>
      </w:pPr>
      <w:r w:rsidRPr="00714AE6">
        <w:rPr>
          <w:rFonts w:ascii="Calibri" w:eastAsia="Times New Roman" w:hAnsi="Calibri" w:cs="Calibri"/>
          <w:lang w:eastAsia="pl-PL"/>
        </w:rPr>
        <w:t>Na koniec 2022 r. udział planowanych majątkowych przedsięwzięć wieloletnich w planowanych wydatkach majątkowych łącznie w latach 2022-2050 wyniósł 23,1%.</w:t>
      </w:r>
    </w:p>
    <w:p w:rsidR="00714AE6" w:rsidRPr="00714AE6" w:rsidRDefault="00714AE6" w:rsidP="00714AE6">
      <w:pPr>
        <w:spacing w:after="240" w:line="300" w:lineRule="auto"/>
        <w:ind w:left="357"/>
        <w:rPr>
          <w:rFonts w:ascii="Calibri" w:eastAsia="Times New Roman" w:hAnsi="Calibri" w:cs="Calibri"/>
          <w:lang w:eastAsia="pl-PL"/>
        </w:rPr>
      </w:pPr>
      <w:r w:rsidRPr="00714AE6">
        <w:rPr>
          <w:rFonts w:ascii="Calibri" w:eastAsia="Times New Roman" w:hAnsi="Calibri" w:cs="Calibri"/>
          <w:lang w:eastAsia="pl-PL"/>
        </w:rPr>
        <w:t xml:space="preserve">W 2022 r. realizacja tych przedsięwzięć wyniosła </w:t>
      </w:r>
      <w:r w:rsidRPr="00714AE6">
        <w:rPr>
          <w:rFonts w:ascii="Calibri" w:eastAsia="Times New Roman" w:hAnsi="Calibri" w:cs="Times New Roman"/>
          <w:szCs w:val="24"/>
          <w:lang w:eastAsia="pl-PL"/>
        </w:rPr>
        <w:t>2.006.297</w:t>
      </w:r>
      <w:r w:rsidRPr="00714AE6">
        <w:rPr>
          <w:rFonts w:ascii="Calibri" w:eastAsia="Times New Roman" w:hAnsi="Calibri" w:cs="Calibri"/>
          <w:lang w:eastAsia="pl-PL"/>
        </w:rPr>
        <w:t xml:space="preserve"> tys. zł, co stanowi 89,1% planu rocznego.</w:t>
      </w:r>
    </w:p>
    <w:p w:rsidR="00714AE6" w:rsidRPr="00714AE6" w:rsidRDefault="00714AE6" w:rsidP="00BF05CD">
      <w:pPr>
        <w:numPr>
          <w:ilvl w:val="0"/>
          <w:numId w:val="14"/>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 xml:space="preserve">Zadłużenie Miasta na 31.12.2022 r. wyniosło według wartości nominalnej 5.272.053 tys. zł, z tego: z tytułu kredytów i pożyczek </w:t>
      </w:r>
      <w:r w:rsidRPr="00714AE6">
        <w:rPr>
          <w:rFonts w:ascii="Calibri" w:eastAsia="Times New Roman" w:hAnsi="Calibri" w:cs="Times New Roman"/>
          <w:szCs w:val="24"/>
          <w:lang w:eastAsia="pl-PL"/>
        </w:rPr>
        <w:t>4.771.862 tys.</w:t>
      </w:r>
      <w:r w:rsidRPr="00714AE6">
        <w:rPr>
          <w:rFonts w:ascii="Calibri" w:eastAsia="Times New Roman" w:hAnsi="Calibri" w:cs="Calibri"/>
          <w:lang w:eastAsia="pl-PL"/>
        </w:rPr>
        <w:t xml:space="preserve"> zł, a z tytułu wyemitowanych obligacji </w:t>
      </w:r>
      <w:r w:rsidRPr="00714AE6">
        <w:rPr>
          <w:rFonts w:ascii="Calibri" w:eastAsia="Times New Roman" w:hAnsi="Calibri" w:cs="Times New Roman"/>
          <w:szCs w:val="24"/>
          <w:lang w:eastAsia="pl-PL"/>
        </w:rPr>
        <w:t>499.411 tys.</w:t>
      </w:r>
      <w:r w:rsidRPr="00714AE6">
        <w:rPr>
          <w:rFonts w:ascii="Calibri" w:eastAsia="Times New Roman" w:hAnsi="Calibri" w:cs="Calibri"/>
          <w:lang w:eastAsia="pl-PL"/>
        </w:rPr>
        <w:t xml:space="preserve"> zł.</w:t>
      </w:r>
    </w:p>
    <w:p w:rsidR="00714AE6" w:rsidRPr="00714AE6" w:rsidRDefault="00714AE6" w:rsidP="00714AE6">
      <w:pPr>
        <w:spacing w:after="240" w:line="300" w:lineRule="auto"/>
        <w:ind w:left="360"/>
        <w:contextualSpacing/>
        <w:rPr>
          <w:rFonts w:ascii="Calibri" w:eastAsia="Times New Roman" w:hAnsi="Calibri" w:cs="Times New Roman"/>
          <w:szCs w:val="24"/>
          <w:lang w:eastAsia="pl-PL"/>
        </w:rPr>
      </w:pPr>
      <w:r w:rsidRPr="00714AE6">
        <w:rPr>
          <w:rFonts w:ascii="Calibri" w:eastAsia="Times New Roman" w:hAnsi="Calibri" w:cs="Calibri"/>
          <w:lang w:eastAsia="pl-PL"/>
        </w:rPr>
        <w:t xml:space="preserve">Ponadto na koniec 2022 r. odnotowano zobowiązania wymagalne na kwotę 780 </w:t>
      </w:r>
      <w:r w:rsidRPr="00714AE6">
        <w:rPr>
          <w:rFonts w:ascii="Calibri" w:eastAsia="Times New Roman" w:hAnsi="Calibri" w:cs="Times New Roman"/>
          <w:szCs w:val="24"/>
          <w:lang w:eastAsia="pl-PL"/>
        </w:rPr>
        <w:t>tys.</w:t>
      </w:r>
      <w:r w:rsidRPr="00714AE6">
        <w:rPr>
          <w:rFonts w:ascii="Calibri" w:eastAsia="Times New Roman" w:hAnsi="Calibri" w:cs="Calibri"/>
          <w:lang w:eastAsia="pl-PL"/>
        </w:rPr>
        <w:t xml:space="preserve"> zł, które dotyczyły:</w:t>
      </w:r>
    </w:p>
    <w:p w:rsidR="00714AE6" w:rsidRPr="00714AE6" w:rsidRDefault="00714AE6" w:rsidP="00BF05CD">
      <w:pPr>
        <w:numPr>
          <w:ilvl w:val="0"/>
          <w:numId w:val="19"/>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 xml:space="preserve">Urzędu m.st. Warszawy </w:t>
      </w:r>
      <w:r w:rsidRPr="00714AE6">
        <w:rPr>
          <w:rFonts w:ascii="Calibri" w:eastAsia="Times New Roman" w:hAnsi="Calibri" w:cs="Times New Roman"/>
          <w:szCs w:val="24"/>
          <w:lang w:eastAsia="pl-PL"/>
        </w:rPr>
        <w:t>w kwocie 391 tys. zł z tytułu: świadczeń z prawomocnych wyroków, do których nie udało się ustalić danych niezbędnych do dokonania zasądzonych wypłat (232 tys. zł), niestawienia się wierzycieli po odbiór świadczenia z ustawy o Karcie Polaka oraz ustawy o cudzoziemcach (159 tys. zł)</w:t>
      </w:r>
      <w:r w:rsidRPr="00714AE6">
        <w:rPr>
          <w:rFonts w:ascii="Calibri" w:eastAsia="Times New Roman" w:hAnsi="Calibri" w:cs="Calibri"/>
          <w:lang w:eastAsia="pl-PL"/>
        </w:rPr>
        <w:t>;</w:t>
      </w:r>
    </w:p>
    <w:p w:rsidR="00714AE6" w:rsidRPr="00714AE6" w:rsidRDefault="00714AE6" w:rsidP="00BF05CD">
      <w:pPr>
        <w:numPr>
          <w:ilvl w:val="0"/>
          <w:numId w:val="19"/>
        </w:numPr>
        <w:spacing w:after="240" w:line="300" w:lineRule="auto"/>
        <w:contextualSpacing/>
        <w:rPr>
          <w:rFonts w:ascii="Calibri" w:eastAsia="Times New Roman" w:hAnsi="Calibri" w:cs="Calibri"/>
          <w:lang w:eastAsia="pl-PL"/>
        </w:rPr>
      </w:pPr>
      <w:r w:rsidRPr="00714AE6">
        <w:rPr>
          <w:rFonts w:ascii="Calibri" w:eastAsia="Times New Roman" w:hAnsi="Calibri" w:cs="Times New Roman"/>
          <w:szCs w:val="24"/>
          <w:lang w:eastAsia="pl-PL"/>
        </w:rPr>
        <w:t>dzielnicy Wesoła w kwocie 320 tys. zł z tytułu odszkodowania za nieruchomość przejętą pod drogi na rzecz m.st. Warszawy na podstawie decyzji Prezydenta m.st. Warszawy (decyzja niewypłacona w terminie z powodu braku decyzji z sądu o możliwości przekazania odszkodowania do depozytu sądowego; 22 lutego 2023 r. zapadło postanowienie sądowe o zezwoleniu przekazania odszkodowania do depozytu sądowego, które oczekuje na uprawomocnienie);</w:t>
      </w:r>
    </w:p>
    <w:p w:rsidR="00714AE6" w:rsidRPr="00714AE6" w:rsidRDefault="00714AE6" w:rsidP="00BF05CD">
      <w:pPr>
        <w:numPr>
          <w:ilvl w:val="0"/>
          <w:numId w:val="19"/>
        </w:numPr>
        <w:spacing w:after="240" w:line="300" w:lineRule="auto"/>
        <w:contextualSpacing/>
        <w:rPr>
          <w:rFonts w:ascii="Calibri" w:eastAsia="Times New Roman" w:hAnsi="Calibri" w:cs="Calibri"/>
          <w:lang w:eastAsia="pl-PL"/>
        </w:rPr>
      </w:pPr>
      <w:r w:rsidRPr="00714AE6">
        <w:rPr>
          <w:rFonts w:ascii="Calibri" w:eastAsia="Times New Roman" w:hAnsi="Calibri" w:cs="Times New Roman"/>
          <w:szCs w:val="24"/>
          <w:lang w:eastAsia="pl-PL"/>
        </w:rPr>
        <w:t>Zarządu Cmentarzy Komunalnych w kwocie 44 tys. zł z tytułu zobowiązań dot. kaucji gwarancyjnych i rękojmi z tytułu wykonania umów na roboty budowlane lub remontowe;</w:t>
      </w:r>
    </w:p>
    <w:p w:rsidR="00714AE6" w:rsidRPr="00714AE6" w:rsidRDefault="00714AE6" w:rsidP="00BF05CD">
      <w:pPr>
        <w:numPr>
          <w:ilvl w:val="0"/>
          <w:numId w:val="19"/>
        </w:numPr>
        <w:spacing w:after="240" w:line="300" w:lineRule="auto"/>
        <w:contextualSpacing/>
        <w:rPr>
          <w:rFonts w:ascii="Calibri" w:eastAsia="Times New Roman" w:hAnsi="Calibri" w:cs="Calibri"/>
          <w:lang w:eastAsia="pl-PL"/>
        </w:rPr>
      </w:pPr>
      <w:r w:rsidRPr="00714AE6">
        <w:rPr>
          <w:rFonts w:ascii="Calibri" w:eastAsia="Times New Roman" w:hAnsi="Calibri" w:cs="Times New Roman"/>
          <w:szCs w:val="24"/>
          <w:lang w:eastAsia="pl-PL"/>
        </w:rPr>
        <w:t xml:space="preserve">Zespołu Żłobków m.st. Warszawy w kwocie 18 tys. zł z tytułu niezwróconych wadiów wpłaconych przez kontrahentów przystępujących do postępowań przetargowych (nie jest możliwe dokonanie zwrotu ponieważ zlecone płatności zwracane są na rachunek z informacją </w:t>
      </w:r>
      <w:r w:rsidRPr="00714AE6">
        <w:rPr>
          <w:rFonts w:ascii="Calibri" w:eastAsia="Times New Roman" w:hAnsi="Calibri" w:cs="Times New Roman"/>
          <w:szCs w:val="24"/>
          <w:lang w:eastAsia="pl-PL"/>
        </w:rPr>
        <w:lastRenderedPageBreak/>
        <w:t>o zamknięciu rachunku; wystosowane prośby o podanie właściwego numeru rachunku pozostały bez odpowiedzi);</w:t>
      </w:r>
    </w:p>
    <w:p w:rsidR="00714AE6" w:rsidRPr="00714AE6" w:rsidRDefault="00714AE6" w:rsidP="00BF05CD">
      <w:pPr>
        <w:numPr>
          <w:ilvl w:val="0"/>
          <w:numId w:val="19"/>
        </w:numPr>
        <w:spacing w:after="240" w:line="300" w:lineRule="auto"/>
        <w:contextualSpacing/>
        <w:rPr>
          <w:rFonts w:ascii="Calibri" w:eastAsia="Times New Roman" w:hAnsi="Calibri" w:cs="Calibri"/>
          <w:lang w:eastAsia="pl-PL"/>
        </w:rPr>
      </w:pPr>
      <w:r w:rsidRPr="00714AE6">
        <w:rPr>
          <w:rFonts w:ascii="Calibri" w:eastAsia="Times New Roman" w:hAnsi="Calibri" w:cs="Times New Roman"/>
          <w:szCs w:val="24"/>
          <w:lang w:eastAsia="pl-PL"/>
        </w:rPr>
        <w:t>Domu Pomocy Społecznej „Syrena” w kwocie 7 tys. zł z tytułu naliczonego a niepodjętego wynagrodzenia za 12/2019 r., ekwiwalentu za urlop oraz dodatkowego wynagrodzenia rocznego (po zmarłym pracowniku).</w:t>
      </w:r>
    </w:p>
    <w:p w:rsidR="00714AE6" w:rsidRPr="00714AE6" w:rsidRDefault="00714AE6" w:rsidP="00714AE6">
      <w:pPr>
        <w:spacing w:after="240" w:line="300" w:lineRule="auto"/>
        <w:ind w:left="357"/>
        <w:rPr>
          <w:rFonts w:ascii="Calibri" w:eastAsia="Times New Roman" w:hAnsi="Calibri" w:cs="Calibri"/>
          <w:lang w:eastAsia="pl-PL"/>
        </w:rPr>
      </w:pPr>
      <w:r w:rsidRPr="00714AE6">
        <w:rPr>
          <w:rFonts w:ascii="Calibri" w:eastAsia="Times New Roman" w:hAnsi="Calibri" w:cs="Calibri"/>
          <w:lang w:eastAsia="pl-PL"/>
        </w:rPr>
        <w:t>W 2022 r. zadłużenie Miasta obniżono w stosunku do stanu na koniec 2021 r. o 539 051 tys. zł, tj. o 9,3%.</w:t>
      </w:r>
    </w:p>
    <w:p w:rsidR="00714AE6" w:rsidRPr="00714AE6" w:rsidRDefault="00714AE6" w:rsidP="00BF05CD">
      <w:pPr>
        <w:numPr>
          <w:ilvl w:val="0"/>
          <w:numId w:val="14"/>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 xml:space="preserve">W 2022 r. wydatki na obsługę zadłużenia i rozchody oraz poręczenia i gwarancje w relacji do dochodów bieżących po uwzględnieniu </w:t>
      </w:r>
      <w:proofErr w:type="spellStart"/>
      <w:r w:rsidRPr="00714AE6">
        <w:rPr>
          <w:rFonts w:ascii="Calibri" w:eastAsia="Times New Roman" w:hAnsi="Calibri" w:cs="Calibri"/>
          <w:lang w:eastAsia="pl-PL"/>
        </w:rPr>
        <w:t>wyłączeń</w:t>
      </w:r>
      <w:proofErr w:type="spellEnd"/>
      <w:r w:rsidRPr="00714AE6">
        <w:rPr>
          <w:rFonts w:ascii="Calibri" w:eastAsia="Times New Roman" w:hAnsi="Calibri" w:cs="Calibri"/>
          <w:lang w:eastAsia="pl-PL"/>
        </w:rPr>
        <w:t xml:space="preserve"> wyniosły 3,72% wobec limitu wynoszącego 12,28%. Oznacza to spełnienie przez m.st. Warszawę normy ustawowej w zakresie maksymalnego dopuszczalnego pułapu obciążeń budżetu związanych z obsługą zadłużenia – z uwzględnieniem zmian łagodzących w regule, będących skutkiem wystąpienia pandemii </w:t>
      </w:r>
      <w:proofErr w:type="spellStart"/>
      <w:r w:rsidRPr="00714AE6">
        <w:rPr>
          <w:rFonts w:ascii="Calibri" w:eastAsia="Times New Roman" w:hAnsi="Calibri" w:cs="Calibri"/>
          <w:lang w:eastAsia="pl-PL"/>
        </w:rPr>
        <w:t>koronawirusa</w:t>
      </w:r>
      <w:proofErr w:type="spellEnd"/>
      <w:r w:rsidRPr="00714AE6">
        <w:rPr>
          <w:rFonts w:ascii="Calibri" w:eastAsia="Times New Roman" w:hAnsi="Calibri" w:cs="Calibri"/>
          <w:lang w:eastAsia="pl-PL"/>
        </w:rPr>
        <w:t xml:space="preserve"> SARS-CoV-2 wywołującego chorobę COVID-19 </w:t>
      </w:r>
      <w:r w:rsidRPr="00714AE6">
        <w:rPr>
          <w:rFonts w:ascii="Calibri" w:eastAsia="Times New Roman" w:hAnsi="Calibri" w:cs="Times New Roman"/>
          <w:szCs w:val="24"/>
          <w:lang w:eastAsia="pl-PL"/>
        </w:rPr>
        <w:t>i zmian w systemie dochodów jednostek samorządu terytorialnego wprowadzonych w ramach rządowego programu Polski Ład</w:t>
      </w:r>
      <w:r w:rsidRPr="00714AE6">
        <w:rPr>
          <w:rFonts w:ascii="Calibri" w:eastAsia="Times New Roman" w:hAnsi="Calibri" w:cs="Calibri"/>
          <w:lang w:eastAsia="pl-PL"/>
        </w:rPr>
        <w:t>.</w:t>
      </w:r>
    </w:p>
    <w:p w:rsidR="00714AE6" w:rsidRPr="00714AE6" w:rsidRDefault="00714AE6" w:rsidP="00714AE6">
      <w:pPr>
        <w:spacing w:after="240" w:line="300" w:lineRule="auto"/>
        <w:ind w:firstLine="357"/>
        <w:contextualSpacing/>
        <w:rPr>
          <w:rFonts w:ascii="Calibri" w:eastAsia="Times New Roman" w:hAnsi="Calibri" w:cs="Calibri"/>
          <w:lang w:eastAsia="pl-PL"/>
        </w:rPr>
      </w:pPr>
      <w:r w:rsidRPr="00714AE6">
        <w:rPr>
          <w:rFonts w:ascii="Calibri" w:eastAsia="Times New Roman" w:hAnsi="Calibri" w:cs="Calibri"/>
          <w:lang w:eastAsia="pl-PL"/>
        </w:rPr>
        <w:t>Ponadto:</w:t>
      </w:r>
    </w:p>
    <w:p w:rsidR="00714AE6" w:rsidRPr="00714AE6" w:rsidRDefault="00714AE6" w:rsidP="00714AE6">
      <w:pPr>
        <w:spacing w:after="240" w:line="300" w:lineRule="auto"/>
        <w:ind w:left="788" w:hanging="431"/>
        <w:contextualSpacing/>
        <w:rPr>
          <w:rFonts w:ascii="Calibri" w:eastAsia="Times New Roman" w:hAnsi="Calibri" w:cs="Calibri"/>
          <w:lang w:eastAsia="pl-PL"/>
        </w:rPr>
      </w:pPr>
      <w:r w:rsidRPr="00714AE6">
        <w:rPr>
          <w:rFonts w:ascii="Calibri" w:eastAsia="Times New Roman" w:hAnsi="Calibri" w:cs="Calibri"/>
          <w:lang w:eastAsia="pl-PL"/>
        </w:rPr>
        <w:t>9.1. Wskaźnik poziomu zadłużenia na 31.12.2022 r. liczony w stosunku do zrealizowanych dochodów w 2022 r. wyniósł 24,35%.</w:t>
      </w:r>
    </w:p>
    <w:p w:rsidR="00714AE6" w:rsidRPr="00714AE6" w:rsidRDefault="00714AE6" w:rsidP="00714AE6">
      <w:pPr>
        <w:spacing w:after="240" w:line="300" w:lineRule="auto"/>
        <w:ind w:left="788" w:hanging="431"/>
        <w:rPr>
          <w:rFonts w:ascii="Calibri" w:eastAsia="Times New Roman" w:hAnsi="Calibri" w:cs="Calibri"/>
          <w:lang w:eastAsia="pl-PL"/>
        </w:rPr>
      </w:pPr>
      <w:r w:rsidRPr="00714AE6">
        <w:rPr>
          <w:rFonts w:ascii="Calibri" w:eastAsia="Times New Roman" w:hAnsi="Calibri" w:cs="Calibri"/>
          <w:lang w:eastAsia="pl-PL"/>
        </w:rPr>
        <w:t xml:space="preserve">9.2. Wskaźnik obsługi zadłużenia liczony w stosunku do zrealizowanych dochodów w 2022 r. wyniósł 3,39% (bez </w:t>
      </w:r>
      <w:proofErr w:type="spellStart"/>
      <w:r w:rsidRPr="00714AE6">
        <w:rPr>
          <w:rFonts w:ascii="Calibri" w:eastAsia="Times New Roman" w:hAnsi="Calibri" w:cs="Calibri"/>
          <w:lang w:eastAsia="pl-PL"/>
        </w:rPr>
        <w:t>wyłączeń</w:t>
      </w:r>
      <w:proofErr w:type="spellEnd"/>
      <w:r w:rsidRPr="00714AE6">
        <w:rPr>
          <w:rFonts w:ascii="Calibri" w:eastAsia="Times New Roman" w:hAnsi="Calibri" w:cs="Calibri"/>
          <w:lang w:eastAsia="pl-PL"/>
        </w:rPr>
        <w:t>).</w:t>
      </w:r>
    </w:p>
    <w:p w:rsidR="00714AE6" w:rsidRPr="00714AE6" w:rsidRDefault="00714AE6" w:rsidP="00BF05CD">
      <w:pPr>
        <w:numPr>
          <w:ilvl w:val="0"/>
          <w:numId w:val="14"/>
        </w:numPr>
        <w:spacing w:after="240" w:line="300" w:lineRule="auto"/>
        <w:ind w:left="357"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W 2022 r. zgodnie z art. 242 ustawy o finansach publicznych wypełniono przy realizacji budżetu regułę wydatkową w zakresie wydatków bieżących – z uwzględnieniem zmian łagodzących w regule, będących skutkiem wystąpienia pandemii </w:t>
      </w:r>
      <w:proofErr w:type="spellStart"/>
      <w:r w:rsidRPr="00714AE6">
        <w:rPr>
          <w:rFonts w:ascii="Calibri" w:eastAsia="Times New Roman" w:hAnsi="Calibri" w:cs="Calibri"/>
          <w:lang w:eastAsia="pl-PL"/>
        </w:rPr>
        <w:t>koronawirusa</w:t>
      </w:r>
      <w:proofErr w:type="spellEnd"/>
      <w:r w:rsidRPr="00714AE6">
        <w:rPr>
          <w:rFonts w:ascii="Calibri" w:eastAsia="Times New Roman" w:hAnsi="Calibri" w:cs="Calibri"/>
          <w:lang w:eastAsia="pl-PL"/>
        </w:rPr>
        <w:t xml:space="preserve"> SARS-CoV-2 wywołującego chorobę COVID-19 i wybuchu konfliktu zbrojnego na terytorium Ukrainy </w:t>
      </w:r>
      <w:r w:rsidRPr="00714AE6">
        <w:rPr>
          <w:rFonts w:ascii="Calibri" w:eastAsia="Times New Roman" w:hAnsi="Calibri" w:cs="Times New Roman"/>
          <w:szCs w:val="24"/>
          <w:lang w:eastAsia="pl-PL"/>
        </w:rPr>
        <w:t>oraz zmian w systemie dochodów jednostek samorządu terytorialnego wprowadzonych w ramach rządowego programu Polski Ład</w:t>
      </w:r>
      <w:r w:rsidRPr="00714AE6">
        <w:rPr>
          <w:rFonts w:ascii="Calibri" w:eastAsia="Times New Roman" w:hAnsi="Calibri" w:cs="Calibri"/>
          <w:lang w:eastAsia="pl-PL"/>
        </w:rPr>
        <w:t xml:space="preserve">. Dopuszczalny ustawowo poziom wydatków bieżących m.st. Warszawy w 2022 r. obliczony zgodnie z zasadami określonymi w art. 242 ustawy o finansach publicznych wynosił </w:t>
      </w:r>
      <w:r w:rsidRPr="00714AE6">
        <w:rPr>
          <w:rFonts w:ascii="Calibri" w:eastAsia="Times New Roman" w:hAnsi="Calibri" w:cs="Times New Roman"/>
          <w:szCs w:val="24"/>
          <w:lang w:eastAsia="pl-PL"/>
        </w:rPr>
        <w:t>24.699.921 tys. zł</w:t>
      </w:r>
      <w:r w:rsidRPr="00714AE6">
        <w:rPr>
          <w:rFonts w:ascii="Calibri" w:eastAsia="Times New Roman" w:hAnsi="Calibri" w:cs="Calibri"/>
          <w:lang w:eastAsia="pl-PL"/>
        </w:rPr>
        <w:t xml:space="preserve">, co wynikało z poziomu wykonanych dochodów bieżących w 2022 r. w kwocie </w:t>
      </w:r>
      <w:r w:rsidRPr="00714AE6">
        <w:rPr>
          <w:rFonts w:ascii="Calibri" w:eastAsia="Times New Roman" w:hAnsi="Calibri" w:cs="Times New Roman"/>
          <w:szCs w:val="24"/>
          <w:lang w:eastAsia="pl-PL"/>
        </w:rPr>
        <w:t>20.684.469</w:t>
      </w:r>
      <w:r w:rsidRPr="00714AE6">
        <w:rPr>
          <w:rFonts w:ascii="Calibri" w:eastAsia="Times New Roman" w:hAnsi="Calibri" w:cs="Calibri"/>
          <w:lang w:eastAsia="pl-PL"/>
        </w:rPr>
        <w:t xml:space="preserve"> tys. zł </w:t>
      </w:r>
      <w:r w:rsidRPr="00714AE6">
        <w:rPr>
          <w:rFonts w:ascii="Calibri" w:eastAsia="Times New Roman" w:hAnsi="Calibri" w:cs="Times New Roman"/>
          <w:szCs w:val="24"/>
          <w:lang w:eastAsia="pl-PL"/>
        </w:rPr>
        <w:t>powiększonych o tzw. wolne środki w kwocie 3.995.432 tys. zł oraz niewykorzystane środki pieniężne na rachunku bieżącym budżetu, wynikające z rozliczenia dochodów i wydatków nimi finansowanych związanych ze szczególnymi zasadami wykonywania budżetu określonymi w odrębnych ustawach w kwocie 20.021 tys. zł</w:t>
      </w:r>
      <w:r w:rsidRPr="00714AE6">
        <w:rPr>
          <w:rFonts w:ascii="Calibri" w:eastAsia="Times New Roman" w:hAnsi="Calibri" w:cs="Calibri"/>
          <w:lang w:eastAsia="pl-PL"/>
        </w:rPr>
        <w:t xml:space="preserve">. Wykonane w 2022 r. wydatki bieżące w kwocie </w:t>
      </w:r>
      <w:r w:rsidRPr="00714AE6">
        <w:rPr>
          <w:rFonts w:ascii="Calibri" w:eastAsia="Times New Roman" w:hAnsi="Calibri" w:cs="Times New Roman"/>
          <w:szCs w:val="24"/>
          <w:lang w:eastAsia="pl-PL"/>
        </w:rPr>
        <w:t xml:space="preserve">18.874.247 </w:t>
      </w:r>
      <w:r w:rsidRPr="00714AE6">
        <w:rPr>
          <w:rFonts w:ascii="Calibri" w:eastAsia="Times New Roman" w:hAnsi="Calibri" w:cs="Calibri"/>
          <w:lang w:eastAsia="pl-PL"/>
        </w:rPr>
        <w:t xml:space="preserve">tys. zł </w:t>
      </w:r>
      <w:r w:rsidRPr="00714AE6">
        <w:rPr>
          <w:rFonts w:ascii="Calibri" w:eastAsia="Times New Roman" w:hAnsi="Calibri" w:cs="Times New Roman"/>
          <w:szCs w:val="24"/>
          <w:lang w:eastAsia="pl-PL"/>
        </w:rPr>
        <w:t xml:space="preserve">pomniejszone o wydatki bieżące w kwocie 70.766 tys. zł poniesione w celu realizacji zadań związanych z pomocą obywatelom Ukrainy w związku z konfliktem zbrojnym na terytorium tego państwa w części, w jakiej nie były one finansowane środkami publicznymi otrzymanymi na ten cel, wyniosły 18.803.480 tys. zł i </w:t>
      </w:r>
      <w:r w:rsidRPr="00714AE6">
        <w:rPr>
          <w:rFonts w:ascii="Calibri" w:eastAsia="Times New Roman" w:hAnsi="Calibri" w:cs="Calibri"/>
          <w:lang w:eastAsia="pl-PL"/>
        </w:rPr>
        <w:t>były niższe od dopuszczalnego ustawowego poziomu.</w:t>
      </w:r>
    </w:p>
    <w:p w:rsidR="00714AE6" w:rsidRPr="00714AE6" w:rsidRDefault="00714AE6" w:rsidP="00714AE6">
      <w:pPr>
        <w:spacing w:after="240" w:line="300" w:lineRule="auto"/>
        <w:ind w:firstLine="360"/>
        <w:contextualSpacing/>
        <w:rPr>
          <w:rFonts w:ascii="Calibri" w:eastAsia="Times New Roman" w:hAnsi="Calibri" w:cs="Calibri"/>
          <w:lang w:eastAsia="pl-PL"/>
        </w:rPr>
      </w:pPr>
      <w:r w:rsidRPr="00714AE6">
        <w:rPr>
          <w:rFonts w:ascii="Calibri" w:eastAsia="Times New Roman" w:hAnsi="Calibri" w:cs="Calibri"/>
          <w:b/>
          <w:lang w:eastAsia="pl-PL"/>
        </w:rPr>
        <w:t>Informacja o stanie mienia m.st. Warszawy</w:t>
      </w:r>
      <w:r w:rsidRPr="00714AE6">
        <w:rPr>
          <w:rFonts w:ascii="Calibri" w:eastAsia="Times New Roman" w:hAnsi="Calibri" w:cs="Calibri"/>
          <w:lang w:eastAsia="pl-PL"/>
        </w:rPr>
        <w:t xml:space="preserve"> zawiera wymagane przepisami art. 267 ust. 1 pkt 3 ustawy z dnia 27 sierpnia 2009 r. o finansach publicznych dane odnoszące się do:</w:t>
      </w:r>
    </w:p>
    <w:p w:rsidR="00714AE6" w:rsidRPr="00714AE6" w:rsidRDefault="00714AE6" w:rsidP="00BF05CD">
      <w:pPr>
        <w:numPr>
          <w:ilvl w:val="1"/>
          <w:numId w:val="12"/>
        </w:numPr>
        <w:spacing w:after="240" w:line="300" w:lineRule="auto"/>
        <w:ind w:left="641" w:hanging="284"/>
        <w:contextualSpacing/>
        <w:rPr>
          <w:rFonts w:ascii="Calibri" w:eastAsia="Times New Roman" w:hAnsi="Calibri" w:cs="Calibri"/>
          <w:lang w:eastAsia="pl-PL"/>
        </w:rPr>
      </w:pPr>
      <w:r w:rsidRPr="00714AE6">
        <w:rPr>
          <w:rFonts w:ascii="Calibri" w:eastAsia="Times New Roman" w:hAnsi="Calibri" w:cs="Calibri"/>
          <w:lang w:eastAsia="pl-PL"/>
        </w:rPr>
        <w:t>przysługujących m.st. Warszawie praw własności;</w:t>
      </w:r>
    </w:p>
    <w:p w:rsidR="00714AE6" w:rsidRPr="00714AE6" w:rsidRDefault="00714AE6" w:rsidP="00BF05CD">
      <w:pPr>
        <w:numPr>
          <w:ilvl w:val="1"/>
          <w:numId w:val="12"/>
        </w:numPr>
        <w:spacing w:after="240" w:line="300" w:lineRule="auto"/>
        <w:ind w:left="641" w:hanging="284"/>
        <w:contextualSpacing/>
        <w:rPr>
          <w:rFonts w:ascii="Calibri" w:eastAsia="Times New Roman" w:hAnsi="Calibri" w:cs="Calibri"/>
          <w:lang w:eastAsia="pl-PL"/>
        </w:rPr>
      </w:pPr>
      <w:r w:rsidRPr="00714AE6">
        <w:rPr>
          <w:rFonts w:ascii="Calibri" w:eastAsia="Times New Roman" w:hAnsi="Calibri" w:cs="Calibri"/>
          <w:lang w:eastAsia="pl-PL"/>
        </w:rPr>
        <w:lastRenderedPageBreak/>
        <w:t>innych niż własność praw majątkowych, w tym w szczególności o ograniczonych prawach rzeczowych, użytkowania wieczystego, wierzytelnościach, udziałach w spółkach, akcjach;</w:t>
      </w:r>
    </w:p>
    <w:p w:rsidR="00714AE6" w:rsidRPr="00714AE6" w:rsidRDefault="00714AE6" w:rsidP="00BF05CD">
      <w:pPr>
        <w:numPr>
          <w:ilvl w:val="1"/>
          <w:numId w:val="12"/>
        </w:numPr>
        <w:spacing w:after="240" w:line="300" w:lineRule="auto"/>
        <w:ind w:left="641" w:hanging="284"/>
        <w:contextualSpacing/>
        <w:rPr>
          <w:rFonts w:ascii="Calibri" w:eastAsia="Times New Roman" w:hAnsi="Calibri" w:cs="Calibri"/>
          <w:lang w:eastAsia="pl-PL"/>
        </w:rPr>
      </w:pPr>
      <w:r w:rsidRPr="00714AE6">
        <w:rPr>
          <w:rFonts w:ascii="Calibri" w:eastAsia="Times New Roman" w:hAnsi="Calibri" w:cs="Calibri"/>
          <w:lang w:eastAsia="pl-PL"/>
        </w:rPr>
        <w:t>posiadania;</w:t>
      </w:r>
    </w:p>
    <w:p w:rsidR="00714AE6" w:rsidRPr="00714AE6" w:rsidRDefault="00714AE6" w:rsidP="00BF05CD">
      <w:pPr>
        <w:numPr>
          <w:ilvl w:val="1"/>
          <w:numId w:val="12"/>
        </w:numPr>
        <w:spacing w:after="240" w:line="300" w:lineRule="auto"/>
        <w:ind w:left="641" w:hanging="284"/>
        <w:contextualSpacing/>
        <w:rPr>
          <w:rFonts w:ascii="Calibri" w:eastAsia="Times New Roman" w:hAnsi="Calibri" w:cs="Calibri"/>
          <w:lang w:eastAsia="pl-PL"/>
        </w:rPr>
      </w:pPr>
      <w:r w:rsidRPr="00714AE6">
        <w:rPr>
          <w:rFonts w:ascii="Calibri" w:eastAsia="Times New Roman" w:hAnsi="Calibri" w:cs="Calibri"/>
          <w:lang w:eastAsia="pl-PL"/>
        </w:rPr>
        <w:t>zmian w stanie mienia komunalnego, w zakresie dotyczącym praw własności, innych niż własność praw majątkowych i posiadania, od dnia złożenia poprzedniej informacji;</w:t>
      </w:r>
    </w:p>
    <w:p w:rsidR="00714AE6" w:rsidRPr="00714AE6" w:rsidRDefault="00714AE6" w:rsidP="00BF05CD">
      <w:pPr>
        <w:numPr>
          <w:ilvl w:val="1"/>
          <w:numId w:val="12"/>
        </w:numPr>
        <w:spacing w:after="240" w:line="300" w:lineRule="auto"/>
        <w:ind w:left="641" w:hanging="284"/>
        <w:contextualSpacing/>
        <w:rPr>
          <w:rFonts w:ascii="Calibri" w:eastAsia="Times New Roman" w:hAnsi="Calibri" w:cs="Calibri"/>
          <w:lang w:eastAsia="pl-PL"/>
        </w:rPr>
      </w:pPr>
      <w:r w:rsidRPr="00714AE6">
        <w:rPr>
          <w:rFonts w:ascii="Calibri" w:eastAsia="Times New Roman" w:hAnsi="Calibri" w:cs="Calibri"/>
          <w:lang w:eastAsia="pl-PL"/>
        </w:rPr>
        <w:t>dochodów uzyskanych z tytułu wykonywania praw własności, innych praw majątkowych oraz wykonywania posiadania;</w:t>
      </w:r>
    </w:p>
    <w:p w:rsidR="00714AE6" w:rsidRPr="00714AE6" w:rsidRDefault="00714AE6" w:rsidP="00BF05CD">
      <w:pPr>
        <w:numPr>
          <w:ilvl w:val="1"/>
          <w:numId w:val="12"/>
        </w:numPr>
        <w:spacing w:after="240" w:line="300" w:lineRule="auto"/>
        <w:ind w:left="641" w:hanging="284"/>
        <w:contextualSpacing/>
        <w:rPr>
          <w:rFonts w:ascii="Calibri" w:eastAsia="Times New Roman" w:hAnsi="Calibri" w:cs="Calibri"/>
          <w:lang w:eastAsia="pl-PL"/>
        </w:rPr>
      </w:pPr>
      <w:r w:rsidRPr="00714AE6">
        <w:rPr>
          <w:rFonts w:ascii="Calibri" w:eastAsia="Times New Roman" w:hAnsi="Calibri" w:cs="Calibri"/>
          <w:lang w:eastAsia="pl-PL"/>
        </w:rPr>
        <w:t>innych danych i informacji o zdarzeniach mających wpływ na stan mienia m.st. Warszawy.</w:t>
      </w:r>
    </w:p>
    <w:p w:rsidR="00714AE6" w:rsidRPr="00714AE6" w:rsidRDefault="00714AE6" w:rsidP="00714AE6">
      <w:pPr>
        <w:spacing w:after="240" w:line="300" w:lineRule="auto"/>
        <w:ind w:firstLine="357"/>
        <w:rPr>
          <w:rFonts w:ascii="Calibri" w:eastAsia="Times New Roman" w:hAnsi="Calibri" w:cs="Calibri"/>
          <w:lang w:eastAsia="pl-PL"/>
        </w:rPr>
      </w:pPr>
      <w:r w:rsidRPr="00714AE6">
        <w:rPr>
          <w:rFonts w:ascii="Calibri" w:eastAsia="Times New Roman" w:hAnsi="Calibri" w:cs="Calibri"/>
          <w:lang w:eastAsia="pl-PL"/>
        </w:rPr>
        <w:t xml:space="preserve">Komisja Rewizyjna odnosząc się do </w:t>
      </w:r>
      <w:r w:rsidRPr="00714AE6">
        <w:rPr>
          <w:rFonts w:ascii="Calibri" w:eastAsia="Times New Roman" w:hAnsi="Calibri" w:cs="Calibri"/>
          <w:b/>
          <w:lang w:eastAsia="pl-PL"/>
        </w:rPr>
        <w:t>„Sprawozdania finansowego m.st. Warszawy</w:t>
      </w:r>
      <w:r w:rsidRPr="00714AE6">
        <w:rPr>
          <w:rFonts w:ascii="Calibri" w:eastAsia="Times New Roman" w:hAnsi="Calibri" w:cs="Calibri"/>
          <w:lang w:eastAsia="pl-PL"/>
        </w:rPr>
        <w:t xml:space="preserve"> </w:t>
      </w:r>
      <w:r w:rsidRPr="00714AE6">
        <w:rPr>
          <w:rFonts w:ascii="Calibri" w:eastAsia="Times New Roman" w:hAnsi="Calibri" w:cs="Calibri"/>
          <w:b/>
          <w:lang w:eastAsia="pl-PL"/>
        </w:rPr>
        <w:t>za 2022 r.”</w:t>
      </w:r>
      <w:r w:rsidRPr="00714AE6">
        <w:rPr>
          <w:rFonts w:ascii="Calibri" w:eastAsia="Times New Roman" w:hAnsi="Calibri" w:cs="Calibri"/>
          <w:lang w:eastAsia="pl-PL"/>
        </w:rPr>
        <w:t xml:space="preserve"> stwierdza, że zawiera ono wszystkie wymagane prawem elementy i obejmuje:</w:t>
      </w:r>
    </w:p>
    <w:p w:rsidR="00714AE6" w:rsidRPr="00714AE6" w:rsidRDefault="00714AE6" w:rsidP="00BF05CD">
      <w:pPr>
        <w:numPr>
          <w:ilvl w:val="0"/>
          <w:numId w:val="4"/>
        </w:numPr>
        <w:tabs>
          <w:tab w:val="num" w:pos="360"/>
        </w:tabs>
        <w:spacing w:after="240" w:line="300" w:lineRule="auto"/>
        <w:ind w:left="357" w:hanging="357"/>
        <w:contextualSpacing/>
        <w:rPr>
          <w:rFonts w:ascii="Calibri" w:eastAsia="Times New Roman" w:hAnsi="Calibri" w:cs="Calibri"/>
          <w:b/>
          <w:lang w:eastAsia="pl-PL"/>
        </w:rPr>
      </w:pPr>
      <w:r w:rsidRPr="00714AE6">
        <w:rPr>
          <w:rFonts w:ascii="Calibri" w:eastAsia="Times New Roman" w:hAnsi="Calibri" w:cs="Calibri"/>
          <w:b/>
          <w:lang w:eastAsia="pl-PL"/>
        </w:rPr>
        <w:t xml:space="preserve">Bilans z wykonania budżetu, </w:t>
      </w:r>
      <w:r w:rsidRPr="00714AE6">
        <w:rPr>
          <w:rFonts w:ascii="Calibri" w:eastAsia="Times New Roman" w:hAnsi="Calibri" w:cs="Calibri"/>
          <w:lang w:eastAsia="pl-PL"/>
        </w:rPr>
        <w:t xml:space="preserve">który po stronie aktywów i pasywów zamyka się kwotą </w:t>
      </w:r>
      <w:r w:rsidRPr="00714AE6">
        <w:rPr>
          <w:rFonts w:ascii="Calibri" w:eastAsia="Times New Roman" w:hAnsi="Calibri" w:cs="Calibri"/>
          <w:b/>
          <w:lang w:eastAsia="pl-PL"/>
        </w:rPr>
        <w:t>4 263 358 702,00 zł.</w:t>
      </w:r>
    </w:p>
    <w:p w:rsidR="00714AE6" w:rsidRPr="00714AE6" w:rsidRDefault="00714AE6" w:rsidP="00714AE6">
      <w:pPr>
        <w:spacing w:after="240" w:line="300" w:lineRule="auto"/>
        <w:ind w:firstLine="360"/>
        <w:contextualSpacing/>
        <w:rPr>
          <w:rFonts w:ascii="Calibri" w:eastAsia="Times New Roman" w:hAnsi="Calibri" w:cs="Calibri"/>
          <w:lang w:eastAsia="pl-PL"/>
        </w:rPr>
      </w:pPr>
      <w:r w:rsidRPr="00714AE6">
        <w:rPr>
          <w:rFonts w:ascii="Calibri" w:eastAsia="Times New Roman" w:hAnsi="Calibri" w:cs="Calibri"/>
          <w:b/>
          <w:lang w:eastAsia="pl-PL"/>
        </w:rPr>
        <w:t>Aktywa</w:t>
      </w:r>
      <w:r w:rsidRPr="00714AE6">
        <w:rPr>
          <w:rFonts w:ascii="Calibri" w:eastAsia="Times New Roman" w:hAnsi="Calibri" w:cs="Calibri"/>
          <w:lang w:eastAsia="pl-PL"/>
        </w:rPr>
        <w:t xml:space="preserve"> obejmują następujące pozycje bilansowe:</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środki pieniężne</w:t>
      </w:r>
      <w:r w:rsidRPr="00714AE6">
        <w:rPr>
          <w:rFonts w:ascii="Calibri" w:eastAsia="Times New Roman" w:hAnsi="Calibri" w:cs="Calibri"/>
          <w:lang w:eastAsia="pl-PL"/>
        </w:rPr>
        <w:tab/>
        <w:t>4 233 484 498,43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należności i rozliczenia</w:t>
      </w:r>
      <w:r w:rsidRPr="00714AE6">
        <w:rPr>
          <w:rFonts w:ascii="Calibri" w:eastAsia="Times New Roman" w:hAnsi="Calibri" w:cs="Calibri"/>
          <w:lang w:eastAsia="pl-PL"/>
        </w:rPr>
        <w:tab/>
        <w:t>29 874 203,57 zł</w:t>
      </w:r>
    </w:p>
    <w:p w:rsidR="00714AE6" w:rsidRPr="00714AE6" w:rsidRDefault="00714AE6" w:rsidP="00BF05CD">
      <w:pPr>
        <w:numPr>
          <w:ilvl w:val="0"/>
          <w:numId w:val="5"/>
        </w:numPr>
        <w:tabs>
          <w:tab w:val="num" w:pos="644"/>
          <w:tab w:val="num" w:pos="709"/>
          <w:tab w:val="decimal" w:pos="8640"/>
        </w:tabs>
        <w:spacing w:after="240" w:line="300" w:lineRule="auto"/>
        <w:ind w:left="7200" w:hanging="6840"/>
        <w:contextualSpacing/>
        <w:rPr>
          <w:rFonts w:ascii="Calibri" w:eastAsia="Times New Roman" w:hAnsi="Calibri" w:cs="Calibri"/>
          <w:lang w:eastAsia="pl-PL"/>
        </w:rPr>
      </w:pPr>
      <w:r w:rsidRPr="00714AE6">
        <w:rPr>
          <w:rFonts w:ascii="Calibri" w:eastAsia="Times New Roman" w:hAnsi="Calibri" w:cs="Calibri"/>
          <w:lang w:eastAsia="pl-PL"/>
        </w:rPr>
        <w:t>rozliczenia międzyokresowe</w:t>
      </w:r>
      <w:r w:rsidRPr="00714AE6">
        <w:rPr>
          <w:rFonts w:ascii="Calibri" w:eastAsia="Times New Roman" w:hAnsi="Calibri" w:cs="Calibri"/>
          <w:lang w:eastAsia="pl-PL"/>
        </w:rPr>
        <w:tab/>
      </w:r>
      <w:r w:rsidRPr="00714AE6">
        <w:rPr>
          <w:rFonts w:ascii="Calibri" w:eastAsia="Times New Roman" w:hAnsi="Calibri" w:cs="Calibri"/>
          <w:lang w:eastAsia="pl-PL"/>
        </w:rPr>
        <w:tab/>
        <w:t>0,00 zł</w:t>
      </w:r>
    </w:p>
    <w:p w:rsidR="00714AE6" w:rsidRPr="00714AE6" w:rsidRDefault="00714AE6" w:rsidP="00714AE6">
      <w:pPr>
        <w:spacing w:after="240" w:line="300" w:lineRule="auto"/>
        <w:ind w:firstLine="360"/>
        <w:contextualSpacing/>
        <w:rPr>
          <w:rFonts w:ascii="Calibri" w:eastAsia="Times New Roman" w:hAnsi="Calibri" w:cs="Calibri"/>
          <w:lang w:eastAsia="pl-PL"/>
        </w:rPr>
      </w:pPr>
      <w:r w:rsidRPr="00714AE6">
        <w:rPr>
          <w:rFonts w:ascii="Calibri" w:eastAsia="Times New Roman" w:hAnsi="Calibri" w:cs="Calibri"/>
          <w:b/>
          <w:lang w:eastAsia="pl-PL"/>
        </w:rPr>
        <w:t>Pasywa</w:t>
      </w:r>
      <w:r w:rsidRPr="00714AE6">
        <w:rPr>
          <w:rFonts w:ascii="Calibri" w:eastAsia="Times New Roman" w:hAnsi="Calibri" w:cs="Calibri"/>
          <w:lang w:eastAsia="pl-PL"/>
        </w:rPr>
        <w:t xml:space="preserve"> obejmują:</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zobowiązania</w:t>
      </w:r>
      <w:r w:rsidRPr="00714AE6">
        <w:rPr>
          <w:rFonts w:ascii="Calibri" w:eastAsia="Times New Roman" w:hAnsi="Calibri" w:cs="Calibri"/>
          <w:lang w:eastAsia="pl-PL"/>
        </w:rPr>
        <w:tab/>
        <w:t>5 321 657 256,11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aktywa netto budżetu</w:t>
      </w:r>
      <w:r w:rsidRPr="00714AE6">
        <w:rPr>
          <w:rFonts w:ascii="Calibri" w:eastAsia="Times New Roman" w:hAnsi="Calibri" w:cs="Calibri"/>
          <w:lang w:eastAsia="pl-PL"/>
        </w:rPr>
        <w:tab/>
        <w:t>- 1 321 608 616,11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rozliczenia międzyokresowe</w:t>
      </w:r>
      <w:r w:rsidRPr="00714AE6">
        <w:rPr>
          <w:rFonts w:ascii="Calibri" w:eastAsia="Times New Roman" w:hAnsi="Calibri" w:cs="Calibri"/>
          <w:lang w:eastAsia="pl-PL"/>
        </w:rPr>
        <w:tab/>
        <w:t>263 310 062,00 zł</w:t>
      </w:r>
    </w:p>
    <w:p w:rsidR="00714AE6" w:rsidRPr="00714AE6" w:rsidRDefault="00714AE6" w:rsidP="00714AE6">
      <w:pPr>
        <w:tabs>
          <w:tab w:val="decimal" w:pos="8640"/>
        </w:tabs>
        <w:spacing w:after="240" w:line="300" w:lineRule="auto"/>
        <w:ind w:left="357" w:hanging="357"/>
        <w:contextualSpacing/>
        <w:rPr>
          <w:rFonts w:ascii="Calibri" w:eastAsia="Times New Roman" w:hAnsi="Calibri" w:cs="Calibri"/>
          <w:lang w:eastAsia="pl-PL"/>
        </w:rPr>
      </w:pPr>
      <w:r w:rsidRPr="00714AE6">
        <w:rPr>
          <w:rFonts w:ascii="Calibri" w:eastAsia="Times New Roman" w:hAnsi="Calibri" w:cs="Calibri"/>
          <w:b/>
          <w:lang w:eastAsia="pl-PL"/>
        </w:rPr>
        <w:t>2. Łączny bilans, który zamyka się sumą bilansową</w:t>
      </w:r>
      <w:r w:rsidRPr="00714AE6">
        <w:rPr>
          <w:rFonts w:ascii="Calibri" w:eastAsia="Times New Roman" w:hAnsi="Calibri" w:cs="Calibri"/>
          <w:b/>
          <w:lang w:eastAsia="pl-PL"/>
        </w:rPr>
        <w:tab/>
        <w:t>42 895 242 312,10 zł</w:t>
      </w:r>
    </w:p>
    <w:p w:rsidR="00714AE6" w:rsidRPr="00714AE6" w:rsidRDefault="00714AE6" w:rsidP="00714AE6">
      <w:pPr>
        <w:tabs>
          <w:tab w:val="decimal" w:pos="8640"/>
        </w:tabs>
        <w:spacing w:after="240" w:line="300" w:lineRule="auto"/>
        <w:ind w:left="284" w:hanging="360"/>
        <w:contextualSpacing/>
        <w:rPr>
          <w:rFonts w:ascii="Calibri" w:eastAsia="Times New Roman" w:hAnsi="Calibri" w:cs="Calibri"/>
          <w:b/>
          <w:lang w:eastAsia="pl-PL"/>
        </w:rPr>
      </w:pPr>
      <w:r w:rsidRPr="00714AE6">
        <w:rPr>
          <w:rFonts w:ascii="Calibri" w:eastAsia="Times New Roman" w:hAnsi="Calibri" w:cs="Calibri"/>
          <w:lang w:eastAsia="pl-PL"/>
        </w:rPr>
        <w:tab/>
      </w:r>
      <w:r w:rsidRPr="00714AE6">
        <w:rPr>
          <w:rFonts w:ascii="Calibri" w:eastAsia="Times New Roman" w:hAnsi="Calibri" w:cs="Calibri"/>
          <w:b/>
          <w:lang w:eastAsia="pl-PL"/>
        </w:rPr>
        <w:t>Aktywa:</w:t>
      </w:r>
    </w:p>
    <w:p w:rsidR="00714AE6" w:rsidRPr="00714AE6" w:rsidRDefault="00714AE6" w:rsidP="00714AE6">
      <w:pPr>
        <w:tabs>
          <w:tab w:val="decimal" w:pos="8640"/>
        </w:tabs>
        <w:spacing w:after="240" w:line="300" w:lineRule="auto"/>
        <w:ind w:left="360" w:hanging="360"/>
        <w:contextualSpacing/>
        <w:rPr>
          <w:rFonts w:ascii="Calibri" w:eastAsia="Times New Roman" w:hAnsi="Calibri" w:cs="Calibri"/>
          <w:b/>
          <w:lang w:eastAsia="pl-PL"/>
        </w:rPr>
      </w:pPr>
      <w:r w:rsidRPr="00714AE6">
        <w:rPr>
          <w:rFonts w:ascii="Calibri" w:eastAsia="Times New Roman" w:hAnsi="Calibri" w:cs="Calibri"/>
          <w:b/>
          <w:lang w:eastAsia="pl-PL"/>
        </w:rPr>
        <w:tab/>
        <w:t>I. Aktywa trwałe</w:t>
      </w:r>
      <w:r w:rsidRPr="00714AE6">
        <w:rPr>
          <w:rFonts w:ascii="Calibri" w:eastAsia="Times New Roman" w:hAnsi="Calibri" w:cs="Calibri"/>
          <w:b/>
          <w:lang w:eastAsia="pl-PL"/>
        </w:rPr>
        <w:tab/>
        <w:t>41 464 936 696,54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Wartości niematerialne i prawne</w:t>
      </w:r>
      <w:r w:rsidRPr="00714AE6">
        <w:rPr>
          <w:rFonts w:ascii="Calibri" w:eastAsia="Times New Roman" w:hAnsi="Calibri" w:cs="Calibri"/>
          <w:lang w:eastAsia="pl-PL"/>
        </w:rPr>
        <w:tab/>
        <w:t>45 177 374,37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Rzeczowe aktywa trwałe:</w:t>
      </w:r>
      <w:r w:rsidRPr="00714AE6">
        <w:rPr>
          <w:rFonts w:ascii="Calibri" w:eastAsia="Times New Roman" w:hAnsi="Calibri" w:cs="Calibri"/>
          <w:lang w:eastAsia="pl-PL"/>
        </w:rPr>
        <w:tab/>
        <w:t>34 886 463 173,06 zł</w:t>
      </w:r>
    </w:p>
    <w:p w:rsidR="00714AE6" w:rsidRPr="00714AE6" w:rsidRDefault="00714AE6" w:rsidP="00BF05CD">
      <w:pPr>
        <w:numPr>
          <w:ilvl w:val="0"/>
          <w:numId w:val="5"/>
        </w:numPr>
        <w:tabs>
          <w:tab w:val="num" w:pos="644"/>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Środki trwałe</w:t>
      </w:r>
      <w:r w:rsidRPr="00714AE6">
        <w:rPr>
          <w:rFonts w:ascii="Calibri" w:eastAsia="Times New Roman" w:hAnsi="Calibri" w:cs="Calibri"/>
          <w:lang w:eastAsia="pl-PL"/>
        </w:rPr>
        <w:tab/>
        <w:t>29 163 435 439,28 zł</w:t>
      </w:r>
    </w:p>
    <w:p w:rsidR="00714AE6" w:rsidRPr="00714AE6" w:rsidRDefault="00714AE6" w:rsidP="00BF05CD">
      <w:pPr>
        <w:numPr>
          <w:ilvl w:val="0"/>
          <w:numId w:val="5"/>
        </w:numPr>
        <w:tabs>
          <w:tab w:val="num" w:pos="644"/>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Środki trwałe w budowie (inwestycje)</w:t>
      </w:r>
      <w:r w:rsidRPr="00714AE6">
        <w:rPr>
          <w:rFonts w:ascii="Calibri" w:eastAsia="Times New Roman" w:hAnsi="Calibri" w:cs="Calibri"/>
          <w:lang w:eastAsia="pl-PL"/>
        </w:rPr>
        <w:tab/>
        <w:t>5 723 027 733,78 zł</w:t>
      </w:r>
    </w:p>
    <w:p w:rsidR="00714AE6" w:rsidRPr="00714AE6" w:rsidRDefault="00714AE6" w:rsidP="00BF05CD">
      <w:pPr>
        <w:numPr>
          <w:ilvl w:val="0"/>
          <w:numId w:val="5"/>
        </w:numPr>
        <w:tabs>
          <w:tab w:val="num" w:pos="644"/>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Zaliczki na środki trwałe w budowie (inwestycje)</w:t>
      </w:r>
      <w:r w:rsidRPr="00714AE6">
        <w:rPr>
          <w:rFonts w:ascii="Calibri" w:eastAsia="Times New Roman" w:hAnsi="Calibri" w:cs="Calibri"/>
          <w:lang w:eastAsia="pl-PL"/>
        </w:rPr>
        <w:tab/>
        <w:t>0,00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Należności długoterminowe</w:t>
      </w:r>
      <w:r w:rsidRPr="00714AE6">
        <w:rPr>
          <w:rFonts w:ascii="Calibri" w:eastAsia="Times New Roman" w:hAnsi="Calibri" w:cs="Calibri"/>
          <w:lang w:eastAsia="pl-PL"/>
        </w:rPr>
        <w:tab/>
        <w:t xml:space="preserve"> 976 151 135,98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 xml:space="preserve">Długoterminowe aktywa finansowe </w:t>
      </w:r>
      <w:r w:rsidRPr="00714AE6">
        <w:rPr>
          <w:rFonts w:ascii="Calibri" w:eastAsia="Times New Roman" w:hAnsi="Calibri" w:cs="Calibri"/>
          <w:lang w:eastAsia="pl-PL"/>
        </w:rPr>
        <w:tab/>
        <w:t>5 557 145 013,13 zł</w:t>
      </w:r>
    </w:p>
    <w:p w:rsidR="00714AE6" w:rsidRPr="00714AE6" w:rsidRDefault="00714AE6" w:rsidP="00714AE6">
      <w:pPr>
        <w:tabs>
          <w:tab w:val="decimal" w:pos="8640"/>
        </w:tabs>
        <w:spacing w:after="240" w:line="300" w:lineRule="auto"/>
        <w:ind w:left="360" w:firstLine="207"/>
        <w:contextualSpacing/>
        <w:rPr>
          <w:rFonts w:ascii="Calibri" w:eastAsia="Times New Roman" w:hAnsi="Calibri" w:cs="Calibri"/>
          <w:lang w:eastAsia="pl-PL"/>
        </w:rPr>
      </w:pPr>
      <w:r w:rsidRPr="00714AE6">
        <w:rPr>
          <w:rFonts w:ascii="Calibri" w:eastAsia="Times New Roman" w:hAnsi="Calibri" w:cs="Calibri"/>
          <w:lang w:eastAsia="pl-PL"/>
        </w:rPr>
        <w:t xml:space="preserve"> z tego: akcje i udziały</w:t>
      </w:r>
      <w:r w:rsidRPr="00714AE6">
        <w:rPr>
          <w:rFonts w:ascii="Calibri" w:eastAsia="Times New Roman" w:hAnsi="Calibri" w:cs="Calibri"/>
          <w:lang w:eastAsia="pl-PL"/>
        </w:rPr>
        <w:tab/>
        <w:t>5 557 145 013,13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Wartość mienia zlikwidowanych jednostek</w:t>
      </w:r>
      <w:r w:rsidRPr="00714AE6">
        <w:rPr>
          <w:rFonts w:ascii="Calibri" w:eastAsia="Times New Roman" w:hAnsi="Calibri" w:cs="Calibri"/>
          <w:lang w:eastAsia="pl-PL"/>
        </w:rPr>
        <w:tab/>
        <w:t>0,00 zł</w:t>
      </w:r>
    </w:p>
    <w:p w:rsidR="00714AE6" w:rsidRPr="00714AE6" w:rsidRDefault="00714AE6" w:rsidP="00714AE6">
      <w:pPr>
        <w:tabs>
          <w:tab w:val="decimal" w:pos="8640"/>
        </w:tabs>
        <w:spacing w:after="240" w:line="300" w:lineRule="auto"/>
        <w:ind w:left="360"/>
        <w:contextualSpacing/>
        <w:rPr>
          <w:rFonts w:ascii="Calibri" w:eastAsia="Times New Roman" w:hAnsi="Calibri" w:cs="Calibri"/>
          <w:b/>
          <w:lang w:eastAsia="pl-PL"/>
        </w:rPr>
      </w:pPr>
      <w:r w:rsidRPr="00714AE6">
        <w:rPr>
          <w:rFonts w:ascii="Calibri" w:eastAsia="Times New Roman" w:hAnsi="Calibri" w:cs="Calibri"/>
          <w:b/>
          <w:lang w:eastAsia="pl-PL"/>
        </w:rPr>
        <w:t>II. Aktywa obrotowe</w:t>
      </w:r>
      <w:r w:rsidRPr="00714AE6">
        <w:rPr>
          <w:rFonts w:ascii="Calibri" w:eastAsia="Times New Roman" w:hAnsi="Calibri" w:cs="Calibri"/>
          <w:b/>
          <w:lang w:eastAsia="pl-PL"/>
        </w:rPr>
        <w:tab/>
        <w:t>1 430 305 615,56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Zapasy</w:t>
      </w:r>
      <w:r w:rsidRPr="00714AE6">
        <w:rPr>
          <w:rFonts w:ascii="Calibri" w:eastAsia="Times New Roman" w:hAnsi="Calibri" w:cs="Calibri"/>
          <w:lang w:eastAsia="pl-PL"/>
        </w:rPr>
        <w:tab/>
      </w:r>
      <w:r w:rsidRPr="00714AE6">
        <w:rPr>
          <w:rFonts w:ascii="Calibri" w:eastAsia="Times New Roman" w:hAnsi="Calibri" w:cs="Calibri"/>
          <w:lang w:eastAsia="pl-PL"/>
        </w:rPr>
        <w:tab/>
        <w:t>33 512 152,50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Należności krótkoterminowe</w:t>
      </w:r>
      <w:r w:rsidRPr="00714AE6">
        <w:rPr>
          <w:rFonts w:ascii="Calibri" w:eastAsia="Times New Roman" w:hAnsi="Calibri" w:cs="Calibri"/>
          <w:lang w:eastAsia="pl-PL"/>
        </w:rPr>
        <w:tab/>
        <w:t>800 525 288,74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Krótkoterminowe aktywa finansowe</w:t>
      </w:r>
      <w:r w:rsidRPr="00714AE6">
        <w:rPr>
          <w:rFonts w:ascii="Calibri" w:eastAsia="Times New Roman" w:hAnsi="Calibri" w:cs="Calibri"/>
          <w:lang w:eastAsia="pl-PL"/>
        </w:rPr>
        <w:tab/>
        <w:t>533 782 783,02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lang w:eastAsia="pl-PL"/>
        </w:rPr>
        <w:t>Rozliczenia międzyokresowe</w:t>
      </w:r>
      <w:r w:rsidRPr="00714AE6">
        <w:rPr>
          <w:rFonts w:ascii="Calibri" w:eastAsia="Times New Roman" w:hAnsi="Calibri" w:cs="Calibri"/>
          <w:lang w:eastAsia="pl-PL"/>
        </w:rPr>
        <w:tab/>
        <w:t>62 485 931,30 zł</w:t>
      </w:r>
    </w:p>
    <w:p w:rsidR="00714AE6" w:rsidRPr="00714AE6" w:rsidRDefault="00714AE6" w:rsidP="00714AE6">
      <w:pPr>
        <w:tabs>
          <w:tab w:val="decimal" w:pos="8640"/>
        </w:tabs>
        <w:spacing w:after="240" w:line="300" w:lineRule="auto"/>
        <w:ind w:left="360"/>
        <w:contextualSpacing/>
        <w:rPr>
          <w:rFonts w:ascii="Calibri" w:eastAsia="Times New Roman" w:hAnsi="Calibri" w:cs="Calibri"/>
          <w:b/>
          <w:lang w:eastAsia="pl-PL"/>
        </w:rPr>
      </w:pPr>
      <w:r w:rsidRPr="00714AE6">
        <w:rPr>
          <w:rFonts w:ascii="Calibri" w:eastAsia="Times New Roman" w:hAnsi="Calibri" w:cs="Calibri"/>
          <w:b/>
          <w:lang w:eastAsia="pl-PL"/>
        </w:rPr>
        <w:t>Pasywa:</w:t>
      </w:r>
    </w:p>
    <w:p w:rsidR="00714AE6" w:rsidRPr="00714AE6" w:rsidRDefault="00714AE6" w:rsidP="00714AE6">
      <w:pPr>
        <w:tabs>
          <w:tab w:val="decimal" w:pos="8640"/>
        </w:tabs>
        <w:spacing w:after="240" w:line="300" w:lineRule="auto"/>
        <w:ind w:left="360"/>
        <w:contextualSpacing/>
        <w:rPr>
          <w:rFonts w:ascii="Calibri" w:eastAsia="Times New Roman" w:hAnsi="Calibri" w:cs="Calibri"/>
          <w:b/>
          <w:lang w:eastAsia="pl-PL"/>
        </w:rPr>
      </w:pPr>
      <w:r w:rsidRPr="00714AE6">
        <w:rPr>
          <w:rFonts w:ascii="Calibri" w:eastAsia="Times New Roman" w:hAnsi="Calibri" w:cs="Calibri"/>
          <w:b/>
          <w:lang w:eastAsia="pl-PL"/>
        </w:rPr>
        <w:t>I. Fundusz</w:t>
      </w:r>
      <w:r w:rsidRPr="00714AE6">
        <w:rPr>
          <w:rFonts w:ascii="Calibri" w:eastAsia="Times New Roman" w:hAnsi="Calibri" w:cs="Calibri"/>
          <w:b/>
          <w:lang w:eastAsia="pl-PL"/>
        </w:rPr>
        <w:tab/>
        <w:t>38 700 617 962,74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Fundusz jednostki</w:t>
      </w:r>
      <w:r w:rsidRPr="00714AE6">
        <w:rPr>
          <w:rFonts w:ascii="Calibri" w:eastAsia="Times New Roman" w:hAnsi="Calibri" w:cs="Calibri"/>
          <w:lang w:eastAsia="pl-PL"/>
        </w:rPr>
        <w:tab/>
        <w:t>34 025 438 157,50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Wynik finansowy netto (zysk)</w:t>
      </w:r>
      <w:r w:rsidRPr="00714AE6">
        <w:rPr>
          <w:rFonts w:ascii="Calibri" w:eastAsia="Times New Roman" w:hAnsi="Calibri" w:cs="Calibri"/>
          <w:lang w:eastAsia="pl-PL"/>
        </w:rPr>
        <w:tab/>
        <w:t>4 681 753 001,24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lastRenderedPageBreak/>
        <w:t>Nadwyżka środków obrotowych</w:t>
      </w:r>
      <w:r w:rsidRPr="00714AE6">
        <w:rPr>
          <w:rFonts w:ascii="Calibri" w:eastAsia="Times New Roman" w:hAnsi="Calibri" w:cs="Calibri"/>
          <w:lang w:eastAsia="pl-PL"/>
        </w:rPr>
        <w:tab/>
        <w:t>- 6 573 196,00 zł</w:t>
      </w:r>
    </w:p>
    <w:p w:rsidR="00714AE6" w:rsidRPr="00714AE6" w:rsidRDefault="00714AE6" w:rsidP="00714AE6">
      <w:pPr>
        <w:tabs>
          <w:tab w:val="decimal" w:pos="8640"/>
        </w:tabs>
        <w:spacing w:after="240" w:line="300" w:lineRule="auto"/>
        <w:ind w:left="360"/>
        <w:contextualSpacing/>
        <w:rPr>
          <w:rFonts w:ascii="Calibri" w:eastAsia="Times New Roman" w:hAnsi="Calibri" w:cs="Calibri"/>
          <w:b/>
          <w:lang w:eastAsia="pl-PL"/>
        </w:rPr>
      </w:pPr>
      <w:r w:rsidRPr="00714AE6">
        <w:rPr>
          <w:rFonts w:ascii="Calibri" w:eastAsia="Times New Roman" w:hAnsi="Calibri" w:cs="Calibri"/>
          <w:b/>
          <w:lang w:eastAsia="pl-PL"/>
        </w:rPr>
        <w:t>II. Państwowe fundusze celowe</w:t>
      </w:r>
      <w:r w:rsidRPr="00714AE6">
        <w:rPr>
          <w:rFonts w:ascii="Calibri" w:eastAsia="Times New Roman" w:hAnsi="Calibri" w:cs="Calibri"/>
          <w:b/>
          <w:lang w:eastAsia="pl-PL"/>
        </w:rPr>
        <w:tab/>
        <w:t>13 923 122,60 zł</w:t>
      </w:r>
    </w:p>
    <w:p w:rsidR="00714AE6" w:rsidRPr="00714AE6" w:rsidRDefault="00714AE6" w:rsidP="00714AE6">
      <w:pPr>
        <w:tabs>
          <w:tab w:val="decimal" w:pos="8640"/>
        </w:tabs>
        <w:spacing w:after="240" w:line="300" w:lineRule="auto"/>
        <w:ind w:left="360"/>
        <w:contextualSpacing/>
        <w:rPr>
          <w:rFonts w:ascii="Calibri" w:eastAsia="Times New Roman" w:hAnsi="Calibri" w:cs="Calibri"/>
          <w:b/>
          <w:lang w:eastAsia="pl-PL"/>
        </w:rPr>
      </w:pPr>
      <w:r w:rsidRPr="00714AE6">
        <w:rPr>
          <w:rFonts w:ascii="Calibri" w:eastAsia="Times New Roman" w:hAnsi="Calibri" w:cs="Calibri"/>
          <w:b/>
          <w:lang w:eastAsia="pl-PL"/>
        </w:rPr>
        <w:t>III. Zobowiązania i rezerwy na zobowiązania</w:t>
      </w:r>
      <w:r w:rsidRPr="00714AE6">
        <w:rPr>
          <w:rFonts w:ascii="Calibri" w:eastAsia="Times New Roman" w:hAnsi="Calibri" w:cs="Calibri"/>
          <w:b/>
          <w:lang w:eastAsia="pl-PL"/>
        </w:rPr>
        <w:tab/>
        <w:t>4 180 701 226,76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Zobowiązania długoterminowe</w:t>
      </w:r>
      <w:r w:rsidRPr="00714AE6">
        <w:rPr>
          <w:rFonts w:ascii="Calibri" w:eastAsia="Times New Roman" w:hAnsi="Calibri" w:cs="Calibri"/>
          <w:lang w:eastAsia="pl-PL"/>
        </w:rPr>
        <w:tab/>
        <w:t>9 162 813,90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Zobowiązania krótkoterminowe</w:t>
      </w:r>
      <w:r w:rsidRPr="00714AE6">
        <w:rPr>
          <w:rFonts w:ascii="Calibri" w:eastAsia="Times New Roman" w:hAnsi="Calibri" w:cs="Calibri"/>
          <w:lang w:eastAsia="pl-PL"/>
        </w:rPr>
        <w:tab/>
        <w:t>1 876 839 361,38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Rezerwy na zobowiązania</w:t>
      </w:r>
      <w:r w:rsidRPr="00714AE6">
        <w:rPr>
          <w:rFonts w:ascii="Calibri" w:eastAsia="Times New Roman" w:hAnsi="Calibri" w:cs="Calibri"/>
          <w:lang w:eastAsia="pl-PL"/>
        </w:rPr>
        <w:tab/>
        <w:t>1 995 137 077,18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Rozliczenia międzyokresowe</w:t>
      </w:r>
      <w:r w:rsidRPr="00714AE6">
        <w:rPr>
          <w:rFonts w:ascii="Calibri" w:eastAsia="Times New Roman" w:hAnsi="Calibri" w:cs="Calibri"/>
          <w:lang w:eastAsia="pl-PL"/>
        </w:rPr>
        <w:tab/>
        <w:t>299 561 974,30 zł</w:t>
      </w:r>
    </w:p>
    <w:p w:rsidR="00714AE6" w:rsidRPr="00714AE6" w:rsidRDefault="00714AE6" w:rsidP="00714AE6">
      <w:pPr>
        <w:tabs>
          <w:tab w:val="decimal" w:pos="8640"/>
        </w:tabs>
        <w:spacing w:after="240" w:line="300" w:lineRule="auto"/>
        <w:ind w:left="363" w:hanging="363"/>
        <w:contextualSpacing/>
        <w:rPr>
          <w:rFonts w:ascii="Calibri" w:eastAsia="Times New Roman" w:hAnsi="Calibri" w:cs="Calibri"/>
          <w:b/>
          <w:lang w:eastAsia="pl-PL"/>
        </w:rPr>
      </w:pPr>
      <w:r w:rsidRPr="00714AE6">
        <w:rPr>
          <w:rFonts w:ascii="Calibri" w:eastAsia="Times New Roman" w:hAnsi="Calibri" w:cs="Calibri"/>
          <w:b/>
          <w:lang w:eastAsia="pl-PL"/>
        </w:rPr>
        <w:t>3. Łączny rachunek zysków i strat, który zawiera:</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 xml:space="preserve">Przychody netto z podstawowej działalności operacyjnej </w:t>
      </w:r>
      <w:r w:rsidRPr="00714AE6">
        <w:rPr>
          <w:rFonts w:ascii="Calibri" w:eastAsia="Times New Roman" w:hAnsi="Calibri" w:cs="Calibri"/>
          <w:lang w:eastAsia="pl-PL"/>
        </w:rPr>
        <w:tab/>
        <w:t>21 355 669 447,12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Koszty działalności operacyjnej</w:t>
      </w:r>
      <w:r w:rsidRPr="00714AE6">
        <w:rPr>
          <w:rFonts w:ascii="Calibri" w:eastAsia="Times New Roman" w:hAnsi="Calibri" w:cs="Calibri"/>
          <w:lang w:eastAsia="pl-PL"/>
        </w:rPr>
        <w:tab/>
        <w:t>16 364 691 490,21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b/>
          <w:lang w:eastAsia="pl-PL"/>
        </w:rPr>
        <w:t>Zysk z działalności podstawowej</w:t>
      </w:r>
      <w:r w:rsidRPr="00714AE6">
        <w:rPr>
          <w:rFonts w:ascii="Calibri" w:eastAsia="Times New Roman" w:hAnsi="Calibri" w:cs="Calibri"/>
          <w:lang w:eastAsia="pl-PL"/>
        </w:rPr>
        <w:tab/>
      </w:r>
      <w:r w:rsidRPr="00714AE6">
        <w:rPr>
          <w:rFonts w:ascii="Calibri" w:eastAsia="Times New Roman" w:hAnsi="Calibri" w:cs="Calibri"/>
          <w:b/>
          <w:lang w:eastAsia="pl-PL"/>
        </w:rPr>
        <w:t>4 990 977 956,91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Pozostałe przychody operacyjne</w:t>
      </w:r>
      <w:r w:rsidRPr="00714AE6">
        <w:rPr>
          <w:rFonts w:ascii="Calibri" w:eastAsia="Times New Roman" w:hAnsi="Calibri" w:cs="Calibri"/>
          <w:lang w:eastAsia="pl-PL"/>
        </w:rPr>
        <w:tab/>
        <w:t>1 041 534 127,89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b/>
          <w:lang w:eastAsia="pl-PL"/>
        </w:rPr>
      </w:pPr>
      <w:r w:rsidRPr="00714AE6">
        <w:rPr>
          <w:rFonts w:ascii="Calibri" w:eastAsia="Times New Roman" w:hAnsi="Calibri" w:cs="Calibri"/>
          <w:lang w:eastAsia="pl-PL"/>
        </w:rPr>
        <w:t>Pozostałe koszty operacyjne</w:t>
      </w:r>
      <w:r w:rsidRPr="00714AE6">
        <w:rPr>
          <w:rFonts w:ascii="Calibri" w:eastAsia="Times New Roman" w:hAnsi="Calibri" w:cs="Calibri"/>
          <w:lang w:eastAsia="pl-PL"/>
        </w:rPr>
        <w:tab/>
        <w:t>1 035 430 389,28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b/>
          <w:lang w:eastAsia="pl-PL"/>
        </w:rPr>
        <w:t>Zysk z działalności operacyjnej</w:t>
      </w:r>
      <w:r w:rsidRPr="00714AE6">
        <w:rPr>
          <w:rFonts w:ascii="Calibri" w:eastAsia="Times New Roman" w:hAnsi="Calibri" w:cs="Calibri"/>
          <w:lang w:eastAsia="pl-PL"/>
        </w:rPr>
        <w:tab/>
      </w:r>
      <w:r w:rsidRPr="00714AE6">
        <w:rPr>
          <w:rFonts w:ascii="Calibri" w:eastAsia="Times New Roman" w:hAnsi="Calibri" w:cs="Calibri"/>
          <w:b/>
          <w:lang w:eastAsia="pl-PL"/>
        </w:rPr>
        <w:t>4 997 081 695,52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Przychody finansowe</w:t>
      </w:r>
      <w:r w:rsidRPr="00714AE6">
        <w:rPr>
          <w:rFonts w:ascii="Calibri" w:eastAsia="Times New Roman" w:hAnsi="Calibri" w:cs="Calibri"/>
          <w:lang w:eastAsia="pl-PL"/>
        </w:rPr>
        <w:tab/>
        <w:t>763 466 872,04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Koszty finansowe</w:t>
      </w:r>
      <w:r w:rsidRPr="00714AE6">
        <w:rPr>
          <w:rFonts w:ascii="Calibri" w:eastAsia="Times New Roman" w:hAnsi="Calibri" w:cs="Calibri"/>
          <w:lang w:eastAsia="pl-PL"/>
        </w:rPr>
        <w:tab/>
        <w:t>1 059 480 383,39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b/>
          <w:lang w:eastAsia="pl-PL"/>
        </w:rPr>
        <w:t>Zysk brutto</w:t>
      </w:r>
      <w:r w:rsidRPr="00714AE6">
        <w:rPr>
          <w:rFonts w:ascii="Calibri" w:eastAsia="Times New Roman" w:hAnsi="Calibri" w:cs="Calibri"/>
          <w:lang w:eastAsia="pl-PL"/>
        </w:rPr>
        <w:tab/>
      </w:r>
      <w:r w:rsidRPr="00714AE6">
        <w:rPr>
          <w:rFonts w:ascii="Calibri" w:eastAsia="Times New Roman" w:hAnsi="Calibri" w:cs="Calibri"/>
          <w:b/>
          <w:lang w:eastAsia="pl-PL"/>
        </w:rPr>
        <w:t>4 701 068 184,17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Podatek dochodowy</w:t>
      </w:r>
      <w:r w:rsidRPr="00714AE6">
        <w:rPr>
          <w:rFonts w:ascii="Calibri" w:eastAsia="Times New Roman" w:hAnsi="Calibri" w:cs="Calibri"/>
          <w:lang w:eastAsia="pl-PL"/>
        </w:rPr>
        <w:tab/>
        <w:t xml:space="preserve"> 893 768,00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b/>
          <w:lang w:eastAsia="pl-PL"/>
        </w:rPr>
        <w:t>Zysk netto</w:t>
      </w:r>
      <w:r w:rsidRPr="00714AE6">
        <w:rPr>
          <w:rFonts w:ascii="Calibri" w:eastAsia="Times New Roman" w:hAnsi="Calibri" w:cs="Calibri"/>
          <w:lang w:eastAsia="pl-PL"/>
        </w:rPr>
        <w:tab/>
      </w:r>
      <w:r w:rsidRPr="00714AE6">
        <w:rPr>
          <w:rFonts w:ascii="Calibri" w:eastAsia="Times New Roman" w:hAnsi="Calibri" w:cs="Calibri"/>
          <w:b/>
          <w:lang w:eastAsia="pl-PL"/>
        </w:rPr>
        <w:t>4 681 753 001,24 zł</w:t>
      </w:r>
    </w:p>
    <w:p w:rsidR="00714AE6" w:rsidRPr="00714AE6" w:rsidRDefault="00714AE6" w:rsidP="00714AE6">
      <w:pPr>
        <w:tabs>
          <w:tab w:val="decimal" w:pos="8640"/>
        </w:tabs>
        <w:spacing w:after="240" w:line="300" w:lineRule="auto"/>
        <w:ind w:left="539" w:hanging="539"/>
        <w:contextualSpacing/>
        <w:rPr>
          <w:rFonts w:ascii="Calibri" w:eastAsia="Times New Roman" w:hAnsi="Calibri" w:cs="Calibri"/>
          <w:b/>
          <w:lang w:eastAsia="pl-PL"/>
        </w:rPr>
      </w:pPr>
      <w:r w:rsidRPr="00714AE6">
        <w:rPr>
          <w:rFonts w:ascii="Calibri" w:eastAsia="Times New Roman" w:hAnsi="Calibri" w:cs="Calibri"/>
          <w:b/>
          <w:lang w:eastAsia="pl-PL"/>
        </w:rPr>
        <w:t>4. Zestawienie zmian w łącznym funduszu jednostki, które zawiera:</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b/>
          <w:lang w:eastAsia="pl-PL"/>
        </w:rPr>
        <w:t>Fundusz jednostki na 01.01.2022 r.</w:t>
      </w:r>
      <w:r w:rsidRPr="00714AE6">
        <w:rPr>
          <w:rFonts w:ascii="Calibri" w:eastAsia="Times New Roman" w:hAnsi="Calibri" w:cs="Calibri"/>
          <w:lang w:eastAsia="pl-PL"/>
        </w:rPr>
        <w:tab/>
      </w:r>
      <w:r w:rsidRPr="00714AE6">
        <w:rPr>
          <w:rFonts w:ascii="Calibri" w:eastAsia="Times New Roman" w:hAnsi="Calibri" w:cs="Calibri"/>
          <w:b/>
          <w:lang w:eastAsia="pl-PL"/>
        </w:rPr>
        <w:t>33 381 687 870,34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Zwiększenia funduszu jednostki</w:t>
      </w:r>
      <w:r w:rsidRPr="00714AE6">
        <w:rPr>
          <w:rFonts w:ascii="Calibri" w:eastAsia="Times New Roman" w:hAnsi="Calibri" w:cs="Calibri"/>
          <w:lang w:eastAsia="pl-PL"/>
        </w:rPr>
        <w:tab/>
        <w:t>40 986 655 936,99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Zmniejszenia funduszu jednostki</w:t>
      </w:r>
      <w:r w:rsidRPr="00714AE6">
        <w:rPr>
          <w:rFonts w:ascii="Calibri" w:eastAsia="Times New Roman" w:hAnsi="Calibri" w:cs="Calibri"/>
          <w:lang w:eastAsia="pl-PL"/>
        </w:rPr>
        <w:tab/>
        <w:t>40 342 905 649,83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Fundusz jednostki na 31.12.2022 r.</w:t>
      </w:r>
      <w:r w:rsidRPr="00714AE6">
        <w:rPr>
          <w:rFonts w:ascii="Calibri" w:eastAsia="Times New Roman" w:hAnsi="Calibri" w:cs="Calibri"/>
          <w:lang w:eastAsia="pl-PL"/>
        </w:rPr>
        <w:tab/>
        <w:t>34 025 438 157,50 zł</w:t>
      </w:r>
    </w:p>
    <w:p w:rsidR="00714AE6" w:rsidRPr="00714AE6" w:rsidRDefault="00714AE6" w:rsidP="00BF05CD">
      <w:pPr>
        <w:numPr>
          <w:ilvl w:val="0"/>
          <w:numId w:val="5"/>
        </w:numPr>
        <w:tabs>
          <w:tab w:val="num" w:pos="644"/>
          <w:tab w:val="num" w:pos="720"/>
          <w:tab w:val="decimal" w:pos="8640"/>
        </w:tabs>
        <w:spacing w:after="240" w:line="300" w:lineRule="auto"/>
        <w:ind w:left="720"/>
        <w:contextualSpacing/>
        <w:rPr>
          <w:rFonts w:ascii="Calibri" w:eastAsia="Times New Roman" w:hAnsi="Calibri" w:cs="Calibri"/>
          <w:lang w:eastAsia="pl-PL"/>
        </w:rPr>
      </w:pPr>
      <w:r w:rsidRPr="00714AE6">
        <w:rPr>
          <w:rFonts w:ascii="Calibri" w:eastAsia="Times New Roman" w:hAnsi="Calibri" w:cs="Calibri"/>
          <w:lang w:eastAsia="pl-PL"/>
        </w:rPr>
        <w:t>Wynik finansowy netto (zysk) za 2022 r.</w:t>
      </w:r>
      <w:r w:rsidRPr="00714AE6">
        <w:rPr>
          <w:rFonts w:ascii="Calibri" w:eastAsia="Times New Roman" w:hAnsi="Calibri" w:cs="Calibri"/>
          <w:lang w:eastAsia="pl-PL"/>
        </w:rPr>
        <w:tab/>
        <w:t>4 675 179 805,24 zł</w:t>
      </w:r>
    </w:p>
    <w:p w:rsidR="00714AE6" w:rsidRPr="00714AE6" w:rsidRDefault="00714AE6" w:rsidP="00714AE6">
      <w:pPr>
        <w:tabs>
          <w:tab w:val="num" w:pos="1353"/>
          <w:tab w:val="decimal" w:pos="8640"/>
        </w:tabs>
        <w:spacing w:after="240" w:line="300" w:lineRule="auto"/>
        <w:ind w:left="360"/>
        <w:contextualSpacing/>
        <w:rPr>
          <w:rFonts w:ascii="Calibri" w:eastAsia="Times New Roman" w:hAnsi="Calibri" w:cs="Calibri"/>
          <w:lang w:eastAsia="pl-PL"/>
        </w:rPr>
      </w:pPr>
      <w:r w:rsidRPr="00714AE6">
        <w:rPr>
          <w:rFonts w:ascii="Calibri" w:eastAsia="Times New Roman" w:hAnsi="Calibri" w:cs="Calibri"/>
          <w:lang w:eastAsia="pl-PL"/>
        </w:rPr>
        <w:t>z tego: nadwyżka środków obrotowych samorządowych zakładów budżetowych</w:t>
      </w:r>
      <w:r w:rsidRPr="00714AE6">
        <w:rPr>
          <w:rFonts w:ascii="Calibri" w:eastAsia="Times New Roman" w:hAnsi="Calibri" w:cs="Calibri"/>
          <w:lang w:eastAsia="pl-PL"/>
        </w:rPr>
        <w:tab/>
        <w:t>- 6 573 196,00 zł</w:t>
      </w:r>
    </w:p>
    <w:p w:rsidR="00714AE6" w:rsidRPr="00714AE6" w:rsidRDefault="00714AE6" w:rsidP="00BF05CD">
      <w:pPr>
        <w:numPr>
          <w:ilvl w:val="0"/>
          <w:numId w:val="5"/>
        </w:numPr>
        <w:tabs>
          <w:tab w:val="num" w:pos="644"/>
          <w:tab w:val="num" w:pos="720"/>
          <w:tab w:val="decimal" w:pos="8640"/>
        </w:tabs>
        <w:spacing w:after="240" w:line="300" w:lineRule="auto"/>
        <w:ind w:left="714" w:hanging="357"/>
        <w:contextualSpacing/>
        <w:rPr>
          <w:rFonts w:ascii="Calibri" w:eastAsia="Times New Roman" w:hAnsi="Calibri" w:cs="Calibri"/>
          <w:lang w:eastAsia="pl-PL"/>
        </w:rPr>
      </w:pPr>
      <w:r w:rsidRPr="00714AE6">
        <w:rPr>
          <w:rFonts w:ascii="Calibri" w:eastAsia="Times New Roman" w:hAnsi="Calibri" w:cs="Calibri"/>
          <w:b/>
          <w:lang w:eastAsia="pl-PL"/>
        </w:rPr>
        <w:t>Fundusz na 31.12.2022 r.</w:t>
      </w:r>
      <w:r w:rsidRPr="00714AE6">
        <w:rPr>
          <w:rFonts w:ascii="Calibri" w:eastAsia="Times New Roman" w:hAnsi="Calibri" w:cs="Calibri"/>
          <w:lang w:eastAsia="pl-PL"/>
        </w:rPr>
        <w:tab/>
      </w:r>
      <w:r w:rsidRPr="00714AE6">
        <w:rPr>
          <w:rFonts w:ascii="Calibri" w:eastAsia="Times New Roman" w:hAnsi="Calibri" w:cs="Calibri"/>
          <w:b/>
          <w:lang w:eastAsia="pl-PL"/>
        </w:rPr>
        <w:t>38 700 617 962,74 zł</w:t>
      </w:r>
    </w:p>
    <w:p w:rsidR="00714AE6" w:rsidRPr="00714AE6" w:rsidRDefault="00714AE6" w:rsidP="00BF05CD">
      <w:pPr>
        <w:numPr>
          <w:ilvl w:val="0"/>
          <w:numId w:val="13"/>
        </w:numPr>
        <w:spacing w:after="240" w:line="300" w:lineRule="auto"/>
        <w:ind w:left="284" w:hanging="284"/>
        <w:contextualSpacing/>
        <w:rPr>
          <w:rFonts w:ascii="Calibri" w:eastAsia="Times New Roman" w:hAnsi="Calibri" w:cs="Calibri"/>
          <w:lang w:eastAsia="pl-PL"/>
        </w:rPr>
      </w:pPr>
      <w:r w:rsidRPr="00714AE6">
        <w:rPr>
          <w:rFonts w:ascii="Calibri" w:eastAsia="Times New Roman" w:hAnsi="Calibri" w:cs="Calibri"/>
          <w:b/>
          <w:lang w:eastAsia="pl-PL"/>
        </w:rPr>
        <w:t>Informację dodatkową obejmującą:</w:t>
      </w:r>
    </w:p>
    <w:p w:rsidR="00714AE6" w:rsidRPr="00714AE6" w:rsidRDefault="00714AE6" w:rsidP="00BF05CD">
      <w:pPr>
        <w:numPr>
          <w:ilvl w:val="0"/>
          <w:numId w:val="15"/>
        </w:numPr>
        <w:spacing w:after="240" w:line="300" w:lineRule="auto"/>
        <w:contextualSpacing/>
        <w:rPr>
          <w:rFonts w:ascii="Calibri" w:eastAsia="Times New Roman" w:hAnsi="Calibri" w:cs="Calibri"/>
          <w:b/>
          <w:lang w:eastAsia="pl-PL"/>
        </w:rPr>
      </w:pPr>
      <w:r w:rsidRPr="00714AE6">
        <w:rPr>
          <w:rFonts w:ascii="Calibri" w:eastAsia="Times New Roman" w:hAnsi="Calibri" w:cs="Calibri"/>
          <w:b/>
          <w:lang w:eastAsia="pl-PL"/>
        </w:rPr>
        <w:t>Wprowadzenie do sprawozdania finansowego, które zawiera:</w:t>
      </w:r>
    </w:p>
    <w:p w:rsidR="00714AE6" w:rsidRPr="00714AE6" w:rsidRDefault="00714AE6" w:rsidP="00BF05CD">
      <w:pPr>
        <w:numPr>
          <w:ilvl w:val="0"/>
          <w:numId w:val="7"/>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podstawowe informacje o mieście stołecznym Warszawie,</w:t>
      </w:r>
    </w:p>
    <w:p w:rsidR="00714AE6" w:rsidRPr="00714AE6" w:rsidRDefault="00714AE6" w:rsidP="00BF05CD">
      <w:pPr>
        <w:numPr>
          <w:ilvl w:val="0"/>
          <w:numId w:val="7"/>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omówienie ważniejszych zasad rachunkowości stosowanych przez m.st. Warszawę,</w:t>
      </w:r>
    </w:p>
    <w:p w:rsidR="00714AE6" w:rsidRPr="00714AE6" w:rsidRDefault="00714AE6" w:rsidP="00BF05CD">
      <w:pPr>
        <w:numPr>
          <w:ilvl w:val="0"/>
          <w:numId w:val="7"/>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podstawy prawne sporządzenia sprawozdania finansowego,</w:t>
      </w:r>
    </w:p>
    <w:p w:rsidR="00714AE6" w:rsidRPr="00714AE6" w:rsidRDefault="00714AE6" w:rsidP="00BF05CD">
      <w:pPr>
        <w:numPr>
          <w:ilvl w:val="0"/>
          <w:numId w:val="7"/>
        </w:num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ocenę stanu kontroli zarządczej,</w:t>
      </w:r>
    </w:p>
    <w:p w:rsidR="00714AE6" w:rsidRPr="00714AE6" w:rsidRDefault="00714AE6" w:rsidP="00BF05CD">
      <w:pPr>
        <w:numPr>
          <w:ilvl w:val="0"/>
          <w:numId w:val="7"/>
        </w:numPr>
        <w:spacing w:after="240" w:line="300" w:lineRule="auto"/>
        <w:ind w:left="1066" w:hanging="357"/>
        <w:contextualSpacing/>
        <w:rPr>
          <w:rFonts w:ascii="Calibri" w:eastAsia="Times New Roman" w:hAnsi="Calibri" w:cs="Calibri"/>
          <w:lang w:eastAsia="pl-PL"/>
        </w:rPr>
      </w:pPr>
      <w:r w:rsidRPr="00714AE6">
        <w:rPr>
          <w:rFonts w:ascii="Calibri" w:eastAsia="Times New Roman" w:hAnsi="Calibri" w:cs="Calibri"/>
          <w:lang w:eastAsia="pl-PL"/>
        </w:rPr>
        <w:t>ogólne zasady zarządzania ryzykiem,</w:t>
      </w:r>
    </w:p>
    <w:p w:rsidR="00714AE6" w:rsidRPr="00714AE6" w:rsidRDefault="00714AE6" w:rsidP="00BF05CD">
      <w:pPr>
        <w:numPr>
          <w:ilvl w:val="0"/>
          <w:numId w:val="15"/>
        </w:numPr>
        <w:spacing w:after="240" w:line="300" w:lineRule="auto"/>
        <w:ind w:left="714" w:hanging="357"/>
        <w:contextualSpacing/>
        <w:rPr>
          <w:rFonts w:ascii="Calibri" w:eastAsia="Times New Roman" w:hAnsi="Calibri" w:cs="Calibri"/>
          <w:b/>
          <w:lang w:eastAsia="pl-PL"/>
        </w:rPr>
      </w:pPr>
      <w:r w:rsidRPr="00714AE6">
        <w:rPr>
          <w:rFonts w:ascii="Calibri" w:eastAsia="Times New Roman" w:hAnsi="Calibri" w:cs="Calibri"/>
          <w:b/>
          <w:lang w:eastAsia="pl-PL"/>
        </w:rPr>
        <w:t>Dodatkowe informacje i objaśnienia do sprawozdania finansowego</w:t>
      </w:r>
      <w:r w:rsidRPr="00714AE6">
        <w:rPr>
          <w:rFonts w:ascii="Calibri" w:eastAsia="Times New Roman" w:hAnsi="Calibri" w:cs="Calibri"/>
          <w:lang w:eastAsia="pl-PL"/>
        </w:rPr>
        <w:t>, które stanowią dodatkowe informacje i objaśnienia do pozycji bilansu z wykonania budżetu, łącznego bilansu, łącznego rachunku zysków i strat oraz zawierają inne istotne informacje dla objaśnienia sprawozdania finansowego m.st. Warszawy za 2022 r. Ponadto zawierają one wykaz jednostek budżetowych i samorządowych zakładów budżetowych, których jednostkowe sprawozdania finansowe wchodzą w skład sprawozdania finansowego m.st. Warszawy na 31.12.2022 r.</w:t>
      </w:r>
    </w:p>
    <w:p w:rsidR="00714AE6" w:rsidRPr="00714AE6" w:rsidRDefault="00714AE6" w:rsidP="00714AE6">
      <w:p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lastRenderedPageBreak/>
        <w:t>Biegły Rewident w dniu 12.05.2023 r. wydał „Sprawozdanie niezależnego biegłego rewidenta z badania rocznego sprawozdania finansowego za okres od 1 stycznia 2022 r. do 31 grudnia 2022 r. jednostki: Miasto Stołeczne Warszawa”.</w:t>
      </w:r>
    </w:p>
    <w:p w:rsidR="00714AE6" w:rsidRPr="00714AE6" w:rsidRDefault="00714AE6" w:rsidP="00714AE6">
      <w:p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Komisja Rewizyjna stwierdza, że przedłożone dokumenty przedstawiają rzetelne i jasne informacje istotne dla oceny sytuacji majątkowej i finansowej m.st. Warszawy na dzień 31.12.2022 r., jak też jego wyniku finansowego za rok obrotowy od 1.01.2022 r. do 31.12.2022 r.</w:t>
      </w:r>
    </w:p>
    <w:p w:rsidR="00714AE6" w:rsidRPr="00714AE6" w:rsidRDefault="00714AE6" w:rsidP="00714AE6">
      <w:p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Sprawozdania sporządzone zostały zgodnie z określonymi zasadami (politykami) rachunkowości oraz na podstawie prawidłowo prowadzonych ksiąg rachunkowych.</w:t>
      </w:r>
    </w:p>
    <w:p w:rsidR="00714AE6" w:rsidRPr="00714AE6" w:rsidRDefault="00714AE6" w:rsidP="00714AE6">
      <w:pPr>
        <w:spacing w:after="240" w:line="300" w:lineRule="auto"/>
        <w:contextualSpacing/>
        <w:rPr>
          <w:rFonts w:ascii="Calibri" w:eastAsia="Times New Roman" w:hAnsi="Calibri" w:cs="Calibri"/>
          <w:lang w:eastAsia="pl-PL"/>
        </w:rPr>
      </w:pPr>
      <w:r w:rsidRPr="00714AE6">
        <w:rPr>
          <w:rFonts w:ascii="Calibri" w:eastAsia="Times New Roman" w:hAnsi="Calibri" w:cs="Calibri"/>
          <w:lang w:eastAsia="pl-PL"/>
        </w:rPr>
        <w:t>Są zgodne z wpływającymi na treść sprawozdania finansowego przepisami prawa i statutu m.st. Warszawy.</w:t>
      </w:r>
    </w:p>
    <w:p w:rsidR="00714AE6" w:rsidRPr="00714AE6" w:rsidRDefault="00714AE6" w:rsidP="00714AE6">
      <w:pPr>
        <w:spacing w:after="240" w:line="300" w:lineRule="auto"/>
        <w:ind w:firstLine="357"/>
        <w:contextualSpacing/>
        <w:rPr>
          <w:rFonts w:ascii="Calibri" w:eastAsia="Times New Roman" w:hAnsi="Calibri" w:cs="Calibri"/>
          <w:b/>
          <w:lang w:eastAsia="pl-PL"/>
        </w:rPr>
      </w:pPr>
      <w:r w:rsidRPr="00714AE6">
        <w:rPr>
          <w:rFonts w:ascii="Calibri" w:eastAsia="Times New Roman" w:hAnsi="Calibri" w:cs="Calibri"/>
          <w:b/>
          <w:lang w:eastAsia="pl-PL"/>
        </w:rPr>
        <w:t>Komisja Rewizyjna rekomenduje Radzie m.st. Warszawy przyjęcie i zatwierdzenie „Sprawozdania finansowego m.st. Warszawy za 2022 rok” wraz ze „Sprawozdaniem z wykonania budżetu za 2022 rok”.</w:t>
      </w:r>
    </w:p>
    <w:p w:rsidR="00102B77" w:rsidRPr="00102B77" w:rsidRDefault="00714AE6" w:rsidP="00714AE6">
      <w:pPr>
        <w:spacing w:after="240" w:line="300" w:lineRule="auto"/>
        <w:ind w:firstLine="357"/>
        <w:rPr>
          <w:rFonts w:ascii="Calibri" w:eastAsia="Times New Roman" w:hAnsi="Calibri" w:cs="Calibri"/>
          <w:b/>
          <w:lang w:eastAsia="pl-PL"/>
        </w:rPr>
      </w:pPr>
      <w:r w:rsidRPr="00714AE6">
        <w:rPr>
          <w:rFonts w:ascii="Calibri" w:eastAsia="Times New Roman" w:hAnsi="Calibri" w:cs="Calibri"/>
          <w:b/>
          <w:lang w:eastAsia="pl-PL"/>
        </w:rPr>
        <w:t>Komisja Rewizyjna wnioskuje o udzielenie absolutorium Prezydentowi m.st. Warszawy za 2022 rok.</w:t>
      </w:r>
      <w:r>
        <w:rPr>
          <w:rFonts w:ascii="Calibri" w:eastAsia="Times New Roman" w:hAnsi="Calibri" w:cs="Calibri"/>
          <w:b/>
          <w:lang w:eastAsia="pl-PL"/>
        </w:rPr>
        <w:t>”</w:t>
      </w:r>
    </w:p>
    <w:p w:rsidR="00234667" w:rsidRPr="002E5BAC" w:rsidRDefault="00234667" w:rsidP="00234667">
      <w:pPr>
        <w:pStyle w:val="Bezodstpw"/>
        <w:spacing w:after="240" w:line="300" w:lineRule="auto"/>
        <w:rPr>
          <w:b/>
          <w:lang w:eastAsia="pl-PL"/>
        </w:rPr>
      </w:pPr>
      <w:r>
        <w:rPr>
          <w:b/>
          <w:lang w:eastAsia="pl-PL"/>
        </w:rPr>
        <w:t>Przewodnic</w:t>
      </w:r>
      <w:r w:rsidR="00474287">
        <w:rPr>
          <w:b/>
          <w:lang w:eastAsia="pl-PL"/>
        </w:rPr>
        <w:t>ząc</w:t>
      </w:r>
      <w:r>
        <w:rPr>
          <w:b/>
          <w:lang w:eastAsia="pl-PL"/>
        </w:rPr>
        <w:t xml:space="preserve">y Komisji Maciej Wyszyński </w:t>
      </w:r>
      <w:r w:rsidRPr="00234667">
        <w:rPr>
          <w:lang w:eastAsia="pl-PL"/>
        </w:rPr>
        <w:t>poddał pod głosowanie wniosek w sprawie udzi</w:t>
      </w:r>
      <w:r>
        <w:rPr>
          <w:lang w:eastAsia="pl-PL"/>
        </w:rPr>
        <w:t>elenia</w:t>
      </w:r>
      <w:r w:rsidRPr="00234667">
        <w:rPr>
          <w:lang w:eastAsia="pl-PL"/>
        </w:rPr>
        <w:t xml:space="preserve"> absolutorium Pre</w:t>
      </w:r>
      <w:r w:rsidR="00E1054C">
        <w:rPr>
          <w:lang w:eastAsia="pl-PL"/>
        </w:rPr>
        <w:t>zydentowi m.st. Warszawy za 2022</w:t>
      </w:r>
      <w:r w:rsidRPr="00234667">
        <w:rPr>
          <w:lang w:eastAsia="pl-PL"/>
        </w:rPr>
        <w:t xml:space="preserve"> rok</w:t>
      </w:r>
      <w:r w:rsidR="006B2C69">
        <w:rPr>
          <w:b/>
          <w:lang w:eastAsia="pl-PL"/>
        </w:rPr>
        <w:t>.</w:t>
      </w:r>
    </w:p>
    <w:p w:rsidR="007A50F5" w:rsidRPr="002E5BAC" w:rsidRDefault="007A50F5" w:rsidP="00234667">
      <w:pPr>
        <w:pStyle w:val="Bezodstpw"/>
        <w:spacing w:after="120"/>
        <w:rPr>
          <w:rFonts w:cstheme="minorHAnsi"/>
          <w:b/>
          <w:lang w:eastAsia="pl-PL"/>
        </w:rPr>
      </w:pPr>
      <w:r w:rsidRPr="002E5BAC">
        <w:rPr>
          <w:rFonts w:cstheme="minorHAnsi"/>
          <w:b/>
          <w:lang w:eastAsia="pl-PL"/>
        </w:rPr>
        <w:t>GŁOSOWANIE:</w:t>
      </w:r>
    </w:p>
    <w:p w:rsidR="007A50F5" w:rsidRPr="00387F17" w:rsidRDefault="007A50F5" w:rsidP="00EB61E0">
      <w:pPr>
        <w:spacing w:after="0" w:line="300" w:lineRule="auto"/>
        <w:rPr>
          <w:rFonts w:eastAsia="Times New Roman" w:cstheme="minorHAnsi"/>
          <w:lang w:eastAsia="pl-PL"/>
        </w:rPr>
      </w:pPr>
      <w:r>
        <w:rPr>
          <w:rFonts w:eastAsia="Times New Roman" w:cstheme="minorHAnsi"/>
          <w:lang w:eastAsia="pl-PL"/>
        </w:rPr>
        <w:t>Za – 5</w:t>
      </w:r>
    </w:p>
    <w:p w:rsidR="007A50F5" w:rsidRPr="00387F17" w:rsidRDefault="007A50F5" w:rsidP="00EB61E0">
      <w:pPr>
        <w:spacing w:after="0" w:line="300" w:lineRule="auto"/>
        <w:rPr>
          <w:rFonts w:eastAsia="Times New Roman" w:cstheme="minorHAnsi"/>
          <w:lang w:eastAsia="pl-PL"/>
        </w:rPr>
      </w:pPr>
      <w:r>
        <w:rPr>
          <w:rFonts w:eastAsia="Times New Roman" w:cstheme="minorHAnsi"/>
          <w:lang w:eastAsia="pl-PL"/>
        </w:rPr>
        <w:t>Przeciw</w:t>
      </w:r>
      <w:r w:rsidR="00E1054C">
        <w:rPr>
          <w:rFonts w:eastAsia="Times New Roman" w:cstheme="minorHAnsi"/>
          <w:lang w:eastAsia="pl-PL"/>
        </w:rPr>
        <w:t xml:space="preserve"> – 0</w:t>
      </w:r>
    </w:p>
    <w:p w:rsidR="007A50F5" w:rsidRPr="00387F17" w:rsidRDefault="007A50F5" w:rsidP="00234667">
      <w:pPr>
        <w:spacing w:after="120" w:line="300" w:lineRule="auto"/>
        <w:rPr>
          <w:rFonts w:eastAsia="Times New Roman" w:cstheme="minorHAnsi"/>
          <w:lang w:eastAsia="pl-PL"/>
        </w:rPr>
      </w:pPr>
      <w:r w:rsidRPr="00387F17">
        <w:rPr>
          <w:rFonts w:eastAsia="Times New Roman" w:cstheme="minorHAnsi"/>
          <w:lang w:eastAsia="pl-PL"/>
        </w:rPr>
        <w:t xml:space="preserve">Wstrzymujących się </w:t>
      </w:r>
      <w:r w:rsidR="00E1054C">
        <w:rPr>
          <w:rFonts w:eastAsia="Times New Roman" w:cstheme="minorHAnsi"/>
          <w:lang w:eastAsia="pl-PL"/>
        </w:rPr>
        <w:t>– 3</w:t>
      </w:r>
    </w:p>
    <w:p w:rsidR="007A50F5" w:rsidRPr="007A50F5" w:rsidRDefault="007A50F5" w:rsidP="00234667">
      <w:pPr>
        <w:spacing w:after="240"/>
        <w:rPr>
          <w:rFonts w:eastAsia="Times New Roman" w:cstheme="minorHAnsi"/>
          <w:lang w:eastAsia="pl-PL"/>
        </w:rPr>
      </w:pPr>
      <w:r w:rsidRPr="007A50F5">
        <w:rPr>
          <w:rFonts w:eastAsia="Times New Roman" w:cstheme="minorHAnsi"/>
          <w:lang w:eastAsia="pl-PL"/>
        </w:rPr>
        <w:t>W wyniku głosowani</w:t>
      </w:r>
      <w:r w:rsidR="00E1054C">
        <w:rPr>
          <w:rFonts w:eastAsia="Times New Roman" w:cstheme="minorHAnsi"/>
          <w:lang w:eastAsia="pl-PL"/>
        </w:rPr>
        <w:t>a jawnego przy 5 głosach „za”, 0</w:t>
      </w:r>
      <w:r w:rsidR="00714AE6">
        <w:rPr>
          <w:rFonts w:eastAsia="Times New Roman" w:cstheme="minorHAnsi"/>
          <w:lang w:eastAsia="pl-PL"/>
        </w:rPr>
        <w:t xml:space="preserve"> głosach</w:t>
      </w:r>
      <w:r w:rsidRPr="007A50F5">
        <w:rPr>
          <w:rFonts w:eastAsia="Times New Roman" w:cstheme="minorHAnsi"/>
          <w:lang w:eastAsia="pl-PL"/>
        </w:rPr>
        <w:t xml:space="preserve"> „przeciw” i </w:t>
      </w:r>
      <w:r w:rsidR="00E1054C">
        <w:rPr>
          <w:rFonts w:eastAsia="Times New Roman" w:cstheme="minorHAnsi"/>
          <w:lang w:eastAsia="pl-PL"/>
        </w:rPr>
        <w:t>3</w:t>
      </w:r>
      <w:r w:rsidR="00714AE6">
        <w:rPr>
          <w:rFonts w:eastAsia="Times New Roman" w:cstheme="minorHAnsi"/>
          <w:lang w:eastAsia="pl-PL"/>
        </w:rPr>
        <w:t xml:space="preserve"> głosach „wstrzymujących </w:t>
      </w:r>
      <w:r w:rsidR="00F87A6F">
        <w:rPr>
          <w:rFonts w:eastAsia="Times New Roman" w:cstheme="minorHAnsi"/>
          <w:lang w:eastAsia="pl-PL"/>
        </w:rPr>
        <w:t>się</w:t>
      </w:r>
      <w:r w:rsidRPr="007A50F5">
        <w:rPr>
          <w:rFonts w:eastAsia="Times New Roman" w:cstheme="minorHAnsi"/>
          <w:lang w:eastAsia="pl-PL"/>
        </w:rPr>
        <w:t xml:space="preserve">” Komisja Rewizyjna przyjęła ww. wniosek. </w:t>
      </w:r>
    </w:p>
    <w:p w:rsidR="00FD2A3D" w:rsidRPr="00387F17" w:rsidRDefault="009B356D" w:rsidP="00FD2A3D">
      <w:pPr>
        <w:rPr>
          <w:rFonts w:cstheme="minorHAnsi"/>
          <w:bCs/>
        </w:rPr>
      </w:pPr>
      <w:r>
        <w:rPr>
          <w:b/>
        </w:rPr>
        <w:t>Przewodniczący Komisji</w:t>
      </w:r>
      <w:r w:rsidRPr="001E25AF">
        <w:rPr>
          <w:b/>
        </w:rPr>
        <w:t xml:space="preserve"> Maciej Wyszyński</w:t>
      </w:r>
      <w:r>
        <w:t xml:space="preserve"> </w:t>
      </w:r>
      <w:r w:rsidR="00FD2A3D" w:rsidRPr="00387F17">
        <w:rPr>
          <w:rFonts w:cstheme="minorHAnsi"/>
        </w:rPr>
        <w:t xml:space="preserve">przedstawił projekt uchwały w sprawie </w:t>
      </w:r>
      <w:r w:rsidR="00FD2A3D" w:rsidRPr="00387F17">
        <w:rPr>
          <w:rFonts w:cstheme="minorHAnsi"/>
          <w:bCs/>
        </w:rPr>
        <w:t>zatwierdzenia sprawozdania finansowego m.st. Warszawy wraz ze sprawozdaniem z wykonania budżetu m.st. Warszawy za</w:t>
      </w:r>
      <w:r w:rsidR="00E1054C">
        <w:rPr>
          <w:rFonts w:cstheme="minorHAnsi"/>
          <w:bCs/>
        </w:rPr>
        <w:t xml:space="preserve"> 2022</w:t>
      </w:r>
      <w:r w:rsidR="00FD2A3D" w:rsidRPr="00387F17">
        <w:rPr>
          <w:rFonts w:cstheme="minorHAnsi"/>
          <w:bCs/>
        </w:rPr>
        <w:t xml:space="preserve"> rok.</w:t>
      </w:r>
    </w:p>
    <w:p w:rsidR="00FD2A3D" w:rsidRPr="00387F17" w:rsidRDefault="00FD2A3D" w:rsidP="00FD2A3D">
      <w:pPr>
        <w:rPr>
          <w:rFonts w:cstheme="minorHAnsi"/>
        </w:rPr>
      </w:pPr>
      <w:r w:rsidRPr="00387F17">
        <w:rPr>
          <w:rFonts w:cstheme="minorHAnsi"/>
        </w:rPr>
        <w:t>Przewodniczący Komisji zarządził głosowanie.</w:t>
      </w:r>
    </w:p>
    <w:p w:rsidR="00FD2A3D" w:rsidRPr="00387F17" w:rsidRDefault="00FD2A3D" w:rsidP="002E2F1C">
      <w:pPr>
        <w:spacing w:after="0" w:line="300" w:lineRule="auto"/>
        <w:rPr>
          <w:rFonts w:eastAsia="Times New Roman" w:cstheme="minorHAnsi"/>
          <w:b/>
          <w:lang w:eastAsia="pl-PL"/>
        </w:rPr>
      </w:pPr>
      <w:r w:rsidRPr="00387F17">
        <w:rPr>
          <w:rFonts w:eastAsia="Times New Roman" w:cstheme="minorHAnsi"/>
          <w:b/>
          <w:lang w:eastAsia="pl-PL"/>
        </w:rPr>
        <w:t>GŁOSOWANIE:</w:t>
      </w:r>
    </w:p>
    <w:p w:rsidR="00FD2A3D" w:rsidRPr="00387F17" w:rsidRDefault="00DB06DA" w:rsidP="002E2F1C">
      <w:pPr>
        <w:spacing w:after="0" w:line="300" w:lineRule="auto"/>
        <w:rPr>
          <w:rFonts w:eastAsia="Times New Roman" w:cstheme="minorHAnsi"/>
          <w:lang w:eastAsia="pl-PL"/>
        </w:rPr>
      </w:pPr>
      <w:r>
        <w:rPr>
          <w:rFonts w:eastAsia="Times New Roman" w:cstheme="minorHAnsi"/>
          <w:lang w:eastAsia="pl-PL"/>
        </w:rPr>
        <w:t>Za – 5</w:t>
      </w:r>
    </w:p>
    <w:p w:rsidR="00FD2A3D" w:rsidRPr="00387F17" w:rsidRDefault="00F87D80" w:rsidP="002E2F1C">
      <w:pPr>
        <w:spacing w:after="0" w:line="300" w:lineRule="auto"/>
        <w:rPr>
          <w:rFonts w:eastAsia="Times New Roman" w:cstheme="minorHAnsi"/>
          <w:lang w:eastAsia="pl-PL"/>
        </w:rPr>
      </w:pPr>
      <w:r>
        <w:rPr>
          <w:rFonts w:eastAsia="Times New Roman" w:cstheme="minorHAnsi"/>
          <w:lang w:eastAsia="pl-PL"/>
        </w:rPr>
        <w:t>Przeciw – 0</w:t>
      </w:r>
    </w:p>
    <w:p w:rsidR="00FD2A3D" w:rsidRPr="00387F17" w:rsidRDefault="00E1054C" w:rsidP="00234667">
      <w:pPr>
        <w:spacing w:after="120" w:line="300" w:lineRule="auto"/>
        <w:rPr>
          <w:rFonts w:eastAsia="Times New Roman" w:cstheme="minorHAnsi"/>
          <w:lang w:eastAsia="pl-PL"/>
        </w:rPr>
      </w:pPr>
      <w:r>
        <w:rPr>
          <w:rFonts w:eastAsia="Times New Roman" w:cstheme="minorHAnsi"/>
          <w:lang w:eastAsia="pl-PL"/>
        </w:rPr>
        <w:t>Wstrzymujących się – 3</w:t>
      </w:r>
    </w:p>
    <w:p w:rsidR="00FD2A3D" w:rsidRPr="00DB06DA" w:rsidRDefault="00714AE6" w:rsidP="00FD2A3D">
      <w:pPr>
        <w:rPr>
          <w:rFonts w:cstheme="minorHAnsi"/>
          <w:b/>
        </w:rPr>
      </w:pPr>
      <w:r w:rsidRPr="007A50F5">
        <w:rPr>
          <w:rFonts w:eastAsia="Times New Roman" w:cstheme="minorHAnsi"/>
          <w:lang w:eastAsia="pl-PL"/>
        </w:rPr>
        <w:t>W wyniku głosowani</w:t>
      </w:r>
      <w:r>
        <w:rPr>
          <w:rFonts w:eastAsia="Times New Roman" w:cstheme="minorHAnsi"/>
          <w:lang w:eastAsia="pl-PL"/>
        </w:rPr>
        <w:t>a jawnego przy 5 głosach „za”, 0 głosach</w:t>
      </w:r>
      <w:r w:rsidRPr="007A50F5">
        <w:rPr>
          <w:rFonts w:eastAsia="Times New Roman" w:cstheme="minorHAnsi"/>
          <w:lang w:eastAsia="pl-PL"/>
        </w:rPr>
        <w:t xml:space="preserve"> „przeciw” i </w:t>
      </w:r>
      <w:r>
        <w:rPr>
          <w:rFonts w:eastAsia="Times New Roman" w:cstheme="minorHAnsi"/>
          <w:lang w:eastAsia="pl-PL"/>
        </w:rPr>
        <w:t>3 głosach „wstrzymujących się</w:t>
      </w:r>
      <w:r w:rsidRPr="007A50F5">
        <w:rPr>
          <w:rFonts w:eastAsia="Times New Roman" w:cstheme="minorHAnsi"/>
          <w:lang w:eastAsia="pl-PL"/>
        </w:rPr>
        <w:t>”</w:t>
      </w:r>
      <w:r w:rsidR="00FD2A3D" w:rsidRPr="00DB06DA">
        <w:rPr>
          <w:rFonts w:eastAsia="Times New Roman" w:cstheme="minorHAnsi"/>
          <w:lang w:eastAsia="pl-PL"/>
        </w:rPr>
        <w:t xml:space="preserve"> Komisja Rewizyjna przyjęła ww. projekt uchwały.</w:t>
      </w:r>
    </w:p>
    <w:p w:rsidR="009B356D" w:rsidRPr="00387F17" w:rsidRDefault="009B356D" w:rsidP="009B356D">
      <w:pPr>
        <w:rPr>
          <w:rFonts w:cstheme="minorHAnsi"/>
        </w:rPr>
      </w:pPr>
      <w:r>
        <w:rPr>
          <w:b/>
        </w:rPr>
        <w:t>Przewodniczący Komisji</w:t>
      </w:r>
      <w:r w:rsidRPr="001E25AF">
        <w:rPr>
          <w:b/>
        </w:rPr>
        <w:t xml:space="preserve"> Maciej Wyszyński</w:t>
      </w:r>
      <w:r>
        <w:t xml:space="preserve"> </w:t>
      </w:r>
      <w:r w:rsidRPr="00387F17">
        <w:rPr>
          <w:rFonts w:cstheme="minorHAnsi"/>
        </w:rPr>
        <w:t xml:space="preserve">przedstawił projekt uchwały w sprawie udzielenia Prezydentowi m.st. Warszawy absolutorium z </w:t>
      </w:r>
      <w:r w:rsidR="00ED011F">
        <w:rPr>
          <w:rFonts w:cstheme="minorHAnsi"/>
        </w:rPr>
        <w:t>tytułu wykonania budżetu za 202</w:t>
      </w:r>
      <w:r w:rsidR="00E1054C">
        <w:rPr>
          <w:rFonts w:cstheme="minorHAnsi"/>
        </w:rPr>
        <w:t>2</w:t>
      </w:r>
      <w:r w:rsidRPr="00387F17">
        <w:rPr>
          <w:rFonts w:cstheme="minorHAnsi"/>
        </w:rPr>
        <w:t xml:space="preserve"> rok.</w:t>
      </w:r>
    </w:p>
    <w:p w:rsidR="009B356D" w:rsidRPr="00387F17" w:rsidRDefault="009B356D" w:rsidP="009B356D">
      <w:pPr>
        <w:rPr>
          <w:rFonts w:cstheme="minorHAnsi"/>
        </w:rPr>
      </w:pPr>
      <w:r w:rsidRPr="00387F17">
        <w:rPr>
          <w:rFonts w:cstheme="minorHAnsi"/>
        </w:rPr>
        <w:t>Przewodniczą</w:t>
      </w:r>
      <w:r w:rsidR="002C7E89">
        <w:rPr>
          <w:rFonts w:cstheme="minorHAnsi"/>
        </w:rPr>
        <w:t>cy Komisji zarządził głosowanie:</w:t>
      </w:r>
    </w:p>
    <w:p w:rsidR="009B356D" w:rsidRPr="00387F17" w:rsidRDefault="009B356D" w:rsidP="00DF0019">
      <w:pPr>
        <w:spacing w:after="0" w:line="300" w:lineRule="auto"/>
        <w:rPr>
          <w:rFonts w:eastAsia="Times New Roman" w:cstheme="minorHAnsi"/>
          <w:b/>
          <w:lang w:eastAsia="pl-PL"/>
        </w:rPr>
      </w:pPr>
      <w:r w:rsidRPr="00387F17">
        <w:rPr>
          <w:rFonts w:eastAsia="Times New Roman" w:cstheme="minorHAnsi"/>
          <w:b/>
          <w:lang w:eastAsia="pl-PL"/>
        </w:rPr>
        <w:lastRenderedPageBreak/>
        <w:t>GŁOSOWANIE:</w:t>
      </w:r>
    </w:p>
    <w:p w:rsidR="009B356D" w:rsidRPr="00387F17" w:rsidRDefault="009B356D" w:rsidP="00DF0019">
      <w:pPr>
        <w:spacing w:after="0" w:line="300" w:lineRule="auto"/>
        <w:rPr>
          <w:rFonts w:eastAsia="Times New Roman" w:cstheme="minorHAnsi"/>
          <w:lang w:eastAsia="pl-PL"/>
        </w:rPr>
      </w:pPr>
      <w:r>
        <w:rPr>
          <w:rFonts w:eastAsia="Times New Roman" w:cstheme="minorHAnsi"/>
          <w:lang w:eastAsia="pl-PL"/>
        </w:rPr>
        <w:t>Za – 5</w:t>
      </w:r>
    </w:p>
    <w:p w:rsidR="00234667" w:rsidRDefault="00E1054C" w:rsidP="00234667">
      <w:pPr>
        <w:spacing w:after="0" w:line="300" w:lineRule="auto"/>
        <w:rPr>
          <w:rFonts w:eastAsia="Times New Roman" w:cstheme="minorHAnsi"/>
          <w:lang w:eastAsia="pl-PL"/>
        </w:rPr>
      </w:pPr>
      <w:r>
        <w:rPr>
          <w:rFonts w:eastAsia="Times New Roman" w:cstheme="minorHAnsi"/>
          <w:lang w:eastAsia="pl-PL"/>
        </w:rPr>
        <w:t>Przeciw – 0</w:t>
      </w:r>
    </w:p>
    <w:p w:rsidR="009B356D" w:rsidRPr="00387F17" w:rsidRDefault="00DF0019" w:rsidP="00234667">
      <w:pPr>
        <w:spacing w:after="120" w:line="300" w:lineRule="auto"/>
        <w:rPr>
          <w:rFonts w:eastAsia="Times New Roman" w:cstheme="minorHAnsi"/>
          <w:lang w:eastAsia="pl-PL"/>
        </w:rPr>
      </w:pPr>
      <w:r>
        <w:rPr>
          <w:rFonts w:eastAsia="Times New Roman" w:cstheme="minorHAnsi"/>
          <w:lang w:eastAsia="pl-PL"/>
        </w:rPr>
        <w:t xml:space="preserve">Wstrzymujących się – </w:t>
      </w:r>
      <w:r w:rsidR="00E1054C">
        <w:rPr>
          <w:rFonts w:eastAsia="Times New Roman" w:cstheme="minorHAnsi"/>
          <w:lang w:eastAsia="pl-PL"/>
        </w:rPr>
        <w:t>3</w:t>
      </w:r>
    </w:p>
    <w:p w:rsidR="000C7296" w:rsidRPr="00DF0019" w:rsidRDefault="00714AE6" w:rsidP="00DF0019">
      <w:pPr>
        <w:rPr>
          <w:rFonts w:eastAsia="Times New Roman" w:cstheme="minorHAnsi"/>
          <w:lang w:eastAsia="pl-PL"/>
        </w:rPr>
      </w:pPr>
      <w:r w:rsidRPr="007A50F5">
        <w:rPr>
          <w:rFonts w:eastAsia="Times New Roman" w:cstheme="minorHAnsi"/>
          <w:lang w:eastAsia="pl-PL"/>
        </w:rPr>
        <w:t>W wyniku głosowani</w:t>
      </w:r>
      <w:r>
        <w:rPr>
          <w:rFonts w:eastAsia="Times New Roman" w:cstheme="minorHAnsi"/>
          <w:lang w:eastAsia="pl-PL"/>
        </w:rPr>
        <w:t>a jawnego przy 5 głosach „za”, 0 głosach</w:t>
      </w:r>
      <w:r w:rsidRPr="007A50F5">
        <w:rPr>
          <w:rFonts w:eastAsia="Times New Roman" w:cstheme="minorHAnsi"/>
          <w:lang w:eastAsia="pl-PL"/>
        </w:rPr>
        <w:t xml:space="preserve"> „przeciw” i </w:t>
      </w:r>
      <w:r>
        <w:rPr>
          <w:rFonts w:eastAsia="Times New Roman" w:cstheme="minorHAnsi"/>
          <w:lang w:eastAsia="pl-PL"/>
        </w:rPr>
        <w:t>3 głosach „wstrzymujących się</w:t>
      </w:r>
      <w:r w:rsidRPr="007A50F5">
        <w:rPr>
          <w:rFonts w:eastAsia="Times New Roman" w:cstheme="minorHAnsi"/>
          <w:lang w:eastAsia="pl-PL"/>
        </w:rPr>
        <w:t>”</w:t>
      </w:r>
      <w:r>
        <w:rPr>
          <w:rFonts w:eastAsia="Times New Roman" w:cstheme="minorHAnsi"/>
          <w:lang w:eastAsia="pl-PL"/>
        </w:rPr>
        <w:t xml:space="preserve"> </w:t>
      </w:r>
      <w:r w:rsidR="009B356D" w:rsidRPr="00DF0019">
        <w:rPr>
          <w:rFonts w:eastAsia="Times New Roman" w:cstheme="minorHAnsi"/>
          <w:lang w:eastAsia="pl-PL"/>
        </w:rPr>
        <w:t>Komisja Rewizyjna przyjęła ww. projekt uchwały.</w:t>
      </w:r>
    </w:p>
    <w:p w:rsidR="00C31487" w:rsidRPr="00741392" w:rsidRDefault="00C31487" w:rsidP="00221AC2">
      <w:pPr>
        <w:pStyle w:val="Tekstpodstawowy"/>
        <w:spacing w:after="240" w:line="300" w:lineRule="auto"/>
        <w:rPr>
          <w:rFonts w:ascii="Calibri" w:hAnsi="Calibri" w:cs="Arial"/>
          <w:sz w:val="22"/>
          <w:szCs w:val="22"/>
        </w:rPr>
      </w:pPr>
      <w:r w:rsidRPr="00105784">
        <w:rPr>
          <w:rFonts w:ascii="Calibri" w:hAnsi="Calibri" w:cs="Arial"/>
          <w:b/>
          <w:sz w:val="22"/>
          <w:szCs w:val="22"/>
        </w:rPr>
        <w:t>Przewodniczący Komisji Maciej Wyszyński</w:t>
      </w:r>
      <w:r w:rsidRPr="00105784">
        <w:rPr>
          <w:rFonts w:ascii="Calibri" w:hAnsi="Calibri" w:cs="Arial"/>
          <w:sz w:val="22"/>
          <w:szCs w:val="22"/>
        </w:rPr>
        <w:t xml:space="preserve"> </w:t>
      </w:r>
      <w:r>
        <w:rPr>
          <w:rFonts w:ascii="Calibri" w:hAnsi="Calibri" w:cs="Arial"/>
          <w:sz w:val="22"/>
          <w:szCs w:val="22"/>
        </w:rPr>
        <w:t xml:space="preserve">podziękował wszystkim osobom uczestniczącym w badaniu sprawozdania finansowego miasta za 2022 z współpracę i zaangażowanie. </w:t>
      </w:r>
    </w:p>
    <w:p w:rsidR="00B42005" w:rsidRDefault="00EF693D" w:rsidP="00221AC2">
      <w:pPr>
        <w:pStyle w:val="Tekstpodstawowy"/>
        <w:spacing w:after="240" w:line="300" w:lineRule="auto"/>
        <w:rPr>
          <w:rFonts w:ascii="Calibri" w:hAnsi="Calibri" w:cs="Arial"/>
          <w:b/>
          <w:sz w:val="22"/>
          <w:szCs w:val="22"/>
        </w:rPr>
      </w:pPr>
      <w:r>
        <w:rPr>
          <w:rFonts w:ascii="Calibri" w:hAnsi="Calibri" w:cs="Arial"/>
          <w:b/>
          <w:sz w:val="22"/>
          <w:szCs w:val="22"/>
        </w:rPr>
        <w:t>Ad. 3</w:t>
      </w:r>
    </w:p>
    <w:p w:rsidR="00221AC2" w:rsidRDefault="00221AC2" w:rsidP="00221AC2">
      <w:pPr>
        <w:pStyle w:val="Tekstpodstawowy"/>
        <w:spacing w:after="240" w:line="300" w:lineRule="auto"/>
        <w:rPr>
          <w:rFonts w:ascii="Calibri" w:hAnsi="Calibri" w:cs="Arial"/>
          <w:b/>
          <w:sz w:val="22"/>
          <w:szCs w:val="22"/>
        </w:rPr>
      </w:pPr>
      <w:r w:rsidRPr="00214BAF">
        <w:rPr>
          <w:rFonts w:ascii="Calibri" w:hAnsi="Calibri" w:cs="Arial"/>
          <w:b/>
          <w:sz w:val="22"/>
          <w:szCs w:val="22"/>
        </w:rPr>
        <w:t>Wolne wnioski, sprawy różne.</w:t>
      </w:r>
    </w:p>
    <w:p w:rsidR="00741392" w:rsidRDefault="00105784" w:rsidP="00221AC2">
      <w:pPr>
        <w:pStyle w:val="Tekstpodstawowy"/>
        <w:spacing w:after="240" w:line="300" w:lineRule="auto"/>
        <w:rPr>
          <w:rFonts w:ascii="Calibri" w:hAnsi="Calibri" w:cs="Arial"/>
          <w:sz w:val="22"/>
          <w:szCs w:val="22"/>
        </w:rPr>
      </w:pPr>
      <w:r w:rsidRPr="00105784">
        <w:rPr>
          <w:rFonts w:ascii="Calibri" w:hAnsi="Calibri" w:cs="Arial"/>
          <w:b/>
          <w:sz w:val="22"/>
          <w:szCs w:val="22"/>
        </w:rPr>
        <w:t>Przewodniczący Komisji Maciej Wyszyński</w:t>
      </w:r>
      <w:r w:rsidRPr="00105784">
        <w:rPr>
          <w:rFonts w:ascii="Calibri" w:hAnsi="Calibri" w:cs="Arial"/>
          <w:sz w:val="22"/>
          <w:szCs w:val="22"/>
        </w:rPr>
        <w:t xml:space="preserve"> </w:t>
      </w:r>
      <w:r w:rsidR="00741392">
        <w:rPr>
          <w:rFonts w:ascii="Calibri" w:hAnsi="Calibri" w:cs="Arial"/>
          <w:sz w:val="22"/>
          <w:szCs w:val="22"/>
        </w:rPr>
        <w:t xml:space="preserve">poruszył sprawę przyszłorocznego absolutorium i nakładania się w tym czasie wyborów samorządowych. Kadencja Rady m.st. Warszawy kończy się w środku badania audytowego. Zaapelował aby </w:t>
      </w:r>
      <w:r w:rsidR="004E6D22">
        <w:rPr>
          <w:rFonts w:ascii="Calibri" w:hAnsi="Calibri" w:cs="Arial"/>
          <w:sz w:val="22"/>
          <w:szCs w:val="22"/>
        </w:rPr>
        <w:t>zastanowić</w:t>
      </w:r>
      <w:r w:rsidR="00741392">
        <w:rPr>
          <w:rFonts w:ascii="Calibri" w:hAnsi="Calibri" w:cs="Arial"/>
          <w:sz w:val="22"/>
          <w:szCs w:val="22"/>
        </w:rPr>
        <w:t xml:space="preserve"> się w jaki sposób rozwiązać ten problem.</w:t>
      </w:r>
    </w:p>
    <w:p w:rsidR="004E6D22" w:rsidRDefault="004E6D22" w:rsidP="00221AC2">
      <w:pPr>
        <w:pStyle w:val="Tekstpodstawowy"/>
        <w:spacing w:after="240" w:line="300" w:lineRule="auto"/>
        <w:rPr>
          <w:rFonts w:ascii="Calibri" w:hAnsi="Calibri" w:cs="Arial"/>
          <w:sz w:val="22"/>
          <w:szCs w:val="22"/>
        </w:rPr>
      </w:pPr>
      <w:r w:rsidRPr="004E6D22">
        <w:rPr>
          <w:rFonts w:asciiTheme="minorHAnsi" w:hAnsiTheme="minorHAnsi" w:cstheme="minorHAnsi"/>
          <w:b/>
          <w:sz w:val="22"/>
          <w:szCs w:val="22"/>
        </w:rPr>
        <w:t>Pan Mirosław Czekaj - Skarbnik m.st. Warszawy</w:t>
      </w:r>
      <w:r>
        <w:rPr>
          <w:rFonts w:asciiTheme="minorHAnsi" w:hAnsiTheme="minorHAnsi" w:cstheme="minorHAnsi"/>
          <w:b/>
          <w:sz w:val="22"/>
          <w:szCs w:val="22"/>
        </w:rPr>
        <w:t xml:space="preserve"> </w:t>
      </w:r>
      <w:r w:rsidRPr="004E6D22">
        <w:rPr>
          <w:rFonts w:asciiTheme="minorHAnsi" w:hAnsiTheme="minorHAnsi" w:cstheme="minorHAnsi"/>
          <w:sz w:val="22"/>
          <w:szCs w:val="22"/>
        </w:rPr>
        <w:t>przypomniał, iż</w:t>
      </w:r>
      <w:r w:rsidRPr="004E6D22">
        <w:rPr>
          <w:rFonts w:cstheme="minorHAnsi"/>
        </w:rPr>
        <w:t xml:space="preserve"> </w:t>
      </w:r>
      <w:r>
        <w:rPr>
          <w:rFonts w:ascii="Calibri" w:hAnsi="Calibri" w:cs="Arial"/>
          <w:sz w:val="22"/>
          <w:szCs w:val="22"/>
        </w:rPr>
        <w:t>p</w:t>
      </w:r>
      <w:r w:rsidR="003277EF">
        <w:rPr>
          <w:rFonts w:ascii="Calibri" w:hAnsi="Calibri" w:cs="Arial"/>
          <w:sz w:val="22"/>
          <w:szCs w:val="22"/>
        </w:rPr>
        <w:t>roblem</w:t>
      </w:r>
      <w:r>
        <w:rPr>
          <w:rFonts w:ascii="Calibri" w:hAnsi="Calibri" w:cs="Arial"/>
          <w:sz w:val="22"/>
          <w:szCs w:val="22"/>
        </w:rPr>
        <w:t xml:space="preserve"> ten</w:t>
      </w:r>
      <w:r w:rsidR="003277EF">
        <w:rPr>
          <w:rFonts w:ascii="Calibri" w:hAnsi="Calibri" w:cs="Arial"/>
          <w:sz w:val="22"/>
          <w:szCs w:val="22"/>
        </w:rPr>
        <w:t xml:space="preserve"> dotyka wszystkich samorządów i powinny być regulacje ustawowe, które przedłużają termin na udzielenie absolutorium. </w:t>
      </w:r>
    </w:p>
    <w:p w:rsidR="004E6D22" w:rsidRPr="004E6D22" w:rsidRDefault="004E6D22" w:rsidP="00221AC2">
      <w:pPr>
        <w:pStyle w:val="Tekstpodstawowy"/>
        <w:spacing w:after="240" w:line="300" w:lineRule="auto"/>
        <w:rPr>
          <w:rFonts w:ascii="Calibri" w:hAnsi="Calibri" w:cs="Arial"/>
          <w:sz w:val="22"/>
          <w:szCs w:val="22"/>
        </w:rPr>
      </w:pPr>
      <w:r w:rsidRPr="004E6D22">
        <w:rPr>
          <w:rFonts w:ascii="Calibri" w:hAnsi="Calibri" w:cs="Arial"/>
          <w:sz w:val="22"/>
          <w:szCs w:val="22"/>
        </w:rPr>
        <w:t xml:space="preserve">W toku dyskusji ustalono, iż należy spotkać się z </w:t>
      </w:r>
      <w:bookmarkStart w:id="0" w:name="_GoBack"/>
      <w:bookmarkEnd w:id="0"/>
      <w:r w:rsidRPr="004E6D22">
        <w:rPr>
          <w:rFonts w:ascii="Calibri" w:hAnsi="Calibri" w:cs="Arial"/>
          <w:sz w:val="22"/>
          <w:szCs w:val="22"/>
        </w:rPr>
        <w:t xml:space="preserve">Biurem Prawnym </w:t>
      </w:r>
      <w:r>
        <w:rPr>
          <w:rFonts w:ascii="Calibri" w:hAnsi="Calibri" w:cs="Arial"/>
          <w:sz w:val="22"/>
          <w:szCs w:val="22"/>
        </w:rPr>
        <w:t xml:space="preserve">m.st. Warszawy </w:t>
      </w:r>
      <w:r w:rsidRPr="004E6D22">
        <w:rPr>
          <w:rFonts w:ascii="Calibri" w:hAnsi="Calibri" w:cs="Arial"/>
          <w:sz w:val="22"/>
          <w:szCs w:val="22"/>
        </w:rPr>
        <w:t>w celu przeanalizowania rozwiązań dotyczących zaistniałej sytuacji.</w:t>
      </w:r>
    </w:p>
    <w:p w:rsidR="00782C99" w:rsidRDefault="004E6D22" w:rsidP="00221AC2">
      <w:pPr>
        <w:pStyle w:val="Tekstpodstawowy"/>
        <w:spacing w:after="240" w:line="300" w:lineRule="auto"/>
        <w:rPr>
          <w:rFonts w:ascii="Calibri" w:hAnsi="Calibri" w:cs="Arial"/>
          <w:sz w:val="22"/>
          <w:szCs w:val="22"/>
        </w:rPr>
      </w:pPr>
      <w:r w:rsidRPr="004E6D22">
        <w:rPr>
          <w:rFonts w:asciiTheme="minorHAnsi" w:hAnsiTheme="minorHAnsi" w:cstheme="minorHAnsi"/>
          <w:b/>
          <w:sz w:val="22"/>
          <w:szCs w:val="22"/>
        </w:rPr>
        <w:t xml:space="preserve">Radny Witold Klimiuk </w:t>
      </w:r>
      <w:r w:rsidRPr="004E6D22">
        <w:rPr>
          <w:rFonts w:asciiTheme="minorHAnsi" w:hAnsiTheme="minorHAnsi" w:cstheme="minorHAnsi"/>
          <w:sz w:val="22"/>
          <w:szCs w:val="22"/>
        </w:rPr>
        <w:t xml:space="preserve">zadał pytanie czy zostały przekazane dokumenty przez Prezydenta m.st. Warszawy odnośnie kontroli w MPO. </w:t>
      </w:r>
    </w:p>
    <w:p w:rsidR="00782C99" w:rsidRDefault="004E6D22" w:rsidP="00221AC2">
      <w:pPr>
        <w:pStyle w:val="Tekstpodstawowy"/>
        <w:spacing w:after="240" w:line="300" w:lineRule="auto"/>
        <w:rPr>
          <w:rFonts w:ascii="Calibri" w:hAnsi="Calibri" w:cs="Arial"/>
          <w:sz w:val="22"/>
          <w:szCs w:val="22"/>
        </w:rPr>
      </w:pPr>
      <w:r w:rsidRPr="004E6D22">
        <w:rPr>
          <w:rFonts w:ascii="Calibri" w:hAnsi="Calibri" w:cs="Arial"/>
          <w:b/>
          <w:sz w:val="22"/>
          <w:szCs w:val="22"/>
        </w:rPr>
        <w:t>Radny Sebastian Kędzierski</w:t>
      </w:r>
      <w:r>
        <w:rPr>
          <w:rFonts w:ascii="Calibri" w:hAnsi="Calibri" w:cs="Arial"/>
          <w:sz w:val="22"/>
          <w:szCs w:val="22"/>
        </w:rPr>
        <w:t xml:space="preserve"> odpowiedział, iż otrzymał informację, że dokumenty wpłyną do końca tygodnia.</w:t>
      </w:r>
    </w:p>
    <w:p w:rsidR="00221AC2" w:rsidRPr="00F15B0D" w:rsidRDefault="00221AC2" w:rsidP="00221AC2">
      <w:pPr>
        <w:spacing w:after="240" w:line="300" w:lineRule="auto"/>
        <w:rPr>
          <w:rFonts w:cs="Arial"/>
        </w:rPr>
      </w:pPr>
      <w:r w:rsidRPr="00E543D5">
        <w:rPr>
          <w:rFonts w:cstheme="minorHAnsi"/>
        </w:rPr>
        <w:t xml:space="preserve">Wobec wyczerpania wszystkich punktów porządku obrad </w:t>
      </w:r>
      <w:r w:rsidRPr="000C3E40">
        <w:rPr>
          <w:rFonts w:cstheme="minorHAnsi"/>
          <w:b/>
        </w:rPr>
        <w:t>Przewodniczący</w:t>
      </w:r>
      <w:r w:rsidRPr="000C3E40">
        <w:rPr>
          <w:rFonts w:cs="Arial"/>
          <w:b/>
        </w:rPr>
        <w:t xml:space="preserve"> Komisji</w:t>
      </w:r>
      <w:r w:rsidRPr="00F15B0D">
        <w:rPr>
          <w:rFonts w:cs="Arial"/>
        </w:rPr>
        <w:t xml:space="preserve"> </w:t>
      </w:r>
      <w:r w:rsidR="004F44D1" w:rsidRPr="004F44D1">
        <w:rPr>
          <w:rFonts w:cs="Arial"/>
          <w:b/>
        </w:rPr>
        <w:t>Maciej Wyszyński</w:t>
      </w:r>
      <w:r w:rsidR="004F44D1">
        <w:rPr>
          <w:rFonts w:cs="Arial"/>
        </w:rPr>
        <w:t xml:space="preserve"> </w:t>
      </w:r>
      <w:r w:rsidRPr="00F15B0D">
        <w:rPr>
          <w:rFonts w:cs="Arial"/>
        </w:rPr>
        <w:t>zakończył posiedzenie.</w:t>
      </w:r>
    </w:p>
    <w:p w:rsidR="00221AC2" w:rsidRPr="00F15B0D" w:rsidRDefault="00221AC2" w:rsidP="00905AA6">
      <w:pPr>
        <w:spacing w:after="0" w:line="257" w:lineRule="auto"/>
        <w:ind w:left="7483"/>
        <w:jc w:val="center"/>
        <w:rPr>
          <w:rFonts w:cs="Arial"/>
        </w:rPr>
      </w:pPr>
      <w:r w:rsidRPr="00F15B0D">
        <w:rPr>
          <w:rFonts w:cs="Arial"/>
        </w:rPr>
        <w:t>Przewodniczący</w:t>
      </w:r>
    </w:p>
    <w:p w:rsidR="00221AC2" w:rsidRPr="00F15B0D" w:rsidRDefault="00221AC2" w:rsidP="00741392">
      <w:pPr>
        <w:spacing w:after="240" w:line="300" w:lineRule="auto"/>
        <w:ind w:left="6373"/>
        <w:jc w:val="right"/>
        <w:rPr>
          <w:rFonts w:cs="Arial"/>
        </w:rPr>
      </w:pPr>
      <w:r w:rsidRPr="00F15B0D">
        <w:rPr>
          <w:rFonts w:cs="Arial"/>
        </w:rPr>
        <w:t>Komisji Rewizyjnej</w:t>
      </w:r>
    </w:p>
    <w:p w:rsidR="00221AC2" w:rsidRPr="00F15B0D" w:rsidRDefault="00221AC2" w:rsidP="008D6C0F">
      <w:pPr>
        <w:spacing w:after="360" w:line="257" w:lineRule="auto"/>
        <w:ind w:left="6373"/>
        <w:jc w:val="right"/>
        <w:rPr>
          <w:rFonts w:cs="Arial"/>
        </w:rPr>
      </w:pPr>
      <w:r w:rsidRPr="00F15B0D">
        <w:rPr>
          <w:rFonts w:cs="Arial"/>
        </w:rPr>
        <w:t>Maciej Wyszyński</w:t>
      </w:r>
    </w:p>
    <w:p w:rsidR="00221AC2" w:rsidRPr="005F1AFD" w:rsidRDefault="00221AC2" w:rsidP="007C70F2">
      <w:pPr>
        <w:spacing w:after="0" w:line="300" w:lineRule="auto"/>
        <w:rPr>
          <w:rFonts w:cs="Arial"/>
        </w:rPr>
      </w:pPr>
      <w:r w:rsidRPr="005F1AFD">
        <w:rPr>
          <w:rFonts w:cs="Arial"/>
        </w:rPr>
        <w:t>Protokół sporządziła:</w:t>
      </w:r>
    </w:p>
    <w:p w:rsidR="00ED5485" w:rsidRDefault="00741392" w:rsidP="007C70F2">
      <w:pPr>
        <w:spacing w:after="0" w:line="300" w:lineRule="auto"/>
      </w:pPr>
      <w:r>
        <w:rPr>
          <w:rFonts w:ascii="Calibri" w:hAnsi="Calibri" w:cs="Arial"/>
        </w:rPr>
        <w:t>Beata Kazanecka</w:t>
      </w:r>
    </w:p>
    <w:sectPr w:rsidR="00ED5485" w:rsidSect="00AA213E">
      <w:footerReference w:type="default" r:id="rId8"/>
      <w:pgSz w:w="11906" w:h="16838"/>
      <w:pgMar w:top="1417"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B8" w:rsidRDefault="00C626B8">
      <w:pPr>
        <w:spacing w:after="0" w:line="240" w:lineRule="auto"/>
      </w:pPr>
      <w:r>
        <w:separator/>
      </w:r>
    </w:p>
  </w:endnote>
  <w:endnote w:type="continuationSeparator" w:id="0">
    <w:p w:rsidR="00C626B8" w:rsidRDefault="00C6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86932"/>
      <w:docPartObj>
        <w:docPartGallery w:val="Page Numbers (Bottom of Page)"/>
        <w:docPartUnique/>
      </w:docPartObj>
    </w:sdtPr>
    <w:sdtEndPr/>
    <w:sdtContent>
      <w:p w:rsidR="00714AE6" w:rsidRDefault="00714AE6">
        <w:pPr>
          <w:pStyle w:val="Stopka"/>
          <w:jc w:val="right"/>
        </w:pPr>
        <w:r>
          <w:fldChar w:fldCharType="begin"/>
        </w:r>
        <w:r>
          <w:instrText>PAGE   \* MERGEFORMAT</w:instrText>
        </w:r>
        <w:r>
          <w:fldChar w:fldCharType="separate"/>
        </w:r>
        <w:r w:rsidR="004E6D22">
          <w:rPr>
            <w:noProof/>
          </w:rPr>
          <w:t>17</w:t>
        </w:r>
        <w:r>
          <w:fldChar w:fldCharType="end"/>
        </w:r>
      </w:p>
    </w:sdtContent>
  </w:sdt>
  <w:p w:rsidR="00714AE6" w:rsidRDefault="00714A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B8" w:rsidRDefault="00C626B8">
      <w:pPr>
        <w:spacing w:after="0" w:line="240" w:lineRule="auto"/>
      </w:pPr>
      <w:r>
        <w:separator/>
      </w:r>
    </w:p>
  </w:footnote>
  <w:footnote w:type="continuationSeparator" w:id="0">
    <w:p w:rsidR="00C626B8" w:rsidRDefault="00C626B8">
      <w:pPr>
        <w:spacing w:after="0" w:line="240" w:lineRule="auto"/>
      </w:pPr>
      <w:r>
        <w:continuationSeparator/>
      </w:r>
    </w:p>
  </w:footnote>
  <w:footnote w:id="1">
    <w:p w:rsidR="00714AE6" w:rsidRPr="00CD10A9" w:rsidRDefault="00714AE6" w:rsidP="00714AE6">
      <w:pPr>
        <w:pStyle w:val="Tekstprzypisudolnego"/>
        <w:spacing w:after="0"/>
        <w:ind w:left="181" w:hanging="181"/>
      </w:pPr>
      <w:r w:rsidRPr="00CD10A9">
        <w:rPr>
          <w:rStyle w:val="Odwoanieprzypisudolnego"/>
          <w:rFonts w:cs="Calibri"/>
          <w:sz w:val="22"/>
          <w:szCs w:val="22"/>
        </w:rPr>
        <w:footnoteRef/>
      </w:r>
      <w:r w:rsidRPr="00CD10A9">
        <w:rPr>
          <w:rFonts w:cs="Calibri"/>
          <w:sz w:val="22"/>
          <w:szCs w:val="22"/>
          <w:vertAlign w:val="superscript"/>
        </w:rPr>
        <w:t>)</w:t>
      </w:r>
      <w:r w:rsidRPr="00CD10A9">
        <w:t xml:space="preserve"> </w:t>
      </w:r>
      <w:r w:rsidRPr="00CD10A9">
        <w:rPr>
          <w:rFonts w:cs="Calibri"/>
          <w:sz w:val="22"/>
          <w:szCs w:val="22"/>
        </w:rPr>
        <w:t>Zmiany tekstu jednolitego wymienionej ustawy zostały ogłoszone w Dz. U. z 2022 r. poz. 1692, 1725, 1747, 1768, 1964 i 2414</w:t>
      </w:r>
      <w:r>
        <w:rPr>
          <w:rFonts w:cs="Calibri"/>
          <w:sz w:val="22"/>
          <w:szCs w:val="22"/>
        </w:rPr>
        <w:t xml:space="preserve"> oraz z 2023 r. poz. 412, 497, </w:t>
      </w:r>
      <w:r w:rsidRPr="00CD10A9">
        <w:rPr>
          <w:rFonts w:cs="Calibri"/>
          <w:sz w:val="22"/>
          <w:szCs w:val="22"/>
        </w:rPr>
        <w:t>658</w:t>
      </w:r>
      <w:r>
        <w:rPr>
          <w:rFonts w:cs="Calibri"/>
          <w:sz w:val="22"/>
          <w:szCs w:val="22"/>
        </w:rPr>
        <w:t xml:space="preserve"> i 803</w:t>
      </w:r>
      <w:r w:rsidRPr="00CD10A9">
        <w:rPr>
          <w:rFonts w:cs="Calibri"/>
          <w:sz w:val="22"/>
          <w:szCs w:val="22"/>
        </w:rPr>
        <w:t>.</w:t>
      </w:r>
    </w:p>
  </w:footnote>
  <w:footnote w:id="2">
    <w:p w:rsidR="00714AE6" w:rsidRPr="00CD10A9" w:rsidRDefault="00714AE6" w:rsidP="00714AE6">
      <w:pPr>
        <w:pStyle w:val="Tekstprzypisudolnego"/>
        <w:spacing w:after="0"/>
        <w:ind w:left="181" w:hanging="181"/>
        <w:jc w:val="both"/>
        <w:rPr>
          <w:rFonts w:cs="Calibri"/>
          <w:sz w:val="22"/>
          <w:szCs w:val="22"/>
        </w:rPr>
      </w:pPr>
      <w:r w:rsidRPr="00AF644B">
        <w:rPr>
          <w:rStyle w:val="Odwoanieprzypisudolnego"/>
          <w:rFonts w:cs="Calibri"/>
          <w:position w:val="2"/>
          <w:sz w:val="22"/>
          <w:szCs w:val="22"/>
        </w:rPr>
        <w:footnoteRef/>
      </w:r>
      <w:r w:rsidRPr="00AF644B">
        <w:rPr>
          <w:rFonts w:cs="Calibri"/>
          <w:position w:val="2"/>
          <w:sz w:val="22"/>
          <w:szCs w:val="22"/>
          <w:vertAlign w:val="superscript"/>
        </w:rPr>
        <w:t>)</w:t>
      </w:r>
      <w:r w:rsidRPr="00AF644B">
        <w:rPr>
          <w:rFonts w:cs="Calibri"/>
          <w:sz w:val="22"/>
          <w:szCs w:val="22"/>
        </w:rPr>
        <w:t xml:space="preserve"> Sporządzone na podstawie danych z ewidencji księgowej budżetu na dzień 9.03.2023 r.</w:t>
      </w:r>
    </w:p>
  </w:footnote>
  <w:footnote w:id="3">
    <w:p w:rsidR="00714AE6" w:rsidRPr="00C32CCE" w:rsidRDefault="00714AE6" w:rsidP="00714AE6">
      <w:pPr>
        <w:pStyle w:val="Tekstprzypisudolnego"/>
        <w:spacing w:after="0"/>
        <w:ind w:left="181" w:hanging="181"/>
        <w:jc w:val="both"/>
        <w:rPr>
          <w:rFonts w:cs="Calibri"/>
          <w:sz w:val="22"/>
          <w:szCs w:val="22"/>
        </w:rPr>
      </w:pPr>
      <w:r w:rsidRPr="00C32CCE">
        <w:rPr>
          <w:rStyle w:val="Odwoanieprzypisudolnego"/>
          <w:rFonts w:cs="Calibri"/>
          <w:position w:val="2"/>
          <w:sz w:val="22"/>
          <w:szCs w:val="22"/>
        </w:rPr>
        <w:footnoteRef/>
      </w:r>
      <w:r w:rsidRPr="00C32CCE">
        <w:rPr>
          <w:rFonts w:cs="Calibri"/>
          <w:position w:val="2"/>
          <w:sz w:val="22"/>
          <w:szCs w:val="22"/>
          <w:vertAlign w:val="superscript"/>
        </w:rPr>
        <w:t>)</w:t>
      </w:r>
      <w:r w:rsidRPr="00C32CCE">
        <w:rPr>
          <w:rFonts w:cs="Calibri"/>
          <w:sz w:val="22"/>
          <w:szCs w:val="22"/>
        </w:rPr>
        <w:t xml:space="preserve"> „Sprawozdanie finansowe m.st. Warszawy za rok obrotowy od 1 stycznia 2022 r. do 31 grudnia 2022 r.” sporządzone w dniu 11.05.2023 r.</w:t>
      </w:r>
    </w:p>
  </w:footnote>
  <w:footnote w:id="4">
    <w:p w:rsidR="00714AE6" w:rsidRPr="00C32CCE" w:rsidRDefault="00714AE6" w:rsidP="00714AE6">
      <w:pPr>
        <w:pStyle w:val="Tekstprzypisudolnego"/>
        <w:spacing w:after="0"/>
        <w:ind w:left="181" w:hanging="181"/>
        <w:jc w:val="both"/>
        <w:rPr>
          <w:rFonts w:cs="Calibri"/>
          <w:sz w:val="22"/>
          <w:szCs w:val="22"/>
        </w:rPr>
      </w:pPr>
      <w:r w:rsidRPr="00C32CCE">
        <w:rPr>
          <w:rStyle w:val="Odwoanieprzypisudolnego"/>
          <w:rFonts w:cs="Calibri"/>
          <w:position w:val="2"/>
          <w:sz w:val="22"/>
          <w:szCs w:val="22"/>
        </w:rPr>
        <w:footnoteRef/>
      </w:r>
      <w:r w:rsidRPr="00C32CCE">
        <w:rPr>
          <w:rFonts w:cs="Calibri"/>
          <w:position w:val="2"/>
          <w:sz w:val="22"/>
          <w:szCs w:val="22"/>
          <w:vertAlign w:val="superscript"/>
        </w:rPr>
        <w:t>)</w:t>
      </w:r>
      <w:r w:rsidRPr="00C32CCE">
        <w:rPr>
          <w:rFonts w:cs="Calibri"/>
          <w:sz w:val="22"/>
          <w:szCs w:val="22"/>
        </w:rPr>
        <w:t xml:space="preserve"> „Sprawozdanie niezależnego biegłego rewidenta z badania rocznego sprawozdania finansowego za okres od 1 stycznia 2022 roku do 31 grudnia 2022 roku jednostki: Miasto Stołeczne Warszawa” z 12.05.2023 r.</w:t>
      </w:r>
    </w:p>
  </w:footnote>
  <w:footnote w:id="5">
    <w:p w:rsidR="00714AE6" w:rsidRPr="00C32CCE" w:rsidRDefault="00714AE6" w:rsidP="00714AE6">
      <w:pPr>
        <w:pStyle w:val="Tekstprzypisudolnego"/>
        <w:spacing w:after="0"/>
        <w:ind w:left="181" w:hanging="181"/>
        <w:jc w:val="both"/>
        <w:rPr>
          <w:rFonts w:cs="Calibri"/>
          <w:sz w:val="22"/>
          <w:szCs w:val="22"/>
        </w:rPr>
      </w:pPr>
      <w:r w:rsidRPr="00C32CCE">
        <w:rPr>
          <w:rStyle w:val="Odwoanieprzypisudolnego"/>
          <w:rFonts w:cs="Calibri"/>
          <w:position w:val="2"/>
          <w:sz w:val="22"/>
          <w:szCs w:val="22"/>
        </w:rPr>
        <w:footnoteRef/>
      </w:r>
      <w:r w:rsidRPr="00C32CCE">
        <w:rPr>
          <w:rFonts w:cs="Calibri"/>
          <w:position w:val="2"/>
          <w:sz w:val="22"/>
          <w:szCs w:val="22"/>
          <w:vertAlign w:val="superscript"/>
        </w:rPr>
        <w:t>)</w:t>
      </w:r>
      <w:r w:rsidRPr="00C32CCE">
        <w:rPr>
          <w:rFonts w:cs="Calibri"/>
          <w:sz w:val="22"/>
          <w:szCs w:val="22"/>
        </w:rPr>
        <w:t xml:space="preserve"> „Opinia Regionalnej Izby Obrachunkowej w Warszawie o sprawozdaniu z wykonania budżetu” z 28.04.2023 r.</w:t>
      </w:r>
    </w:p>
  </w:footnote>
  <w:footnote w:id="6">
    <w:p w:rsidR="00714AE6" w:rsidRPr="00520D73" w:rsidRDefault="00714AE6" w:rsidP="00714AE6">
      <w:pPr>
        <w:pStyle w:val="Tekstprzypisudolnego"/>
        <w:ind w:left="181" w:hanging="181"/>
      </w:pPr>
      <w:r w:rsidRPr="00CD10A9">
        <w:rPr>
          <w:rStyle w:val="Odwoanieprzypisudolnego"/>
          <w:rFonts w:cs="Calibri"/>
          <w:position w:val="2"/>
          <w:sz w:val="22"/>
          <w:szCs w:val="22"/>
        </w:rPr>
        <w:footnoteRef/>
      </w:r>
      <w:r w:rsidRPr="00CD10A9">
        <w:rPr>
          <w:rFonts w:cs="Calibri"/>
          <w:position w:val="2"/>
          <w:sz w:val="22"/>
          <w:szCs w:val="22"/>
          <w:vertAlign w:val="superscript"/>
        </w:rPr>
        <w:t>)</w:t>
      </w:r>
      <w:r w:rsidRPr="00CD10A9">
        <w:t xml:space="preserve"> </w:t>
      </w:r>
      <w:r w:rsidRPr="00CD10A9">
        <w:rPr>
          <w:rFonts w:cs="Calibri"/>
          <w:sz w:val="22"/>
          <w:szCs w:val="22"/>
        </w:rPr>
        <w:t>„Informacja o stanie mienia miasta stołecznego Warszawy” sporządzona na dzień 31 grudnia 2022 r. wg danych zebranych do dnia 1.03.2023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B39"/>
    <w:multiLevelType w:val="hybridMultilevel"/>
    <w:tmpl w:val="9CCCD598"/>
    <w:lvl w:ilvl="0" w:tplc="EE6A07B6">
      <w:start w:val="1"/>
      <w:numFmt w:val="bullet"/>
      <w:lvlText w:val=""/>
      <w:lvlJc w:val="left"/>
      <w:pPr>
        <w:ind w:left="-218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747" w:hanging="360"/>
      </w:pPr>
      <w:rPr>
        <w:rFonts w:ascii="Wingdings" w:hAnsi="Wingdings" w:hint="default"/>
      </w:rPr>
    </w:lvl>
    <w:lvl w:ilvl="3" w:tplc="04150001" w:tentative="1">
      <w:start w:val="1"/>
      <w:numFmt w:val="bullet"/>
      <w:lvlText w:val=""/>
      <w:lvlJc w:val="left"/>
      <w:pPr>
        <w:ind w:left="-27" w:hanging="360"/>
      </w:pPr>
      <w:rPr>
        <w:rFonts w:ascii="Symbol" w:hAnsi="Symbol" w:hint="default"/>
      </w:rPr>
    </w:lvl>
    <w:lvl w:ilvl="4" w:tplc="04150003" w:tentative="1">
      <w:start w:val="1"/>
      <w:numFmt w:val="bullet"/>
      <w:lvlText w:val="o"/>
      <w:lvlJc w:val="left"/>
      <w:pPr>
        <w:ind w:left="693" w:hanging="360"/>
      </w:pPr>
      <w:rPr>
        <w:rFonts w:ascii="Courier New" w:hAnsi="Courier New" w:cs="Courier New" w:hint="default"/>
      </w:rPr>
    </w:lvl>
    <w:lvl w:ilvl="5" w:tplc="04150005" w:tentative="1">
      <w:start w:val="1"/>
      <w:numFmt w:val="bullet"/>
      <w:lvlText w:val=""/>
      <w:lvlJc w:val="left"/>
      <w:pPr>
        <w:ind w:left="1413" w:hanging="360"/>
      </w:pPr>
      <w:rPr>
        <w:rFonts w:ascii="Wingdings" w:hAnsi="Wingdings" w:hint="default"/>
      </w:rPr>
    </w:lvl>
    <w:lvl w:ilvl="6" w:tplc="04150001" w:tentative="1">
      <w:start w:val="1"/>
      <w:numFmt w:val="bullet"/>
      <w:lvlText w:val=""/>
      <w:lvlJc w:val="left"/>
      <w:pPr>
        <w:ind w:left="2133" w:hanging="360"/>
      </w:pPr>
      <w:rPr>
        <w:rFonts w:ascii="Symbol" w:hAnsi="Symbol" w:hint="default"/>
      </w:rPr>
    </w:lvl>
    <w:lvl w:ilvl="7" w:tplc="04150003" w:tentative="1">
      <w:start w:val="1"/>
      <w:numFmt w:val="bullet"/>
      <w:lvlText w:val="o"/>
      <w:lvlJc w:val="left"/>
      <w:pPr>
        <w:ind w:left="2853" w:hanging="360"/>
      </w:pPr>
      <w:rPr>
        <w:rFonts w:ascii="Courier New" w:hAnsi="Courier New" w:cs="Courier New" w:hint="default"/>
      </w:rPr>
    </w:lvl>
    <w:lvl w:ilvl="8" w:tplc="04150005" w:tentative="1">
      <w:start w:val="1"/>
      <w:numFmt w:val="bullet"/>
      <w:lvlText w:val=""/>
      <w:lvlJc w:val="left"/>
      <w:pPr>
        <w:ind w:left="3573" w:hanging="360"/>
      </w:pPr>
      <w:rPr>
        <w:rFonts w:ascii="Wingdings" w:hAnsi="Wingdings" w:hint="default"/>
      </w:rPr>
    </w:lvl>
  </w:abstractNum>
  <w:abstractNum w:abstractNumId="1" w15:restartNumberingAfterBreak="0">
    <w:nsid w:val="09C20BF9"/>
    <w:multiLevelType w:val="hybridMultilevel"/>
    <w:tmpl w:val="A9C8D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C722B"/>
    <w:multiLevelType w:val="hybridMultilevel"/>
    <w:tmpl w:val="53A664DE"/>
    <w:lvl w:ilvl="0" w:tplc="844A8EFC">
      <w:start w:val="1"/>
      <w:numFmt w:val="bullet"/>
      <w:lvlText w:val="­"/>
      <w:lvlJc w:val="left"/>
      <w:pPr>
        <w:tabs>
          <w:tab w:val="num" w:pos="1353"/>
        </w:tabs>
        <w:ind w:left="1353" w:hanging="360"/>
      </w:pPr>
      <w:rPr>
        <w:rFonts w:ascii="Courier New" w:hAnsi="Courier New" w:hint="default"/>
        <w:b w:val="0"/>
        <w:i w:val="0"/>
        <w:sz w:val="22"/>
      </w:rPr>
    </w:lvl>
    <w:lvl w:ilvl="1" w:tplc="52B8CADE">
      <w:start w:val="1"/>
      <w:numFmt w:val="none"/>
      <w:lvlText w:val="a)"/>
      <w:lvlJc w:val="left"/>
      <w:pPr>
        <w:tabs>
          <w:tab w:val="num" w:pos="1534"/>
        </w:tabs>
        <w:ind w:left="1534" w:hanging="454"/>
      </w:pPr>
      <w:rPr>
        <w:rFonts w:ascii="Bookman Old Style" w:hAnsi="Bookman Old Style" w:hint="default"/>
        <w:b w:val="0"/>
        <w:i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2" w:tplc="276A5E52">
      <w:start w:val="1"/>
      <w:numFmt w:val="bullet"/>
      <w:lvlText w:val="-"/>
      <w:lvlJc w:val="left"/>
      <w:pPr>
        <w:tabs>
          <w:tab w:val="num" w:pos="2340"/>
        </w:tabs>
        <w:ind w:left="2340" w:hanging="360"/>
      </w:pPr>
      <w:rPr>
        <w:rFonts w:ascii="Sylfaen" w:hAnsi="Sylfaen" w:hint="default"/>
        <w:b w:val="0"/>
        <w:i w:val="0"/>
        <w:sz w:val="22"/>
      </w:rPr>
    </w:lvl>
    <w:lvl w:ilvl="3" w:tplc="FE6C17BE">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4B63BED"/>
    <w:multiLevelType w:val="hybridMultilevel"/>
    <w:tmpl w:val="F0CEC360"/>
    <w:lvl w:ilvl="0" w:tplc="F33E299E">
      <w:start w:val="1"/>
      <w:numFmt w:val="decimal"/>
      <w:lvlText w:val="%1."/>
      <w:lvlJc w:val="left"/>
      <w:pPr>
        <w:tabs>
          <w:tab w:val="num" w:pos="4188"/>
        </w:tabs>
        <w:ind w:left="4188" w:hanging="360"/>
      </w:pPr>
      <w:rPr>
        <w:rFonts w:ascii="Calibri" w:hAnsi="Calibri" w:cs="Calibri" w:hint="default"/>
        <w:b/>
        <w:i w:val="0"/>
        <w:sz w:val="22"/>
      </w:rPr>
    </w:lvl>
    <w:lvl w:ilvl="1" w:tplc="2D8CCD12">
      <w:start w:val="1"/>
      <w:numFmt w:val="upperRoman"/>
      <w:lvlText w:val="%2."/>
      <w:lvlJc w:val="left"/>
      <w:pPr>
        <w:tabs>
          <w:tab w:val="num" w:pos="4102"/>
        </w:tabs>
        <w:ind w:left="4102" w:hanging="454"/>
      </w:pPr>
      <w:rPr>
        <w:rFonts w:ascii="Bookman Old Style" w:hAnsi="Bookman Old Style" w:hint="default"/>
        <w:b w:val="0"/>
        <w:i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2" w:tplc="4C70D3EA">
      <w:start w:val="1"/>
      <w:numFmt w:val="decimal"/>
      <w:lvlText w:val="%3)"/>
      <w:lvlJc w:val="left"/>
      <w:pPr>
        <w:tabs>
          <w:tab w:val="num" w:pos="4908"/>
        </w:tabs>
        <w:ind w:left="4908" w:hanging="360"/>
      </w:pPr>
      <w:rPr>
        <w:rFonts w:ascii="Bookman Old Style" w:hAnsi="Bookman Old Style" w:hint="default"/>
        <w:b w:val="0"/>
        <w:i w:val="0"/>
        <w:sz w:val="22"/>
      </w:rPr>
    </w:lvl>
    <w:lvl w:ilvl="3" w:tplc="65CCA0CA">
      <w:start w:val="1"/>
      <w:numFmt w:val="lowerLetter"/>
      <w:lvlText w:val="%4)"/>
      <w:lvlJc w:val="left"/>
      <w:pPr>
        <w:tabs>
          <w:tab w:val="num" w:pos="5448"/>
        </w:tabs>
        <w:ind w:left="5448" w:hanging="360"/>
      </w:pPr>
      <w:rPr>
        <w:rFonts w:ascii="Bookman Old Style" w:hAnsi="Bookman Old Style"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tentative="1">
      <w:start w:val="1"/>
      <w:numFmt w:val="lowerLetter"/>
      <w:lvlText w:val="%5."/>
      <w:lvlJc w:val="left"/>
      <w:pPr>
        <w:tabs>
          <w:tab w:val="num" w:pos="6168"/>
        </w:tabs>
        <w:ind w:left="6168" w:hanging="360"/>
      </w:pPr>
    </w:lvl>
    <w:lvl w:ilvl="5" w:tplc="0415001B" w:tentative="1">
      <w:start w:val="1"/>
      <w:numFmt w:val="lowerRoman"/>
      <w:lvlText w:val="%6."/>
      <w:lvlJc w:val="right"/>
      <w:pPr>
        <w:tabs>
          <w:tab w:val="num" w:pos="6888"/>
        </w:tabs>
        <w:ind w:left="6888" w:hanging="180"/>
      </w:pPr>
    </w:lvl>
    <w:lvl w:ilvl="6" w:tplc="0415000F" w:tentative="1">
      <w:start w:val="1"/>
      <w:numFmt w:val="decimal"/>
      <w:lvlText w:val="%7."/>
      <w:lvlJc w:val="left"/>
      <w:pPr>
        <w:tabs>
          <w:tab w:val="num" w:pos="7608"/>
        </w:tabs>
        <w:ind w:left="7608" w:hanging="360"/>
      </w:pPr>
    </w:lvl>
    <w:lvl w:ilvl="7" w:tplc="04150019" w:tentative="1">
      <w:start w:val="1"/>
      <w:numFmt w:val="lowerLetter"/>
      <w:lvlText w:val="%8."/>
      <w:lvlJc w:val="left"/>
      <w:pPr>
        <w:tabs>
          <w:tab w:val="num" w:pos="8328"/>
        </w:tabs>
        <w:ind w:left="8328" w:hanging="360"/>
      </w:pPr>
    </w:lvl>
    <w:lvl w:ilvl="8" w:tplc="0415001B" w:tentative="1">
      <w:start w:val="1"/>
      <w:numFmt w:val="lowerRoman"/>
      <w:lvlText w:val="%9."/>
      <w:lvlJc w:val="right"/>
      <w:pPr>
        <w:tabs>
          <w:tab w:val="num" w:pos="9048"/>
        </w:tabs>
        <w:ind w:left="9048" w:hanging="180"/>
      </w:pPr>
    </w:lvl>
  </w:abstractNum>
  <w:abstractNum w:abstractNumId="4" w15:restartNumberingAfterBreak="0">
    <w:nsid w:val="17862940"/>
    <w:multiLevelType w:val="hybridMultilevel"/>
    <w:tmpl w:val="6BD0A332"/>
    <w:lvl w:ilvl="0" w:tplc="EE6A0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633252"/>
    <w:multiLevelType w:val="hybridMultilevel"/>
    <w:tmpl w:val="3F5AC862"/>
    <w:lvl w:ilvl="0" w:tplc="EE6A07B6">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15:restartNumberingAfterBreak="0">
    <w:nsid w:val="1EF019AC"/>
    <w:multiLevelType w:val="hybridMultilevel"/>
    <w:tmpl w:val="8460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2A22DD"/>
    <w:multiLevelType w:val="hybridMultilevel"/>
    <w:tmpl w:val="70A4C07E"/>
    <w:lvl w:ilvl="0" w:tplc="EE6A07B6">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8CD09A3"/>
    <w:multiLevelType w:val="hybridMultilevel"/>
    <w:tmpl w:val="120A83A6"/>
    <w:lvl w:ilvl="0" w:tplc="04150005">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4B6845"/>
    <w:multiLevelType w:val="hybridMultilevel"/>
    <w:tmpl w:val="BA34EB30"/>
    <w:lvl w:ilvl="0" w:tplc="EE6A07B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76B380F"/>
    <w:multiLevelType w:val="hybridMultilevel"/>
    <w:tmpl w:val="B2527D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955227F"/>
    <w:multiLevelType w:val="hybridMultilevel"/>
    <w:tmpl w:val="2C02C11E"/>
    <w:lvl w:ilvl="0" w:tplc="145C5AC2">
      <w:start w:val="3"/>
      <w:numFmt w:val="decimal"/>
      <w:lvlText w:val="%1."/>
      <w:lvlJc w:val="left"/>
      <w:pPr>
        <w:tabs>
          <w:tab w:val="num" w:pos="360"/>
        </w:tabs>
        <w:ind w:left="360" w:hanging="360"/>
      </w:pPr>
      <w:rPr>
        <w:rFonts w:ascii="Calibri" w:hAnsi="Calibri" w:cs="Calibri" w:hint="default"/>
        <w:b w:val="0"/>
        <w:i w:val="0"/>
        <w:sz w:val="22"/>
      </w:rPr>
    </w:lvl>
    <w:lvl w:ilvl="1" w:tplc="14C091DE">
      <w:start w:val="1"/>
      <w:numFmt w:val="bullet"/>
      <w:lvlText w:val=""/>
      <w:lvlJc w:val="left"/>
      <w:pPr>
        <w:ind w:left="180" w:hanging="360"/>
      </w:pPr>
      <w:rPr>
        <w:rFonts w:ascii="Wingdings" w:hAnsi="Wingdings" w:hint="default"/>
        <w:sz w:val="20"/>
        <w:szCs w:val="20"/>
      </w:rPr>
    </w:lvl>
    <w:lvl w:ilvl="2" w:tplc="0415001B" w:tentative="1">
      <w:start w:val="1"/>
      <w:numFmt w:val="lowerRoman"/>
      <w:lvlText w:val="%3."/>
      <w:lvlJc w:val="right"/>
      <w:pPr>
        <w:ind w:left="900" w:hanging="180"/>
      </w:pPr>
    </w:lvl>
    <w:lvl w:ilvl="3" w:tplc="0415000F" w:tentative="1">
      <w:start w:val="1"/>
      <w:numFmt w:val="decimal"/>
      <w:lvlText w:val="%4."/>
      <w:lvlJc w:val="left"/>
      <w:pPr>
        <w:ind w:left="1620" w:hanging="360"/>
      </w:pPr>
    </w:lvl>
    <w:lvl w:ilvl="4" w:tplc="04150019" w:tentative="1">
      <w:start w:val="1"/>
      <w:numFmt w:val="lowerLetter"/>
      <w:lvlText w:val="%5."/>
      <w:lvlJc w:val="left"/>
      <w:pPr>
        <w:ind w:left="2340" w:hanging="360"/>
      </w:pPr>
    </w:lvl>
    <w:lvl w:ilvl="5" w:tplc="0415001B" w:tentative="1">
      <w:start w:val="1"/>
      <w:numFmt w:val="lowerRoman"/>
      <w:lvlText w:val="%6."/>
      <w:lvlJc w:val="right"/>
      <w:pPr>
        <w:ind w:left="3060" w:hanging="180"/>
      </w:pPr>
    </w:lvl>
    <w:lvl w:ilvl="6" w:tplc="0415000F" w:tentative="1">
      <w:start w:val="1"/>
      <w:numFmt w:val="decimal"/>
      <w:lvlText w:val="%7."/>
      <w:lvlJc w:val="left"/>
      <w:pPr>
        <w:ind w:left="3780" w:hanging="360"/>
      </w:pPr>
    </w:lvl>
    <w:lvl w:ilvl="7" w:tplc="04150019" w:tentative="1">
      <w:start w:val="1"/>
      <w:numFmt w:val="lowerLetter"/>
      <w:lvlText w:val="%8."/>
      <w:lvlJc w:val="left"/>
      <w:pPr>
        <w:ind w:left="4500" w:hanging="360"/>
      </w:pPr>
    </w:lvl>
    <w:lvl w:ilvl="8" w:tplc="0415001B" w:tentative="1">
      <w:start w:val="1"/>
      <w:numFmt w:val="lowerRoman"/>
      <w:lvlText w:val="%9."/>
      <w:lvlJc w:val="right"/>
      <w:pPr>
        <w:ind w:left="5220" w:hanging="180"/>
      </w:pPr>
    </w:lvl>
  </w:abstractNum>
  <w:abstractNum w:abstractNumId="12" w15:restartNumberingAfterBreak="0">
    <w:nsid w:val="3A3843A2"/>
    <w:multiLevelType w:val="multilevel"/>
    <w:tmpl w:val="AB3A7C14"/>
    <w:lvl w:ilvl="0">
      <w:start w:val="1"/>
      <w:numFmt w:val="decimal"/>
      <w:lvlText w:val="%1."/>
      <w:lvlJc w:val="left"/>
      <w:pPr>
        <w:tabs>
          <w:tab w:val="num" w:pos="3338"/>
        </w:tabs>
        <w:ind w:left="3338" w:hanging="360"/>
      </w:pPr>
      <w:rPr>
        <w:rFonts w:ascii="Calibri" w:hAnsi="Calibri" w:cs="Calibri" w:hint="default"/>
        <w:b w:val="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3" w15:restartNumberingAfterBreak="0">
    <w:nsid w:val="3CBF1CF1"/>
    <w:multiLevelType w:val="multilevel"/>
    <w:tmpl w:val="DBA2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8406B"/>
    <w:multiLevelType w:val="hybridMultilevel"/>
    <w:tmpl w:val="B1D026E2"/>
    <w:lvl w:ilvl="0" w:tplc="76FE810E">
      <w:start w:val="7"/>
      <w:numFmt w:val="decimal"/>
      <w:lvlText w:val="%1."/>
      <w:lvlJc w:val="left"/>
      <w:pPr>
        <w:tabs>
          <w:tab w:val="num" w:pos="360"/>
        </w:tabs>
        <w:ind w:left="360" w:hanging="360"/>
      </w:pPr>
      <w:rPr>
        <w:rFonts w:ascii="Calibri" w:hAnsi="Calibri" w:cs="Calibri" w:hint="default"/>
        <w:b w:val="0"/>
        <w:i w:val="0"/>
        <w:sz w:val="22"/>
      </w:rPr>
    </w:lvl>
    <w:lvl w:ilvl="1" w:tplc="8B10804A">
      <w:start w:val="1"/>
      <w:numFmt w:val="bullet"/>
      <w:lvlText w:val=""/>
      <w:lvlJc w:val="left"/>
      <w:pPr>
        <w:ind w:left="1440" w:hanging="360"/>
      </w:pPr>
      <w:rPr>
        <w:rFonts w:ascii="Wingdings" w:hAnsi="Wingdings" w:hint="default"/>
        <w:b w:val="0"/>
        <w:i w:val="0"/>
        <w:sz w:val="20"/>
        <w:szCs w:val="20"/>
      </w:rPr>
    </w:lvl>
    <w:lvl w:ilvl="2" w:tplc="0415001B">
      <w:start w:val="1"/>
      <w:numFmt w:val="lowerRoman"/>
      <w:lvlText w:val="%3."/>
      <w:lvlJc w:val="right"/>
      <w:pPr>
        <w:ind w:left="2160" w:hanging="180"/>
      </w:pPr>
    </w:lvl>
    <w:lvl w:ilvl="3" w:tplc="04150019">
      <w:start w:val="1"/>
      <w:numFmt w:val="lowerLetter"/>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923142"/>
    <w:multiLevelType w:val="hybridMultilevel"/>
    <w:tmpl w:val="2E444AEE"/>
    <w:lvl w:ilvl="0" w:tplc="1C147A20">
      <w:start w:val="5"/>
      <w:numFmt w:val="decimal"/>
      <w:lvlText w:val="%1."/>
      <w:lvlJc w:val="left"/>
      <w:pPr>
        <w:tabs>
          <w:tab w:val="num" w:pos="4188"/>
        </w:tabs>
        <w:ind w:left="4188" w:hanging="360"/>
      </w:pPr>
      <w:rPr>
        <w:rFonts w:ascii="Calibri" w:hAnsi="Calibri" w:cs="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3B39BA"/>
    <w:multiLevelType w:val="hybridMultilevel"/>
    <w:tmpl w:val="040C937E"/>
    <w:lvl w:ilvl="0" w:tplc="0150D0B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0D5C07"/>
    <w:multiLevelType w:val="hybridMultilevel"/>
    <w:tmpl w:val="9B90490A"/>
    <w:lvl w:ilvl="0" w:tplc="EE6A07B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8" w15:restartNumberingAfterBreak="0">
    <w:nsid w:val="5DFD7F87"/>
    <w:multiLevelType w:val="hybridMultilevel"/>
    <w:tmpl w:val="F8BABE50"/>
    <w:lvl w:ilvl="0" w:tplc="EE6A07B6">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9" w15:restartNumberingAfterBreak="0">
    <w:nsid w:val="649A31D0"/>
    <w:multiLevelType w:val="hybridMultilevel"/>
    <w:tmpl w:val="819845CE"/>
    <w:lvl w:ilvl="0" w:tplc="EE6A07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5B04FD8"/>
    <w:multiLevelType w:val="hybridMultilevel"/>
    <w:tmpl w:val="55BC607C"/>
    <w:lvl w:ilvl="0" w:tplc="9FD07E0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606DBC"/>
    <w:multiLevelType w:val="hybridMultilevel"/>
    <w:tmpl w:val="809EAC4E"/>
    <w:lvl w:ilvl="0" w:tplc="CE4A83BE">
      <w:start w:val="1"/>
      <w:numFmt w:val="decimal"/>
      <w:lvlText w:val="%1."/>
      <w:lvlJc w:val="left"/>
      <w:pPr>
        <w:ind w:left="1069" w:hanging="360"/>
      </w:pPr>
      <w:rPr>
        <w:rFonts w:ascii="Calibri" w:eastAsia="Times New Roman" w:hAnsi="Calibri" w:cs="Calibri"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77E37F1C"/>
    <w:multiLevelType w:val="hybridMultilevel"/>
    <w:tmpl w:val="27124CDA"/>
    <w:lvl w:ilvl="0" w:tplc="DF4A9EDC">
      <w:start w:val="1"/>
      <w:numFmt w:val="decimal"/>
      <w:lvlText w:val="2.%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C911FDA"/>
    <w:multiLevelType w:val="hybridMultilevel"/>
    <w:tmpl w:val="BD223F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3"/>
  </w:num>
  <w:num w:numId="5">
    <w:abstractNumId w:val="2"/>
  </w:num>
  <w:num w:numId="6">
    <w:abstractNumId w:val="11"/>
  </w:num>
  <w:num w:numId="7">
    <w:abstractNumId w:val="21"/>
  </w:num>
  <w:num w:numId="8">
    <w:abstractNumId w:val="0"/>
  </w:num>
  <w:num w:numId="9">
    <w:abstractNumId w:val="8"/>
  </w:num>
  <w:num w:numId="10">
    <w:abstractNumId w:val="10"/>
  </w:num>
  <w:num w:numId="11">
    <w:abstractNumId w:val="17"/>
  </w:num>
  <w:num w:numId="12">
    <w:abstractNumId w:val="14"/>
  </w:num>
  <w:num w:numId="13">
    <w:abstractNumId w:val="15"/>
  </w:num>
  <w:num w:numId="14">
    <w:abstractNumId w:val="16"/>
  </w:num>
  <w:num w:numId="15">
    <w:abstractNumId w:val="23"/>
  </w:num>
  <w:num w:numId="16">
    <w:abstractNumId w:val="1"/>
  </w:num>
  <w:num w:numId="17">
    <w:abstractNumId w:val="22"/>
  </w:num>
  <w:num w:numId="18">
    <w:abstractNumId w:val="18"/>
  </w:num>
  <w:num w:numId="19">
    <w:abstractNumId w:val="4"/>
  </w:num>
  <w:num w:numId="20">
    <w:abstractNumId w:val="20"/>
  </w:num>
  <w:num w:numId="21">
    <w:abstractNumId w:val="19"/>
  </w:num>
  <w:num w:numId="22">
    <w:abstractNumId w:val="9"/>
  </w:num>
  <w:num w:numId="23">
    <w:abstractNumId w:val="7"/>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C2"/>
    <w:rsid w:val="00004D5D"/>
    <w:rsid w:val="0001113B"/>
    <w:rsid w:val="00011AA8"/>
    <w:rsid w:val="0001219A"/>
    <w:rsid w:val="00012994"/>
    <w:rsid w:val="00013364"/>
    <w:rsid w:val="00013793"/>
    <w:rsid w:val="00015373"/>
    <w:rsid w:val="00016A14"/>
    <w:rsid w:val="00031720"/>
    <w:rsid w:val="0003331C"/>
    <w:rsid w:val="000338FB"/>
    <w:rsid w:val="00043378"/>
    <w:rsid w:val="00046D35"/>
    <w:rsid w:val="000470AC"/>
    <w:rsid w:val="00056D2A"/>
    <w:rsid w:val="000573EC"/>
    <w:rsid w:val="0006065A"/>
    <w:rsid w:val="000608EC"/>
    <w:rsid w:val="00061DDC"/>
    <w:rsid w:val="0006305B"/>
    <w:rsid w:val="00076EC7"/>
    <w:rsid w:val="000814B3"/>
    <w:rsid w:val="000916AB"/>
    <w:rsid w:val="00092432"/>
    <w:rsid w:val="00092AAF"/>
    <w:rsid w:val="000935E7"/>
    <w:rsid w:val="00094BF2"/>
    <w:rsid w:val="000965EF"/>
    <w:rsid w:val="000A0797"/>
    <w:rsid w:val="000A26B8"/>
    <w:rsid w:val="000A55FD"/>
    <w:rsid w:val="000B71D7"/>
    <w:rsid w:val="000B731C"/>
    <w:rsid w:val="000B79EB"/>
    <w:rsid w:val="000C19DD"/>
    <w:rsid w:val="000C3E40"/>
    <w:rsid w:val="000C43C9"/>
    <w:rsid w:val="000C68F7"/>
    <w:rsid w:val="000C6970"/>
    <w:rsid w:val="000C7296"/>
    <w:rsid w:val="000C7C86"/>
    <w:rsid w:val="000C7D94"/>
    <w:rsid w:val="000D2A05"/>
    <w:rsid w:val="000D2D1E"/>
    <w:rsid w:val="000D5C70"/>
    <w:rsid w:val="000D72C0"/>
    <w:rsid w:val="000E45BA"/>
    <w:rsid w:val="000E4FB8"/>
    <w:rsid w:val="000E61BC"/>
    <w:rsid w:val="000E79D8"/>
    <w:rsid w:val="000F0F5C"/>
    <w:rsid w:val="000F5E09"/>
    <w:rsid w:val="00100ED8"/>
    <w:rsid w:val="00102B77"/>
    <w:rsid w:val="00103189"/>
    <w:rsid w:val="00105784"/>
    <w:rsid w:val="00105A93"/>
    <w:rsid w:val="0010617C"/>
    <w:rsid w:val="001063C3"/>
    <w:rsid w:val="00106755"/>
    <w:rsid w:val="00107735"/>
    <w:rsid w:val="00110996"/>
    <w:rsid w:val="00114E48"/>
    <w:rsid w:val="00120D6D"/>
    <w:rsid w:val="00122D16"/>
    <w:rsid w:val="00122E95"/>
    <w:rsid w:val="001246AE"/>
    <w:rsid w:val="00125C64"/>
    <w:rsid w:val="00127B2B"/>
    <w:rsid w:val="001303CC"/>
    <w:rsid w:val="001307FF"/>
    <w:rsid w:val="00134270"/>
    <w:rsid w:val="00134298"/>
    <w:rsid w:val="00137A7E"/>
    <w:rsid w:val="0014077B"/>
    <w:rsid w:val="001434AD"/>
    <w:rsid w:val="0014415E"/>
    <w:rsid w:val="00147029"/>
    <w:rsid w:val="00152373"/>
    <w:rsid w:val="00152F25"/>
    <w:rsid w:val="00154EBA"/>
    <w:rsid w:val="00164013"/>
    <w:rsid w:val="00165741"/>
    <w:rsid w:val="00170230"/>
    <w:rsid w:val="00175071"/>
    <w:rsid w:val="00180B57"/>
    <w:rsid w:val="001838E2"/>
    <w:rsid w:val="00184F91"/>
    <w:rsid w:val="00192AFD"/>
    <w:rsid w:val="00193EF1"/>
    <w:rsid w:val="00195B3E"/>
    <w:rsid w:val="001A0306"/>
    <w:rsid w:val="001A3126"/>
    <w:rsid w:val="001B1AD4"/>
    <w:rsid w:val="001B2168"/>
    <w:rsid w:val="001B2275"/>
    <w:rsid w:val="001B599F"/>
    <w:rsid w:val="001B5D4D"/>
    <w:rsid w:val="001B60EA"/>
    <w:rsid w:val="001C46B5"/>
    <w:rsid w:val="001C607C"/>
    <w:rsid w:val="001C6181"/>
    <w:rsid w:val="001C707B"/>
    <w:rsid w:val="001C7B53"/>
    <w:rsid w:val="001D0D5A"/>
    <w:rsid w:val="001D3146"/>
    <w:rsid w:val="001D5F7D"/>
    <w:rsid w:val="001D6EFE"/>
    <w:rsid w:val="001E16D0"/>
    <w:rsid w:val="001E45D1"/>
    <w:rsid w:val="001E54A1"/>
    <w:rsid w:val="001F0835"/>
    <w:rsid w:val="001F2176"/>
    <w:rsid w:val="001F2585"/>
    <w:rsid w:val="001F452D"/>
    <w:rsid w:val="001F4F56"/>
    <w:rsid w:val="001F6CAB"/>
    <w:rsid w:val="002012E7"/>
    <w:rsid w:val="00207F77"/>
    <w:rsid w:val="00210748"/>
    <w:rsid w:val="00210EB6"/>
    <w:rsid w:val="0021385B"/>
    <w:rsid w:val="002145A9"/>
    <w:rsid w:val="00217678"/>
    <w:rsid w:val="00221AC2"/>
    <w:rsid w:val="0022456A"/>
    <w:rsid w:val="00226891"/>
    <w:rsid w:val="00230536"/>
    <w:rsid w:val="002316E2"/>
    <w:rsid w:val="00231ACB"/>
    <w:rsid w:val="00231E88"/>
    <w:rsid w:val="00231F25"/>
    <w:rsid w:val="00232907"/>
    <w:rsid w:val="0023311D"/>
    <w:rsid w:val="00233805"/>
    <w:rsid w:val="00234667"/>
    <w:rsid w:val="0023495E"/>
    <w:rsid w:val="002368D1"/>
    <w:rsid w:val="002376D0"/>
    <w:rsid w:val="00247494"/>
    <w:rsid w:val="002503CC"/>
    <w:rsid w:val="00250B83"/>
    <w:rsid w:val="002533B2"/>
    <w:rsid w:val="002546D0"/>
    <w:rsid w:val="00262935"/>
    <w:rsid w:val="00267631"/>
    <w:rsid w:val="002677A5"/>
    <w:rsid w:val="00275E0F"/>
    <w:rsid w:val="00276CAE"/>
    <w:rsid w:val="00277781"/>
    <w:rsid w:val="00282C1F"/>
    <w:rsid w:val="00285A25"/>
    <w:rsid w:val="002901BC"/>
    <w:rsid w:val="0029399F"/>
    <w:rsid w:val="00294640"/>
    <w:rsid w:val="002966DD"/>
    <w:rsid w:val="002A35C6"/>
    <w:rsid w:val="002A50C8"/>
    <w:rsid w:val="002A6C1F"/>
    <w:rsid w:val="002B1968"/>
    <w:rsid w:val="002B352A"/>
    <w:rsid w:val="002B42E6"/>
    <w:rsid w:val="002B4F8D"/>
    <w:rsid w:val="002C0815"/>
    <w:rsid w:val="002C1B0B"/>
    <w:rsid w:val="002C23C0"/>
    <w:rsid w:val="002C2EDD"/>
    <w:rsid w:val="002C37E9"/>
    <w:rsid w:val="002C3D4D"/>
    <w:rsid w:val="002C3DD2"/>
    <w:rsid w:val="002C7E89"/>
    <w:rsid w:val="002D1830"/>
    <w:rsid w:val="002D279E"/>
    <w:rsid w:val="002D29BC"/>
    <w:rsid w:val="002D42E8"/>
    <w:rsid w:val="002D4402"/>
    <w:rsid w:val="002D5320"/>
    <w:rsid w:val="002D75A4"/>
    <w:rsid w:val="002D7BE4"/>
    <w:rsid w:val="002E0453"/>
    <w:rsid w:val="002E2F1C"/>
    <w:rsid w:val="002E4A93"/>
    <w:rsid w:val="002E5BAC"/>
    <w:rsid w:val="002E6942"/>
    <w:rsid w:val="002E76D0"/>
    <w:rsid w:val="002F002D"/>
    <w:rsid w:val="002F1A78"/>
    <w:rsid w:val="002F1BAB"/>
    <w:rsid w:val="002F3136"/>
    <w:rsid w:val="002F3FDC"/>
    <w:rsid w:val="002F70EB"/>
    <w:rsid w:val="002F7C52"/>
    <w:rsid w:val="00305ECF"/>
    <w:rsid w:val="003103E2"/>
    <w:rsid w:val="00313890"/>
    <w:rsid w:val="00314152"/>
    <w:rsid w:val="003146BA"/>
    <w:rsid w:val="00321E19"/>
    <w:rsid w:val="00324054"/>
    <w:rsid w:val="003267D4"/>
    <w:rsid w:val="003277EF"/>
    <w:rsid w:val="003314B8"/>
    <w:rsid w:val="00336D91"/>
    <w:rsid w:val="00340290"/>
    <w:rsid w:val="00340C93"/>
    <w:rsid w:val="0034188D"/>
    <w:rsid w:val="00344686"/>
    <w:rsid w:val="00352954"/>
    <w:rsid w:val="003549A2"/>
    <w:rsid w:val="00354C97"/>
    <w:rsid w:val="00356B09"/>
    <w:rsid w:val="003571A7"/>
    <w:rsid w:val="00362E94"/>
    <w:rsid w:val="00363A96"/>
    <w:rsid w:val="003710E0"/>
    <w:rsid w:val="00371432"/>
    <w:rsid w:val="00371C31"/>
    <w:rsid w:val="00371E5E"/>
    <w:rsid w:val="00374465"/>
    <w:rsid w:val="00374AE5"/>
    <w:rsid w:val="003802EB"/>
    <w:rsid w:val="00385E9C"/>
    <w:rsid w:val="0039026E"/>
    <w:rsid w:val="0039277A"/>
    <w:rsid w:val="00395451"/>
    <w:rsid w:val="00395C62"/>
    <w:rsid w:val="0039713F"/>
    <w:rsid w:val="003A1209"/>
    <w:rsid w:val="003A3FD0"/>
    <w:rsid w:val="003A521D"/>
    <w:rsid w:val="003A64A8"/>
    <w:rsid w:val="003A6BE5"/>
    <w:rsid w:val="003A789F"/>
    <w:rsid w:val="003A7AC9"/>
    <w:rsid w:val="003B1648"/>
    <w:rsid w:val="003B43C8"/>
    <w:rsid w:val="003B5593"/>
    <w:rsid w:val="003C2CCB"/>
    <w:rsid w:val="003D256E"/>
    <w:rsid w:val="003D39FC"/>
    <w:rsid w:val="003D5B0A"/>
    <w:rsid w:val="003D626E"/>
    <w:rsid w:val="003D6943"/>
    <w:rsid w:val="003E09E5"/>
    <w:rsid w:val="003E27AD"/>
    <w:rsid w:val="003E3FA5"/>
    <w:rsid w:val="003E568F"/>
    <w:rsid w:val="003E7A0C"/>
    <w:rsid w:val="003E7F17"/>
    <w:rsid w:val="003F0DAC"/>
    <w:rsid w:val="003F1A9F"/>
    <w:rsid w:val="003F3829"/>
    <w:rsid w:val="003F4B3E"/>
    <w:rsid w:val="003F4B4C"/>
    <w:rsid w:val="003F50E6"/>
    <w:rsid w:val="003F53F3"/>
    <w:rsid w:val="00401D0A"/>
    <w:rsid w:val="004022CF"/>
    <w:rsid w:val="00404579"/>
    <w:rsid w:val="00404B2F"/>
    <w:rsid w:val="0041069A"/>
    <w:rsid w:val="004160D7"/>
    <w:rsid w:val="00416AA5"/>
    <w:rsid w:val="004237A3"/>
    <w:rsid w:val="00423816"/>
    <w:rsid w:val="00424E96"/>
    <w:rsid w:val="004324AE"/>
    <w:rsid w:val="00434641"/>
    <w:rsid w:val="004375F7"/>
    <w:rsid w:val="004420F0"/>
    <w:rsid w:val="004426AD"/>
    <w:rsid w:val="00443478"/>
    <w:rsid w:val="00453051"/>
    <w:rsid w:val="004543E8"/>
    <w:rsid w:val="00454983"/>
    <w:rsid w:val="00454AE8"/>
    <w:rsid w:val="00456EFB"/>
    <w:rsid w:val="004575CF"/>
    <w:rsid w:val="00466FA8"/>
    <w:rsid w:val="00471839"/>
    <w:rsid w:val="004721D2"/>
    <w:rsid w:val="00474287"/>
    <w:rsid w:val="004751D5"/>
    <w:rsid w:val="0047578C"/>
    <w:rsid w:val="004759ED"/>
    <w:rsid w:val="00477E3E"/>
    <w:rsid w:val="0048546B"/>
    <w:rsid w:val="00487F07"/>
    <w:rsid w:val="00492519"/>
    <w:rsid w:val="0049404D"/>
    <w:rsid w:val="004A243C"/>
    <w:rsid w:val="004A2660"/>
    <w:rsid w:val="004A3436"/>
    <w:rsid w:val="004A4108"/>
    <w:rsid w:val="004A7639"/>
    <w:rsid w:val="004B1753"/>
    <w:rsid w:val="004B25C4"/>
    <w:rsid w:val="004B4044"/>
    <w:rsid w:val="004B4BFC"/>
    <w:rsid w:val="004B7D81"/>
    <w:rsid w:val="004C0952"/>
    <w:rsid w:val="004C2A7F"/>
    <w:rsid w:val="004C351B"/>
    <w:rsid w:val="004C5374"/>
    <w:rsid w:val="004C69A6"/>
    <w:rsid w:val="004D1E5C"/>
    <w:rsid w:val="004D2593"/>
    <w:rsid w:val="004D5CB4"/>
    <w:rsid w:val="004E2CC2"/>
    <w:rsid w:val="004E3874"/>
    <w:rsid w:val="004E4887"/>
    <w:rsid w:val="004E5F00"/>
    <w:rsid w:val="004E6D22"/>
    <w:rsid w:val="004F1F59"/>
    <w:rsid w:val="004F44D1"/>
    <w:rsid w:val="004F583B"/>
    <w:rsid w:val="004F5EEB"/>
    <w:rsid w:val="00502CD5"/>
    <w:rsid w:val="0050580A"/>
    <w:rsid w:val="00505FFC"/>
    <w:rsid w:val="005078DF"/>
    <w:rsid w:val="00507DA8"/>
    <w:rsid w:val="005102C3"/>
    <w:rsid w:val="005117FE"/>
    <w:rsid w:val="00512DC1"/>
    <w:rsid w:val="00513087"/>
    <w:rsid w:val="00521D5E"/>
    <w:rsid w:val="00524505"/>
    <w:rsid w:val="00525E0C"/>
    <w:rsid w:val="00525E7E"/>
    <w:rsid w:val="00526B90"/>
    <w:rsid w:val="00532B69"/>
    <w:rsid w:val="00535EA6"/>
    <w:rsid w:val="00537230"/>
    <w:rsid w:val="00540263"/>
    <w:rsid w:val="00540921"/>
    <w:rsid w:val="005421B4"/>
    <w:rsid w:val="00544DED"/>
    <w:rsid w:val="00551DFD"/>
    <w:rsid w:val="00551E38"/>
    <w:rsid w:val="0055282F"/>
    <w:rsid w:val="0055333B"/>
    <w:rsid w:val="0055387C"/>
    <w:rsid w:val="005544AA"/>
    <w:rsid w:val="00561715"/>
    <w:rsid w:val="00562072"/>
    <w:rsid w:val="005634C3"/>
    <w:rsid w:val="00563BEE"/>
    <w:rsid w:val="00564E09"/>
    <w:rsid w:val="00565954"/>
    <w:rsid w:val="00571779"/>
    <w:rsid w:val="005735E4"/>
    <w:rsid w:val="00574E87"/>
    <w:rsid w:val="0057636B"/>
    <w:rsid w:val="00577317"/>
    <w:rsid w:val="00580202"/>
    <w:rsid w:val="005804A3"/>
    <w:rsid w:val="00580693"/>
    <w:rsid w:val="00581E76"/>
    <w:rsid w:val="005829DF"/>
    <w:rsid w:val="00584519"/>
    <w:rsid w:val="00585D20"/>
    <w:rsid w:val="005862D2"/>
    <w:rsid w:val="00586A0B"/>
    <w:rsid w:val="005905EE"/>
    <w:rsid w:val="00590984"/>
    <w:rsid w:val="0059562B"/>
    <w:rsid w:val="00596B6C"/>
    <w:rsid w:val="005A3179"/>
    <w:rsid w:val="005A3DBB"/>
    <w:rsid w:val="005A5B34"/>
    <w:rsid w:val="005A7DF7"/>
    <w:rsid w:val="005B0E93"/>
    <w:rsid w:val="005B16BE"/>
    <w:rsid w:val="005B1A85"/>
    <w:rsid w:val="005B7BA9"/>
    <w:rsid w:val="005C0302"/>
    <w:rsid w:val="005C34E0"/>
    <w:rsid w:val="005C42C0"/>
    <w:rsid w:val="005C43A2"/>
    <w:rsid w:val="005C44D6"/>
    <w:rsid w:val="005C4CC9"/>
    <w:rsid w:val="005C5C36"/>
    <w:rsid w:val="005C7753"/>
    <w:rsid w:val="005D1664"/>
    <w:rsid w:val="005D179E"/>
    <w:rsid w:val="005D17E9"/>
    <w:rsid w:val="005D2D5D"/>
    <w:rsid w:val="005D3A63"/>
    <w:rsid w:val="005D7366"/>
    <w:rsid w:val="005E004A"/>
    <w:rsid w:val="005E1094"/>
    <w:rsid w:val="005E31EE"/>
    <w:rsid w:val="005E3288"/>
    <w:rsid w:val="005E7CE8"/>
    <w:rsid w:val="005F13A4"/>
    <w:rsid w:val="005F1AFD"/>
    <w:rsid w:val="005F3999"/>
    <w:rsid w:val="005F57D1"/>
    <w:rsid w:val="0060121F"/>
    <w:rsid w:val="00601F00"/>
    <w:rsid w:val="0060328F"/>
    <w:rsid w:val="006045CF"/>
    <w:rsid w:val="00604C76"/>
    <w:rsid w:val="0061173D"/>
    <w:rsid w:val="00612979"/>
    <w:rsid w:val="00612AFD"/>
    <w:rsid w:val="0061615D"/>
    <w:rsid w:val="00620740"/>
    <w:rsid w:val="00622B4A"/>
    <w:rsid w:val="00624676"/>
    <w:rsid w:val="00625038"/>
    <w:rsid w:val="00625A63"/>
    <w:rsid w:val="00626F7D"/>
    <w:rsid w:val="00630E7F"/>
    <w:rsid w:val="00634DCB"/>
    <w:rsid w:val="006367CA"/>
    <w:rsid w:val="006370F4"/>
    <w:rsid w:val="006371C2"/>
    <w:rsid w:val="006410AF"/>
    <w:rsid w:val="006431B5"/>
    <w:rsid w:val="00643534"/>
    <w:rsid w:val="00644708"/>
    <w:rsid w:val="0065547A"/>
    <w:rsid w:val="00655C9B"/>
    <w:rsid w:val="0065601D"/>
    <w:rsid w:val="00660710"/>
    <w:rsid w:val="006615F7"/>
    <w:rsid w:val="00661D5E"/>
    <w:rsid w:val="00661FA3"/>
    <w:rsid w:val="0066203F"/>
    <w:rsid w:val="00662171"/>
    <w:rsid w:val="00663508"/>
    <w:rsid w:val="006640BA"/>
    <w:rsid w:val="00664866"/>
    <w:rsid w:val="006679E2"/>
    <w:rsid w:val="00670ECE"/>
    <w:rsid w:val="0067111A"/>
    <w:rsid w:val="0067235B"/>
    <w:rsid w:val="0067308A"/>
    <w:rsid w:val="00677C5D"/>
    <w:rsid w:val="00682618"/>
    <w:rsid w:val="00683580"/>
    <w:rsid w:val="00694643"/>
    <w:rsid w:val="006960D2"/>
    <w:rsid w:val="00696C62"/>
    <w:rsid w:val="006A0F17"/>
    <w:rsid w:val="006A18BB"/>
    <w:rsid w:val="006A3900"/>
    <w:rsid w:val="006B10D5"/>
    <w:rsid w:val="006B12C3"/>
    <w:rsid w:val="006B2C69"/>
    <w:rsid w:val="006B3424"/>
    <w:rsid w:val="006B359A"/>
    <w:rsid w:val="006B4FE9"/>
    <w:rsid w:val="006B5B4E"/>
    <w:rsid w:val="006C0311"/>
    <w:rsid w:val="006C0DFB"/>
    <w:rsid w:val="006C1DBC"/>
    <w:rsid w:val="006C28F8"/>
    <w:rsid w:val="006C397B"/>
    <w:rsid w:val="006C3C08"/>
    <w:rsid w:val="006C5DC2"/>
    <w:rsid w:val="006C7B64"/>
    <w:rsid w:val="006D2B5C"/>
    <w:rsid w:val="006D42DF"/>
    <w:rsid w:val="006D4BCE"/>
    <w:rsid w:val="006D5AC2"/>
    <w:rsid w:val="006E0492"/>
    <w:rsid w:val="006E121B"/>
    <w:rsid w:val="006E5761"/>
    <w:rsid w:val="006E5983"/>
    <w:rsid w:val="006F11DE"/>
    <w:rsid w:val="006F1A70"/>
    <w:rsid w:val="00700B7E"/>
    <w:rsid w:val="007036F1"/>
    <w:rsid w:val="00703953"/>
    <w:rsid w:val="0070468D"/>
    <w:rsid w:val="00704FAA"/>
    <w:rsid w:val="007071A1"/>
    <w:rsid w:val="00713B23"/>
    <w:rsid w:val="0071463B"/>
    <w:rsid w:val="00714AE6"/>
    <w:rsid w:val="00724A3D"/>
    <w:rsid w:val="00724CDF"/>
    <w:rsid w:val="00724DE5"/>
    <w:rsid w:val="007329BC"/>
    <w:rsid w:val="0073332B"/>
    <w:rsid w:val="007377A9"/>
    <w:rsid w:val="00741392"/>
    <w:rsid w:val="00741D87"/>
    <w:rsid w:val="00741E55"/>
    <w:rsid w:val="00742D03"/>
    <w:rsid w:val="007441BD"/>
    <w:rsid w:val="007474B9"/>
    <w:rsid w:val="00752A3C"/>
    <w:rsid w:val="00753CF0"/>
    <w:rsid w:val="007544A4"/>
    <w:rsid w:val="00755032"/>
    <w:rsid w:val="007575E9"/>
    <w:rsid w:val="00757ED6"/>
    <w:rsid w:val="00761481"/>
    <w:rsid w:val="00765183"/>
    <w:rsid w:val="00765D3F"/>
    <w:rsid w:val="00767205"/>
    <w:rsid w:val="007679DA"/>
    <w:rsid w:val="007702DA"/>
    <w:rsid w:val="0077063E"/>
    <w:rsid w:val="007718EB"/>
    <w:rsid w:val="00776000"/>
    <w:rsid w:val="00776FFA"/>
    <w:rsid w:val="0078185E"/>
    <w:rsid w:val="00782707"/>
    <w:rsid w:val="00782C99"/>
    <w:rsid w:val="00782EA8"/>
    <w:rsid w:val="00783458"/>
    <w:rsid w:val="00784686"/>
    <w:rsid w:val="00790500"/>
    <w:rsid w:val="00792B52"/>
    <w:rsid w:val="00792FCB"/>
    <w:rsid w:val="00794F57"/>
    <w:rsid w:val="00795651"/>
    <w:rsid w:val="00795E2E"/>
    <w:rsid w:val="007A0818"/>
    <w:rsid w:val="007A112E"/>
    <w:rsid w:val="007A1590"/>
    <w:rsid w:val="007A181B"/>
    <w:rsid w:val="007A3335"/>
    <w:rsid w:val="007A421D"/>
    <w:rsid w:val="007A50F5"/>
    <w:rsid w:val="007A5130"/>
    <w:rsid w:val="007A5376"/>
    <w:rsid w:val="007B2864"/>
    <w:rsid w:val="007B4319"/>
    <w:rsid w:val="007B4EF0"/>
    <w:rsid w:val="007B7C3C"/>
    <w:rsid w:val="007C70F2"/>
    <w:rsid w:val="007C785B"/>
    <w:rsid w:val="007E0413"/>
    <w:rsid w:val="007E0499"/>
    <w:rsid w:val="007E5024"/>
    <w:rsid w:val="007E68D8"/>
    <w:rsid w:val="007E6B26"/>
    <w:rsid w:val="007F0ACF"/>
    <w:rsid w:val="007F1962"/>
    <w:rsid w:val="007F317B"/>
    <w:rsid w:val="007F3FD0"/>
    <w:rsid w:val="007F609F"/>
    <w:rsid w:val="00800019"/>
    <w:rsid w:val="00800583"/>
    <w:rsid w:val="00801875"/>
    <w:rsid w:val="008035D8"/>
    <w:rsid w:val="00803FF7"/>
    <w:rsid w:val="00804B95"/>
    <w:rsid w:val="00805F51"/>
    <w:rsid w:val="00811093"/>
    <w:rsid w:val="00813F8F"/>
    <w:rsid w:val="00814064"/>
    <w:rsid w:val="00815068"/>
    <w:rsid w:val="008159A1"/>
    <w:rsid w:val="00816679"/>
    <w:rsid w:val="00821933"/>
    <w:rsid w:val="00824002"/>
    <w:rsid w:val="00825B7B"/>
    <w:rsid w:val="008266D8"/>
    <w:rsid w:val="008323A1"/>
    <w:rsid w:val="00832766"/>
    <w:rsid w:val="00835ACD"/>
    <w:rsid w:val="00835D0F"/>
    <w:rsid w:val="0084123A"/>
    <w:rsid w:val="00841835"/>
    <w:rsid w:val="0084299D"/>
    <w:rsid w:val="00842C0B"/>
    <w:rsid w:val="00842C7D"/>
    <w:rsid w:val="008433C2"/>
    <w:rsid w:val="008441B1"/>
    <w:rsid w:val="00846CEB"/>
    <w:rsid w:val="008506F9"/>
    <w:rsid w:val="00850EE0"/>
    <w:rsid w:val="00851C89"/>
    <w:rsid w:val="00852269"/>
    <w:rsid w:val="008524DD"/>
    <w:rsid w:val="008562B2"/>
    <w:rsid w:val="00857169"/>
    <w:rsid w:val="00863ED1"/>
    <w:rsid w:val="008659CF"/>
    <w:rsid w:val="00867F5B"/>
    <w:rsid w:val="0087023D"/>
    <w:rsid w:val="00871911"/>
    <w:rsid w:val="00871EDE"/>
    <w:rsid w:val="00872A7B"/>
    <w:rsid w:val="00872E45"/>
    <w:rsid w:val="00874355"/>
    <w:rsid w:val="00876E04"/>
    <w:rsid w:val="00880F58"/>
    <w:rsid w:val="00882D52"/>
    <w:rsid w:val="00882FA4"/>
    <w:rsid w:val="00884D87"/>
    <w:rsid w:val="00886084"/>
    <w:rsid w:val="00887161"/>
    <w:rsid w:val="00892817"/>
    <w:rsid w:val="00892D7C"/>
    <w:rsid w:val="00893801"/>
    <w:rsid w:val="00894AB5"/>
    <w:rsid w:val="00895C4A"/>
    <w:rsid w:val="00895D26"/>
    <w:rsid w:val="0089612E"/>
    <w:rsid w:val="008A0475"/>
    <w:rsid w:val="008A04EE"/>
    <w:rsid w:val="008A2DFB"/>
    <w:rsid w:val="008A365A"/>
    <w:rsid w:val="008A3B90"/>
    <w:rsid w:val="008A6C98"/>
    <w:rsid w:val="008A7FDA"/>
    <w:rsid w:val="008B1D6B"/>
    <w:rsid w:val="008B52D3"/>
    <w:rsid w:val="008C0980"/>
    <w:rsid w:val="008C5B26"/>
    <w:rsid w:val="008C66B1"/>
    <w:rsid w:val="008D046F"/>
    <w:rsid w:val="008D1D02"/>
    <w:rsid w:val="008D34BD"/>
    <w:rsid w:val="008D3DDA"/>
    <w:rsid w:val="008D6C0F"/>
    <w:rsid w:val="008E1171"/>
    <w:rsid w:val="008E3470"/>
    <w:rsid w:val="008E6136"/>
    <w:rsid w:val="008F3AEB"/>
    <w:rsid w:val="008F7BE4"/>
    <w:rsid w:val="009007D9"/>
    <w:rsid w:val="00904656"/>
    <w:rsid w:val="00904726"/>
    <w:rsid w:val="0090524A"/>
    <w:rsid w:val="00905AA6"/>
    <w:rsid w:val="00906731"/>
    <w:rsid w:val="009116F4"/>
    <w:rsid w:val="009118D9"/>
    <w:rsid w:val="00911C4E"/>
    <w:rsid w:val="009144E7"/>
    <w:rsid w:val="009153BB"/>
    <w:rsid w:val="009171A1"/>
    <w:rsid w:val="00920202"/>
    <w:rsid w:val="009220BD"/>
    <w:rsid w:val="00922B72"/>
    <w:rsid w:val="00923648"/>
    <w:rsid w:val="00923A8D"/>
    <w:rsid w:val="00923FA2"/>
    <w:rsid w:val="00924FCD"/>
    <w:rsid w:val="00926324"/>
    <w:rsid w:val="009263C1"/>
    <w:rsid w:val="0092759F"/>
    <w:rsid w:val="009320A4"/>
    <w:rsid w:val="0093367A"/>
    <w:rsid w:val="009337D1"/>
    <w:rsid w:val="00934043"/>
    <w:rsid w:val="00935184"/>
    <w:rsid w:val="00935383"/>
    <w:rsid w:val="009364A1"/>
    <w:rsid w:val="009402FD"/>
    <w:rsid w:val="00942BC6"/>
    <w:rsid w:val="00942FC4"/>
    <w:rsid w:val="0094334C"/>
    <w:rsid w:val="009436D3"/>
    <w:rsid w:val="00944417"/>
    <w:rsid w:val="00944B51"/>
    <w:rsid w:val="00944DC1"/>
    <w:rsid w:val="00946CB4"/>
    <w:rsid w:val="00950A6E"/>
    <w:rsid w:val="00955A95"/>
    <w:rsid w:val="00956580"/>
    <w:rsid w:val="00956899"/>
    <w:rsid w:val="009569F0"/>
    <w:rsid w:val="00956EEF"/>
    <w:rsid w:val="009573B3"/>
    <w:rsid w:val="00962079"/>
    <w:rsid w:val="0096596C"/>
    <w:rsid w:val="00967D54"/>
    <w:rsid w:val="00971C41"/>
    <w:rsid w:val="009806D1"/>
    <w:rsid w:val="0098133E"/>
    <w:rsid w:val="009819AF"/>
    <w:rsid w:val="0098512E"/>
    <w:rsid w:val="00985BF7"/>
    <w:rsid w:val="0098656D"/>
    <w:rsid w:val="00986665"/>
    <w:rsid w:val="00987973"/>
    <w:rsid w:val="00991E37"/>
    <w:rsid w:val="00995024"/>
    <w:rsid w:val="00995752"/>
    <w:rsid w:val="009A19B8"/>
    <w:rsid w:val="009A4BA1"/>
    <w:rsid w:val="009A6801"/>
    <w:rsid w:val="009A6A42"/>
    <w:rsid w:val="009A71EE"/>
    <w:rsid w:val="009B356D"/>
    <w:rsid w:val="009B4543"/>
    <w:rsid w:val="009B6098"/>
    <w:rsid w:val="009B649B"/>
    <w:rsid w:val="009B71BA"/>
    <w:rsid w:val="009C0068"/>
    <w:rsid w:val="009C237B"/>
    <w:rsid w:val="009C32AB"/>
    <w:rsid w:val="009C3AE0"/>
    <w:rsid w:val="009C40FA"/>
    <w:rsid w:val="009C4AD5"/>
    <w:rsid w:val="009C5C90"/>
    <w:rsid w:val="009C61E7"/>
    <w:rsid w:val="009D5B6B"/>
    <w:rsid w:val="009D6207"/>
    <w:rsid w:val="009D7481"/>
    <w:rsid w:val="009E016D"/>
    <w:rsid w:val="009E0418"/>
    <w:rsid w:val="009E046D"/>
    <w:rsid w:val="009E11DD"/>
    <w:rsid w:val="009E15A1"/>
    <w:rsid w:val="009E29BB"/>
    <w:rsid w:val="009E616C"/>
    <w:rsid w:val="009E6798"/>
    <w:rsid w:val="009E76ED"/>
    <w:rsid w:val="009E7D70"/>
    <w:rsid w:val="009F094A"/>
    <w:rsid w:val="009F175E"/>
    <w:rsid w:val="009F3D04"/>
    <w:rsid w:val="009F4DB8"/>
    <w:rsid w:val="00A00600"/>
    <w:rsid w:val="00A023C8"/>
    <w:rsid w:val="00A02B67"/>
    <w:rsid w:val="00A12168"/>
    <w:rsid w:val="00A12319"/>
    <w:rsid w:val="00A16070"/>
    <w:rsid w:val="00A163EA"/>
    <w:rsid w:val="00A20899"/>
    <w:rsid w:val="00A21457"/>
    <w:rsid w:val="00A2485D"/>
    <w:rsid w:val="00A248EF"/>
    <w:rsid w:val="00A255DA"/>
    <w:rsid w:val="00A26B03"/>
    <w:rsid w:val="00A276CC"/>
    <w:rsid w:val="00A2796A"/>
    <w:rsid w:val="00A32B37"/>
    <w:rsid w:val="00A330A2"/>
    <w:rsid w:val="00A331FD"/>
    <w:rsid w:val="00A33631"/>
    <w:rsid w:val="00A340EF"/>
    <w:rsid w:val="00A34EAE"/>
    <w:rsid w:val="00A36A26"/>
    <w:rsid w:val="00A36E28"/>
    <w:rsid w:val="00A40CCF"/>
    <w:rsid w:val="00A41992"/>
    <w:rsid w:val="00A43112"/>
    <w:rsid w:val="00A53E86"/>
    <w:rsid w:val="00A540CC"/>
    <w:rsid w:val="00A56EA6"/>
    <w:rsid w:val="00A6073D"/>
    <w:rsid w:val="00A67088"/>
    <w:rsid w:val="00A720A8"/>
    <w:rsid w:val="00A7471D"/>
    <w:rsid w:val="00A7724E"/>
    <w:rsid w:val="00A809A4"/>
    <w:rsid w:val="00A84777"/>
    <w:rsid w:val="00A864EB"/>
    <w:rsid w:val="00A93F93"/>
    <w:rsid w:val="00A95767"/>
    <w:rsid w:val="00A957A4"/>
    <w:rsid w:val="00A9695A"/>
    <w:rsid w:val="00A96C5E"/>
    <w:rsid w:val="00AA213E"/>
    <w:rsid w:val="00AA2676"/>
    <w:rsid w:val="00AA595D"/>
    <w:rsid w:val="00AB02E3"/>
    <w:rsid w:val="00AB0A13"/>
    <w:rsid w:val="00AB0FA7"/>
    <w:rsid w:val="00AB755C"/>
    <w:rsid w:val="00AC2473"/>
    <w:rsid w:val="00AC281B"/>
    <w:rsid w:val="00AC3C5A"/>
    <w:rsid w:val="00AC6A65"/>
    <w:rsid w:val="00AC6D7D"/>
    <w:rsid w:val="00AC7F7F"/>
    <w:rsid w:val="00AD0D6B"/>
    <w:rsid w:val="00AD167E"/>
    <w:rsid w:val="00AD2F87"/>
    <w:rsid w:val="00AD4508"/>
    <w:rsid w:val="00AD64B0"/>
    <w:rsid w:val="00AE1C36"/>
    <w:rsid w:val="00AE2A0B"/>
    <w:rsid w:val="00AE41C1"/>
    <w:rsid w:val="00AE7EF3"/>
    <w:rsid w:val="00AF02B5"/>
    <w:rsid w:val="00AF45D7"/>
    <w:rsid w:val="00AF47BE"/>
    <w:rsid w:val="00AF4CDB"/>
    <w:rsid w:val="00AF60B5"/>
    <w:rsid w:val="00AF62DF"/>
    <w:rsid w:val="00B0014E"/>
    <w:rsid w:val="00B006B5"/>
    <w:rsid w:val="00B007E3"/>
    <w:rsid w:val="00B022C9"/>
    <w:rsid w:val="00B02368"/>
    <w:rsid w:val="00B10E12"/>
    <w:rsid w:val="00B1402A"/>
    <w:rsid w:val="00B165E1"/>
    <w:rsid w:val="00B310E6"/>
    <w:rsid w:val="00B34701"/>
    <w:rsid w:val="00B401EA"/>
    <w:rsid w:val="00B410BE"/>
    <w:rsid w:val="00B42005"/>
    <w:rsid w:val="00B42798"/>
    <w:rsid w:val="00B42DA0"/>
    <w:rsid w:val="00B476F5"/>
    <w:rsid w:val="00B549F6"/>
    <w:rsid w:val="00B54DBB"/>
    <w:rsid w:val="00B54E9C"/>
    <w:rsid w:val="00B55F21"/>
    <w:rsid w:val="00B565AA"/>
    <w:rsid w:val="00B613FD"/>
    <w:rsid w:val="00B642DB"/>
    <w:rsid w:val="00B6628F"/>
    <w:rsid w:val="00B66DB9"/>
    <w:rsid w:val="00B71235"/>
    <w:rsid w:val="00B71FA5"/>
    <w:rsid w:val="00B7222C"/>
    <w:rsid w:val="00B75213"/>
    <w:rsid w:val="00B767B7"/>
    <w:rsid w:val="00B777DF"/>
    <w:rsid w:val="00B812CE"/>
    <w:rsid w:val="00B81CDE"/>
    <w:rsid w:val="00B835CE"/>
    <w:rsid w:val="00B83E11"/>
    <w:rsid w:val="00B845F4"/>
    <w:rsid w:val="00B86735"/>
    <w:rsid w:val="00B87620"/>
    <w:rsid w:val="00B879F6"/>
    <w:rsid w:val="00B87CE4"/>
    <w:rsid w:val="00B90965"/>
    <w:rsid w:val="00B90B51"/>
    <w:rsid w:val="00B9754F"/>
    <w:rsid w:val="00BA203F"/>
    <w:rsid w:val="00BA304C"/>
    <w:rsid w:val="00BA5213"/>
    <w:rsid w:val="00BA5F5B"/>
    <w:rsid w:val="00BA6B30"/>
    <w:rsid w:val="00BB0976"/>
    <w:rsid w:val="00BB1325"/>
    <w:rsid w:val="00BB337F"/>
    <w:rsid w:val="00BB47A8"/>
    <w:rsid w:val="00BC0CFA"/>
    <w:rsid w:val="00BD0B76"/>
    <w:rsid w:val="00BD306C"/>
    <w:rsid w:val="00BD4EC7"/>
    <w:rsid w:val="00BD7AD9"/>
    <w:rsid w:val="00BD7F0A"/>
    <w:rsid w:val="00BE1020"/>
    <w:rsid w:val="00BE519E"/>
    <w:rsid w:val="00BE58F6"/>
    <w:rsid w:val="00BF05CD"/>
    <w:rsid w:val="00BF1127"/>
    <w:rsid w:val="00BF260A"/>
    <w:rsid w:val="00BF6F2C"/>
    <w:rsid w:val="00C01956"/>
    <w:rsid w:val="00C02364"/>
    <w:rsid w:val="00C02967"/>
    <w:rsid w:val="00C06CD0"/>
    <w:rsid w:val="00C07ADE"/>
    <w:rsid w:val="00C102B9"/>
    <w:rsid w:val="00C1103C"/>
    <w:rsid w:val="00C146B7"/>
    <w:rsid w:val="00C15166"/>
    <w:rsid w:val="00C16243"/>
    <w:rsid w:val="00C23C96"/>
    <w:rsid w:val="00C26BF8"/>
    <w:rsid w:val="00C31487"/>
    <w:rsid w:val="00C405A9"/>
    <w:rsid w:val="00C40C36"/>
    <w:rsid w:val="00C413BA"/>
    <w:rsid w:val="00C51245"/>
    <w:rsid w:val="00C51ED7"/>
    <w:rsid w:val="00C527E9"/>
    <w:rsid w:val="00C531A6"/>
    <w:rsid w:val="00C53533"/>
    <w:rsid w:val="00C53745"/>
    <w:rsid w:val="00C53DDA"/>
    <w:rsid w:val="00C56026"/>
    <w:rsid w:val="00C577A6"/>
    <w:rsid w:val="00C6003B"/>
    <w:rsid w:val="00C626B8"/>
    <w:rsid w:val="00C6315F"/>
    <w:rsid w:val="00C65733"/>
    <w:rsid w:val="00C700FC"/>
    <w:rsid w:val="00C802DC"/>
    <w:rsid w:val="00C805E6"/>
    <w:rsid w:val="00C81F8D"/>
    <w:rsid w:val="00C82094"/>
    <w:rsid w:val="00C83D50"/>
    <w:rsid w:val="00C855D7"/>
    <w:rsid w:val="00C86803"/>
    <w:rsid w:val="00C94001"/>
    <w:rsid w:val="00C94935"/>
    <w:rsid w:val="00C95635"/>
    <w:rsid w:val="00C95DF4"/>
    <w:rsid w:val="00C97967"/>
    <w:rsid w:val="00CA0435"/>
    <w:rsid w:val="00CA3DA1"/>
    <w:rsid w:val="00CA4544"/>
    <w:rsid w:val="00CA5A8F"/>
    <w:rsid w:val="00CA7120"/>
    <w:rsid w:val="00CB27AF"/>
    <w:rsid w:val="00CB35D1"/>
    <w:rsid w:val="00CB4388"/>
    <w:rsid w:val="00CB4F2F"/>
    <w:rsid w:val="00CB6858"/>
    <w:rsid w:val="00CB71D8"/>
    <w:rsid w:val="00CC0599"/>
    <w:rsid w:val="00CC1290"/>
    <w:rsid w:val="00CC2394"/>
    <w:rsid w:val="00CC44AB"/>
    <w:rsid w:val="00CC6468"/>
    <w:rsid w:val="00CD0409"/>
    <w:rsid w:val="00CD17C9"/>
    <w:rsid w:val="00CD1E45"/>
    <w:rsid w:val="00CD58D7"/>
    <w:rsid w:val="00CD730C"/>
    <w:rsid w:val="00CE113C"/>
    <w:rsid w:val="00CE1DFF"/>
    <w:rsid w:val="00CE1F5D"/>
    <w:rsid w:val="00CE2C07"/>
    <w:rsid w:val="00CE42C0"/>
    <w:rsid w:val="00CE6ED2"/>
    <w:rsid w:val="00CF1111"/>
    <w:rsid w:val="00CF1423"/>
    <w:rsid w:val="00CF1A43"/>
    <w:rsid w:val="00CF1D32"/>
    <w:rsid w:val="00CF2F55"/>
    <w:rsid w:val="00CF4C34"/>
    <w:rsid w:val="00D0357B"/>
    <w:rsid w:val="00D04C91"/>
    <w:rsid w:val="00D05D5F"/>
    <w:rsid w:val="00D06A55"/>
    <w:rsid w:val="00D1438F"/>
    <w:rsid w:val="00D14C22"/>
    <w:rsid w:val="00D15C93"/>
    <w:rsid w:val="00D203D8"/>
    <w:rsid w:val="00D20495"/>
    <w:rsid w:val="00D219F5"/>
    <w:rsid w:val="00D233A1"/>
    <w:rsid w:val="00D2798F"/>
    <w:rsid w:val="00D33BF7"/>
    <w:rsid w:val="00D34F25"/>
    <w:rsid w:val="00D37E4C"/>
    <w:rsid w:val="00D37FEB"/>
    <w:rsid w:val="00D4327B"/>
    <w:rsid w:val="00D443C5"/>
    <w:rsid w:val="00D45A1B"/>
    <w:rsid w:val="00D45DF7"/>
    <w:rsid w:val="00D515FE"/>
    <w:rsid w:val="00D53026"/>
    <w:rsid w:val="00D55651"/>
    <w:rsid w:val="00D57911"/>
    <w:rsid w:val="00D602BF"/>
    <w:rsid w:val="00D62EAE"/>
    <w:rsid w:val="00D63798"/>
    <w:rsid w:val="00D65637"/>
    <w:rsid w:val="00D700CE"/>
    <w:rsid w:val="00D714BB"/>
    <w:rsid w:val="00D73B4D"/>
    <w:rsid w:val="00D74898"/>
    <w:rsid w:val="00D749DE"/>
    <w:rsid w:val="00D76F81"/>
    <w:rsid w:val="00D772C4"/>
    <w:rsid w:val="00D8118A"/>
    <w:rsid w:val="00D83862"/>
    <w:rsid w:val="00D851D8"/>
    <w:rsid w:val="00D915FF"/>
    <w:rsid w:val="00D935C4"/>
    <w:rsid w:val="00D94D88"/>
    <w:rsid w:val="00D96FF5"/>
    <w:rsid w:val="00D9770C"/>
    <w:rsid w:val="00DA05E8"/>
    <w:rsid w:val="00DA1AE3"/>
    <w:rsid w:val="00DA2A59"/>
    <w:rsid w:val="00DA3173"/>
    <w:rsid w:val="00DA5B8C"/>
    <w:rsid w:val="00DA5CDB"/>
    <w:rsid w:val="00DB0329"/>
    <w:rsid w:val="00DB039B"/>
    <w:rsid w:val="00DB06DA"/>
    <w:rsid w:val="00DB1194"/>
    <w:rsid w:val="00DB2CFB"/>
    <w:rsid w:val="00DB3FD4"/>
    <w:rsid w:val="00DB4A14"/>
    <w:rsid w:val="00DB5655"/>
    <w:rsid w:val="00DB5C74"/>
    <w:rsid w:val="00DB7062"/>
    <w:rsid w:val="00DC4742"/>
    <w:rsid w:val="00DC528C"/>
    <w:rsid w:val="00DD04CD"/>
    <w:rsid w:val="00DD172A"/>
    <w:rsid w:val="00DD39CD"/>
    <w:rsid w:val="00DD5B66"/>
    <w:rsid w:val="00DD716B"/>
    <w:rsid w:val="00DE0F02"/>
    <w:rsid w:val="00DE1166"/>
    <w:rsid w:val="00DE23D4"/>
    <w:rsid w:val="00DE5032"/>
    <w:rsid w:val="00DE538B"/>
    <w:rsid w:val="00DE5656"/>
    <w:rsid w:val="00DE598D"/>
    <w:rsid w:val="00DF0019"/>
    <w:rsid w:val="00DF03D3"/>
    <w:rsid w:val="00DF2538"/>
    <w:rsid w:val="00DF2614"/>
    <w:rsid w:val="00DF2886"/>
    <w:rsid w:val="00DF377C"/>
    <w:rsid w:val="00E0196A"/>
    <w:rsid w:val="00E06466"/>
    <w:rsid w:val="00E07BC8"/>
    <w:rsid w:val="00E07D45"/>
    <w:rsid w:val="00E1054C"/>
    <w:rsid w:val="00E11752"/>
    <w:rsid w:val="00E12F81"/>
    <w:rsid w:val="00E2332F"/>
    <w:rsid w:val="00E25F1C"/>
    <w:rsid w:val="00E267D2"/>
    <w:rsid w:val="00E27809"/>
    <w:rsid w:val="00E30E47"/>
    <w:rsid w:val="00E31590"/>
    <w:rsid w:val="00E32167"/>
    <w:rsid w:val="00E3322E"/>
    <w:rsid w:val="00E340E2"/>
    <w:rsid w:val="00E359F6"/>
    <w:rsid w:val="00E365C6"/>
    <w:rsid w:val="00E426B1"/>
    <w:rsid w:val="00E43A00"/>
    <w:rsid w:val="00E43C9D"/>
    <w:rsid w:val="00E44748"/>
    <w:rsid w:val="00E45608"/>
    <w:rsid w:val="00E47252"/>
    <w:rsid w:val="00E4794A"/>
    <w:rsid w:val="00E47D46"/>
    <w:rsid w:val="00E532B7"/>
    <w:rsid w:val="00E54B27"/>
    <w:rsid w:val="00E618B8"/>
    <w:rsid w:val="00E64572"/>
    <w:rsid w:val="00E707F7"/>
    <w:rsid w:val="00E72D92"/>
    <w:rsid w:val="00E77132"/>
    <w:rsid w:val="00E773F5"/>
    <w:rsid w:val="00E80F7F"/>
    <w:rsid w:val="00E85443"/>
    <w:rsid w:val="00E8581F"/>
    <w:rsid w:val="00E91A91"/>
    <w:rsid w:val="00E9650D"/>
    <w:rsid w:val="00EA1B5F"/>
    <w:rsid w:val="00EA316C"/>
    <w:rsid w:val="00EB0297"/>
    <w:rsid w:val="00EB0A64"/>
    <w:rsid w:val="00EB2195"/>
    <w:rsid w:val="00EB491E"/>
    <w:rsid w:val="00EB61E0"/>
    <w:rsid w:val="00EC07F9"/>
    <w:rsid w:val="00EC1645"/>
    <w:rsid w:val="00EC4820"/>
    <w:rsid w:val="00ED011F"/>
    <w:rsid w:val="00ED0924"/>
    <w:rsid w:val="00ED40DA"/>
    <w:rsid w:val="00ED5485"/>
    <w:rsid w:val="00EE177A"/>
    <w:rsid w:val="00EE37AF"/>
    <w:rsid w:val="00EE519D"/>
    <w:rsid w:val="00EF186E"/>
    <w:rsid w:val="00EF2EDC"/>
    <w:rsid w:val="00EF3144"/>
    <w:rsid w:val="00EF41AE"/>
    <w:rsid w:val="00EF693D"/>
    <w:rsid w:val="00EF6941"/>
    <w:rsid w:val="00EF71EE"/>
    <w:rsid w:val="00F02AF3"/>
    <w:rsid w:val="00F03828"/>
    <w:rsid w:val="00F049EB"/>
    <w:rsid w:val="00F101A0"/>
    <w:rsid w:val="00F101E4"/>
    <w:rsid w:val="00F12A72"/>
    <w:rsid w:val="00F136E9"/>
    <w:rsid w:val="00F13C3F"/>
    <w:rsid w:val="00F15E5F"/>
    <w:rsid w:val="00F16BAC"/>
    <w:rsid w:val="00F17326"/>
    <w:rsid w:val="00F20EC7"/>
    <w:rsid w:val="00F21F3C"/>
    <w:rsid w:val="00F22591"/>
    <w:rsid w:val="00F2267C"/>
    <w:rsid w:val="00F23BA2"/>
    <w:rsid w:val="00F240B9"/>
    <w:rsid w:val="00F24E3F"/>
    <w:rsid w:val="00F27A43"/>
    <w:rsid w:val="00F27C8E"/>
    <w:rsid w:val="00F34097"/>
    <w:rsid w:val="00F40676"/>
    <w:rsid w:val="00F4596E"/>
    <w:rsid w:val="00F4765D"/>
    <w:rsid w:val="00F565C8"/>
    <w:rsid w:val="00F63680"/>
    <w:rsid w:val="00F63B9E"/>
    <w:rsid w:val="00F642ED"/>
    <w:rsid w:val="00F673CD"/>
    <w:rsid w:val="00F72F1A"/>
    <w:rsid w:val="00F77472"/>
    <w:rsid w:val="00F806E0"/>
    <w:rsid w:val="00F81614"/>
    <w:rsid w:val="00F81812"/>
    <w:rsid w:val="00F81940"/>
    <w:rsid w:val="00F84DF6"/>
    <w:rsid w:val="00F87A6F"/>
    <w:rsid w:val="00F87D80"/>
    <w:rsid w:val="00F87FC2"/>
    <w:rsid w:val="00F92542"/>
    <w:rsid w:val="00F93EFA"/>
    <w:rsid w:val="00FA0A99"/>
    <w:rsid w:val="00FA6D71"/>
    <w:rsid w:val="00FB3390"/>
    <w:rsid w:val="00FB3AD7"/>
    <w:rsid w:val="00FB489B"/>
    <w:rsid w:val="00FB6E68"/>
    <w:rsid w:val="00FC2393"/>
    <w:rsid w:val="00FC2F27"/>
    <w:rsid w:val="00FC48D5"/>
    <w:rsid w:val="00FC6B16"/>
    <w:rsid w:val="00FD0997"/>
    <w:rsid w:val="00FD0AF6"/>
    <w:rsid w:val="00FD2A3D"/>
    <w:rsid w:val="00FD2AB6"/>
    <w:rsid w:val="00FD507E"/>
    <w:rsid w:val="00FD7A9E"/>
    <w:rsid w:val="00FE033C"/>
    <w:rsid w:val="00FE43FF"/>
    <w:rsid w:val="00FF61A7"/>
    <w:rsid w:val="00FF634F"/>
    <w:rsid w:val="00FF6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952E"/>
  <w15:chartTrackingRefBased/>
  <w15:docId w15:val="{955E9CA2-BDF3-4247-9E0A-9EB83BB0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1AC2"/>
    <w:pPr>
      <w:spacing w:after="200" w:line="276" w:lineRule="auto"/>
    </w:pPr>
  </w:style>
  <w:style w:type="paragraph" w:styleId="Nagwek1">
    <w:name w:val="heading 1"/>
    <w:basedOn w:val="Normalny"/>
    <w:next w:val="Normalny"/>
    <w:link w:val="Nagwek1Znak"/>
    <w:qFormat/>
    <w:rsid w:val="00BB33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21AC2"/>
    <w:pPr>
      <w:spacing w:after="0" w:line="240" w:lineRule="auto"/>
    </w:pPr>
    <w:rPr>
      <w:rFonts w:ascii="Times New Roman" w:eastAsia="Times New Roman" w:hAnsi="Times New Roman" w:cs="Times New Roman"/>
      <w:sz w:val="28"/>
      <w:szCs w:val="28"/>
      <w:lang w:eastAsia="pl-PL"/>
    </w:rPr>
  </w:style>
  <w:style w:type="character" w:customStyle="1" w:styleId="TekstpodstawowyZnak">
    <w:name w:val="Tekst podstawowy Znak"/>
    <w:basedOn w:val="Domylnaczcionkaakapitu"/>
    <w:link w:val="Tekstpodstawowy"/>
    <w:rsid w:val="00221AC2"/>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221A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1AC2"/>
  </w:style>
  <w:style w:type="paragraph" w:styleId="Akapitzlist">
    <w:name w:val="List Paragraph"/>
    <w:basedOn w:val="Normalny"/>
    <w:uiPriority w:val="34"/>
    <w:qFormat/>
    <w:rsid w:val="00221AC2"/>
    <w:pPr>
      <w:ind w:left="720"/>
      <w:contextualSpacing/>
    </w:pPr>
  </w:style>
  <w:style w:type="paragraph" w:styleId="Tekstdymka">
    <w:name w:val="Balloon Text"/>
    <w:basedOn w:val="Normalny"/>
    <w:link w:val="TekstdymkaZnak"/>
    <w:semiHidden/>
    <w:unhideWhenUsed/>
    <w:rsid w:val="00DB3F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FD4"/>
    <w:rPr>
      <w:rFonts w:ascii="Segoe UI" w:hAnsi="Segoe UI" w:cs="Segoe UI"/>
      <w:sz w:val="18"/>
      <w:szCs w:val="18"/>
    </w:rPr>
  </w:style>
  <w:style w:type="character" w:customStyle="1" w:styleId="Nagwek1Znak">
    <w:name w:val="Nagłówek 1 Znak"/>
    <w:basedOn w:val="Domylnaczcionkaakapitu"/>
    <w:link w:val="Nagwek1"/>
    <w:uiPriority w:val="9"/>
    <w:rsid w:val="00BB337F"/>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700B7E"/>
    <w:pPr>
      <w:spacing w:after="0" w:line="240" w:lineRule="auto"/>
    </w:pPr>
  </w:style>
  <w:style w:type="paragraph" w:customStyle="1" w:styleId="Style4">
    <w:name w:val="Style4"/>
    <w:basedOn w:val="Normalny"/>
    <w:rsid w:val="008266D8"/>
    <w:pPr>
      <w:widowControl w:val="0"/>
      <w:autoSpaceDE w:val="0"/>
      <w:autoSpaceDN w:val="0"/>
      <w:adjustRightInd w:val="0"/>
      <w:spacing w:after="0" w:line="410" w:lineRule="exact"/>
      <w:ind w:hanging="317"/>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nhideWhenUsed/>
    <w:rsid w:val="00FD2AB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FD2AB6"/>
    <w:rPr>
      <w:sz w:val="20"/>
      <w:szCs w:val="20"/>
    </w:rPr>
  </w:style>
  <w:style w:type="character" w:styleId="Odwoanieprzypisukocowego">
    <w:name w:val="endnote reference"/>
    <w:basedOn w:val="Domylnaczcionkaakapitu"/>
    <w:unhideWhenUsed/>
    <w:rsid w:val="00FD2AB6"/>
    <w:rPr>
      <w:vertAlign w:val="superscript"/>
    </w:rPr>
  </w:style>
  <w:style w:type="paragraph" w:styleId="NormalnyWeb">
    <w:name w:val="Normal (Web)"/>
    <w:basedOn w:val="Normalny"/>
    <w:uiPriority w:val="99"/>
    <w:semiHidden/>
    <w:unhideWhenUsed/>
    <w:rsid w:val="000338FB"/>
    <w:rPr>
      <w:rFonts w:ascii="Times New Roman" w:hAnsi="Times New Roman" w:cs="Times New Roman"/>
      <w:sz w:val="24"/>
      <w:szCs w:val="24"/>
    </w:rPr>
  </w:style>
  <w:style w:type="character" w:styleId="Hipercze">
    <w:name w:val="Hyperlink"/>
    <w:basedOn w:val="Domylnaczcionkaakapitu"/>
    <w:uiPriority w:val="99"/>
    <w:unhideWhenUsed/>
    <w:rsid w:val="000470AC"/>
    <w:rPr>
      <w:color w:val="0563C1" w:themeColor="hyperlink"/>
      <w:u w:val="single"/>
    </w:rPr>
  </w:style>
  <w:style w:type="numbering" w:customStyle="1" w:styleId="Bezlisty1">
    <w:name w:val="Bez listy1"/>
    <w:next w:val="Bezlisty"/>
    <w:uiPriority w:val="99"/>
    <w:semiHidden/>
    <w:unhideWhenUsed/>
    <w:rsid w:val="007A50F5"/>
  </w:style>
  <w:style w:type="character" w:styleId="Numerstrony">
    <w:name w:val="page number"/>
    <w:basedOn w:val="Domylnaczcionkaakapitu"/>
    <w:rsid w:val="007A50F5"/>
  </w:style>
  <w:style w:type="table" w:styleId="Tabela-Siatka">
    <w:name w:val="Table Grid"/>
    <w:basedOn w:val="Standardowy"/>
    <w:rsid w:val="007A50F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7A50F5"/>
    <w:pPr>
      <w:spacing w:after="240" w:line="300" w:lineRule="auto"/>
      <w:contextualSpacing/>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semiHidden/>
    <w:rsid w:val="007A50F5"/>
    <w:rPr>
      <w:rFonts w:ascii="Calibri" w:eastAsia="Times New Roman" w:hAnsi="Calibri" w:cs="Times New Roman"/>
      <w:sz w:val="20"/>
      <w:szCs w:val="20"/>
      <w:lang w:eastAsia="pl-PL"/>
    </w:rPr>
  </w:style>
  <w:style w:type="character" w:styleId="Odwoanieprzypisudolnego">
    <w:name w:val="footnote reference"/>
    <w:semiHidden/>
    <w:rsid w:val="007A50F5"/>
    <w:rPr>
      <w:vertAlign w:val="superscript"/>
    </w:rPr>
  </w:style>
  <w:style w:type="paragraph" w:styleId="Mapadokumentu">
    <w:name w:val="Document Map"/>
    <w:basedOn w:val="Normalny"/>
    <w:link w:val="MapadokumentuZnak"/>
    <w:semiHidden/>
    <w:rsid w:val="007A50F5"/>
    <w:pPr>
      <w:shd w:val="clear" w:color="auto" w:fill="000080"/>
      <w:spacing w:after="240" w:line="300" w:lineRule="auto"/>
      <w:contextualSpacing/>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7A50F5"/>
    <w:rPr>
      <w:rFonts w:ascii="Tahoma" w:eastAsia="Times New Roman" w:hAnsi="Tahoma" w:cs="Tahoma"/>
      <w:sz w:val="20"/>
      <w:szCs w:val="20"/>
      <w:shd w:val="clear" w:color="auto" w:fill="000080"/>
      <w:lang w:eastAsia="pl-PL"/>
    </w:rPr>
  </w:style>
  <w:style w:type="character" w:styleId="Odwoaniedokomentarza">
    <w:name w:val="annotation reference"/>
    <w:rsid w:val="007A50F5"/>
    <w:rPr>
      <w:sz w:val="16"/>
      <w:szCs w:val="16"/>
    </w:rPr>
  </w:style>
  <w:style w:type="paragraph" w:styleId="Tekstkomentarza">
    <w:name w:val="annotation text"/>
    <w:basedOn w:val="Normalny"/>
    <w:link w:val="TekstkomentarzaZnak"/>
    <w:rsid w:val="007A50F5"/>
    <w:pPr>
      <w:spacing w:after="240" w:line="300" w:lineRule="auto"/>
      <w:contextualSpacing/>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7A50F5"/>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rsid w:val="007A50F5"/>
    <w:rPr>
      <w:b/>
      <w:bCs/>
    </w:rPr>
  </w:style>
  <w:style w:type="character" w:customStyle="1" w:styleId="TematkomentarzaZnak">
    <w:name w:val="Temat komentarza Znak"/>
    <w:basedOn w:val="TekstkomentarzaZnak"/>
    <w:link w:val="Tematkomentarza"/>
    <w:rsid w:val="007A50F5"/>
    <w:rPr>
      <w:rFonts w:ascii="Calibri" w:eastAsia="Times New Roman" w:hAnsi="Calibri" w:cs="Times New Roman"/>
      <w:b/>
      <w:bCs/>
      <w:sz w:val="20"/>
      <w:szCs w:val="20"/>
      <w:lang w:eastAsia="pl-PL"/>
    </w:rPr>
  </w:style>
  <w:style w:type="paragraph" w:styleId="Poprawka">
    <w:name w:val="Revision"/>
    <w:hidden/>
    <w:uiPriority w:val="99"/>
    <w:semiHidden/>
    <w:rsid w:val="007A50F5"/>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rsid w:val="007A50F5"/>
    <w:pPr>
      <w:tabs>
        <w:tab w:val="center" w:pos="4536"/>
        <w:tab w:val="right" w:pos="9072"/>
      </w:tabs>
      <w:spacing w:after="240" w:line="300" w:lineRule="auto"/>
      <w:contextualSpacing/>
    </w:pPr>
    <w:rPr>
      <w:rFonts w:ascii="Calibri" w:eastAsia="Times New Roman" w:hAnsi="Calibri" w:cs="Times New Roman"/>
      <w:szCs w:val="24"/>
      <w:lang w:eastAsia="pl-PL"/>
    </w:rPr>
  </w:style>
  <w:style w:type="character" w:customStyle="1" w:styleId="NagwekZnak">
    <w:name w:val="Nagłówek Znak"/>
    <w:basedOn w:val="Domylnaczcionkaakapitu"/>
    <w:link w:val="Nagwek"/>
    <w:rsid w:val="007A50F5"/>
    <w:rPr>
      <w:rFonts w:ascii="Calibri" w:eastAsia="Times New Roman" w:hAnsi="Calibri" w:cs="Times New Roman"/>
      <w:szCs w:val="24"/>
      <w:lang w:eastAsia="pl-PL"/>
    </w:rPr>
  </w:style>
  <w:style w:type="table" w:customStyle="1" w:styleId="Tabela-Siatka1">
    <w:name w:val="Tabela - Siatka1"/>
    <w:basedOn w:val="Standardowy"/>
    <w:next w:val="Tabela-Siatka"/>
    <w:rsid w:val="007A50F5"/>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7A50F5"/>
    <w:pPr>
      <w:spacing w:after="240" w:line="300" w:lineRule="auto"/>
      <w:contextualSpacing/>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fekty3W3">
    <w:name w:val="Table 3D effects 3"/>
    <w:basedOn w:val="Standardowy"/>
    <w:rsid w:val="007A50F5"/>
    <w:pPr>
      <w:spacing w:after="240" w:line="300" w:lineRule="auto"/>
      <w:contextualSpacing/>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sty3">
    <w:name w:val="Table Simple 3"/>
    <w:basedOn w:val="Standardowy"/>
    <w:rsid w:val="007A50F5"/>
    <w:pPr>
      <w:spacing w:after="240" w:line="300" w:lineRule="auto"/>
      <w:contextualSpacing/>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Siatkatabelijasna">
    <w:name w:val="Grid Table Light"/>
    <w:basedOn w:val="Standardowy"/>
    <w:uiPriority w:val="40"/>
    <w:rsid w:val="007A50F5"/>
    <w:pPr>
      <w:spacing w:after="0" w:line="240" w:lineRule="auto"/>
    </w:pPr>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2">
    <w:name w:val="Plain Table 2"/>
    <w:basedOn w:val="Standardowy"/>
    <w:uiPriority w:val="42"/>
    <w:rsid w:val="007A50F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2">
    <w:name w:val="Bez listy2"/>
    <w:next w:val="Bezlisty"/>
    <w:uiPriority w:val="99"/>
    <w:semiHidden/>
    <w:unhideWhenUsed/>
    <w:rsid w:val="00102B77"/>
  </w:style>
  <w:style w:type="table" w:customStyle="1" w:styleId="Tabela-Siatka2">
    <w:name w:val="Tabela - Siatka2"/>
    <w:basedOn w:val="Standardowy"/>
    <w:next w:val="Tabela-Siatka"/>
    <w:rsid w:val="00102B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02B77"/>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102B77"/>
    <w:pPr>
      <w:spacing w:after="240" w:line="300" w:lineRule="auto"/>
      <w:contextualSpacing/>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Efekty3W31">
    <w:name w:val="Tabela - Efekty 3W 31"/>
    <w:basedOn w:val="Standardowy"/>
    <w:next w:val="Tabela-Efekty3W3"/>
    <w:rsid w:val="00102B77"/>
    <w:pPr>
      <w:spacing w:after="240" w:line="300" w:lineRule="auto"/>
      <w:contextualSpacing/>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Prosty31">
    <w:name w:val="Tabela - Prosty 31"/>
    <w:basedOn w:val="Standardowy"/>
    <w:next w:val="Tabela-Prosty3"/>
    <w:rsid w:val="00102B77"/>
    <w:pPr>
      <w:spacing w:after="240" w:line="300" w:lineRule="auto"/>
      <w:contextualSpacing/>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iatkatabelijasna1">
    <w:name w:val="Siatka tabeli — jasna1"/>
    <w:basedOn w:val="Standardowy"/>
    <w:next w:val="Siatkatabelijasna"/>
    <w:uiPriority w:val="40"/>
    <w:rsid w:val="00102B77"/>
    <w:pPr>
      <w:spacing w:after="0" w:line="240" w:lineRule="auto"/>
    </w:pPr>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21">
    <w:name w:val="Zwykła tabela 21"/>
    <w:basedOn w:val="Standardowy"/>
    <w:next w:val="Zwykatabela2"/>
    <w:uiPriority w:val="42"/>
    <w:rsid w:val="00102B7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3">
    <w:name w:val="Bez listy3"/>
    <w:next w:val="Bezlisty"/>
    <w:uiPriority w:val="99"/>
    <w:semiHidden/>
    <w:unhideWhenUsed/>
    <w:rsid w:val="00714AE6"/>
  </w:style>
  <w:style w:type="table" w:customStyle="1" w:styleId="Tabela-Siatka3">
    <w:name w:val="Tabela - Siatka3"/>
    <w:basedOn w:val="Standardowy"/>
    <w:next w:val="Tabela-Siatka"/>
    <w:rsid w:val="00714A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714AE6"/>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next w:val="Tabela-Elegancki"/>
    <w:rsid w:val="00714AE6"/>
    <w:pPr>
      <w:spacing w:after="240" w:line="300" w:lineRule="auto"/>
      <w:contextualSpacing/>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Efekty3W32">
    <w:name w:val="Tabela - Efekty 3W 32"/>
    <w:basedOn w:val="Standardowy"/>
    <w:next w:val="Tabela-Efekty3W3"/>
    <w:rsid w:val="00714AE6"/>
    <w:pPr>
      <w:spacing w:after="240" w:line="300" w:lineRule="auto"/>
      <w:contextualSpacing/>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Prosty32">
    <w:name w:val="Tabela - Prosty 32"/>
    <w:basedOn w:val="Standardowy"/>
    <w:next w:val="Tabela-Prosty3"/>
    <w:rsid w:val="00714AE6"/>
    <w:pPr>
      <w:spacing w:after="240" w:line="300" w:lineRule="auto"/>
      <w:contextualSpacing/>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iatkatabelijasna2">
    <w:name w:val="Siatka tabeli — jasna2"/>
    <w:basedOn w:val="Standardowy"/>
    <w:next w:val="Siatkatabelijasna"/>
    <w:uiPriority w:val="40"/>
    <w:rsid w:val="00714AE6"/>
    <w:pPr>
      <w:spacing w:after="0" w:line="240" w:lineRule="auto"/>
    </w:pPr>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22">
    <w:name w:val="Zwykła tabela 22"/>
    <w:basedOn w:val="Standardowy"/>
    <w:next w:val="Zwykatabela2"/>
    <w:uiPriority w:val="42"/>
    <w:rsid w:val="00714AE6"/>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82327">
      <w:bodyDiv w:val="1"/>
      <w:marLeft w:val="0"/>
      <w:marRight w:val="0"/>
      <w:marTop w:val="0"/>
      <w:marBottom w:val="0"/>
      <w:divBdr>
        <w:top w:val="none" w:sz="0" w:space="0" w:color="auto"/>
        <w:left w:val="none" w:sz="0" w:space="0" w:color="auto"/>
        <w:bottom w:val="none" w:sz="0" w:space="0" w:color="auto"/>
        <w:right w:val="none" w:sz="0" w:space="0" w:color="auto"/>
      </w:divBdr>
    </w:div>
    <w:div w:id="984359240">
      <w:bodyDiv w:val="1"/>
      <w:marLeft w:val="0"/>
      <w:marRight w:val="0"/>
      <w:marTop w:val="0"/>
      <w:marBottom w:val="0"/>
      <w:divBdr>
        <w:top w:val="none" w:sz="0" w:space="0" w:color="auto"/>
        <w:left w:val="none" w:sz="0" w:space="0" w:color="auto"/>
        <w:bottom w:val="none" w:sz="0" w:space="0" w:color="auto"/>
        <w:right w:val="none" w:sz="0" w:space="0" w:color="auto"/>
      </w:divBdr>
    </w:div>
    <w:div w:id="2103648444">
      <w:bodyDiv w:val="1"/>
      <w:marLeft w:val="0"/>
      <w:marRight w:val="0"/>
      <w:marTop w:val="0"/>
      <w:marBottom w:val="0"/>
      <w:divBdr>
        <w:top w:val="none" w:sz="0" w:space="0" w:color="auto"/>
        <w:left w:val="none" w:sz="0" w:space="0" w:color="auto"/>
        <w:bottom w:val="none" w:sz="0" w:space="0" w:color="auto"/>
        <w:right w:val="none" w:sz="0" w:space="0" w:color="auto"/>
      </w:divBdr>
    </w:div>
    <w:div w:id="21392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F057-73C6-419B-93FB-A9A1FCC0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5937</Words>
  <Characters>35623</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protokół z posiedzenia Komisji Rewizyjnej</vt:lpstr>
    </vt:vector>
  </TitlesOfParts>
  <Company>Urzad Miasta</Company>
  <LinksUpToDate>false</LinksUpToDate>
  <CharactersWithSpaces>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 Komisji Rewizyjnej</dc:title>
  <dc:subject/>
  <dc:creator>Zarychta Paulina (RW)</dc:creator>
  <cp:keywords/>
  <dc:description/>
  <cp:lastModifiedBy>Kazanecka Beata (RW)</cp:lastModifiedBy>
  <cp:revision>13</cp:revision>
  <cp:lastPrinted>2022-07-08T11:53:00Z</cp:lastPrinted>
  <dcterms:created xsi:type="dcterms:W3CDTF">2022-07-08T11:42:00Z</dcterms:created>
  <dcterms:modified xsi:type="dcterms:W3CDTF">2023-06-20T13:09:00Z</dcterms:modified>
</cp:coreProperties>
</file>