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542" w:rsidRDefault="009C6EF8" w:rsidP="009C6EF8">
      <w:pPr>
        <w:jc w:val="right"/>
      </w:pPr>
      <w:r>
        <w:t xml:space="preserve">Warszawa, </w:t>
      </w:r>
      <w:r w:rsidR="003946AF">
        <w:t>2020-07-13</w:t>
      </w:r>
    </w:p>
    <w:p w:rsidR="00374674" w:rsidRPr="009C6EF8" w:rsidRDefault="008B3542" w:rsidP="009C6EF8">
      <w:pPr>
        <w:rPr>
          <w:b/>
          <w:bCs/>
        </w:rPr>
      </w:pPr>
      <w:r w:rsidRPr="009C6EF8">
        <w:rPr>
          <w:b/>
        </w:rPr>
        <w:t>PREZYDENT MIASTA STOŁECZNEGO WARSZAWY</w:t>
      </w:r>
    </w:p>
    <w:p w:rsidR="008B3542" w:rsidRPr="009C6EF8" w:rsidRDefault="008B3542" w:rsidP="009C6EF8">
      <w:pPr>
        <w:rPr>
          <w:b/>
          <w:lang w:val="en-US"/>
        </w:rPr>
      </w:pPr>
      <w:r w:rsidRPr="009C6EF8">
        <w:rPr>
          <w:b/>
          <w:lang w:val="en-US"/>
        </w:rPr>
        <w:t>COP-13.310.11.2020.GWA</w:t>
      </w:r>
    </w:p>
    <w:p w:rsidR="008B3542" w:rsidRPr="009C6EF8" w:rsidRDefault="003946AF" w:rsidP="009C6EF8">
      <w:pPr>
        <w:rPr>
          <w:b/>
          <w:lang w:val="en-US"/>
        </w:rPr>
      </w:pPr>
      <w:r w:rsidRPr="009C6EF8">
        <w:rPr>
          <w:b/>
          <w:lang w:val="en-US"/>
        </w:rPr>
        <w:t>COP-13/31101/1115</w:t>
      </w:r>
      <w:r w:rsidR="008B3542" w:rsidRPr="009C6EF8">
        <w:rPr>
          <w:b/>
          <w:lang w:val="en-US"/>
        </w:rPr>
        <w:t xml:space="preserve"> /GW/20</w:t>
      </w:r>
    </w:p>
    <w:p w:rsidR="008B3542" w:rsidRPr="009D43EE" w:rsidRDefault="008B3542" w:rsidP="009C6EF8">
      <w:pPr>
        <w:pStyle w:val="Nagwek1"/>
      </w:pPr>
      <w:r w:rsidRPr="009D43EE">
        <w:t>INTERPRETACJA INDYWIDUALNA</w:t>
      </w:r>
    </w:p>
    <w:p w:rsidR="008B3542" w:rsidRPr="008B3542" w:rsidRDefault="008B3542" w:rsidP="009C6EF8">
      <w:pPr>
        <w:pStyle w:val="Nagwek2"/>
        <w:numPr>
          <w:ilvl w:val="0"/>
          <w:numId w:val="2"/>
        </w:numPr>
        <w:rPr>
          <w:bCs/>
          <w:lang w:val="en-US"/>
        </w:rPr>
      </w:pPr>
      <w:r w:rsidRPr="008B3542">
        <w:t>Podstawa prawna interpretacji</w:t>
      </w:r>
    </w:p>
    <w:p w:rsidR="008B3542" w:rsidRPr="008B3542" w:rsidRDefault="008B3542" w:rsidP="009C6EF8">
      <w:pPr>
        <w:rPr>
          <w:b/>
          <w:bCs/>
          <w:lang w:val="en-US"/>
        </w:rPr>
      </w:pPr>
      <w:r w:rsidRPr="008B3542">
        <w:t xml:space="preserve">Art. 14j § 1 ustawy z dnia 29 sierpnia 1997 r. - Ordynacja podatkowa (Dz. U. z 2019 r. poz. 900, z </w:t>
      </w:r>
      <w:proofErr w:type="spellStart"/>
      <w:r w:rsidRPr="008B3542">
        <w:t>późn</w:t>
      </w:r>
      <w:proofErr w:type="spellEnd"/>
      <w:r w:rsidRPr="008B3542">
        <w:t>. zm.).</w:t>
      </w:r>
    </w:p>
    <w:p w:rsidR="008B3542" w:rsidRDefault="008B3542" w:rsidP="009C6EF8">
      <w:pPr>
        <w:pStyle w:val="Nagwek2"/>
        <w:numPr>
          <w:ilvl w:val="0"/>
          <w:numId w:val="2"/>
        </w:numPr>
      </w:pPr>
      <w:r w:rsidRPr="008B3542">
        <w:t>Rozstrzygnięcie</w:t>
      </w:r>
    </w:p>
    <w:p w:rsidR="008B3542" w:rsidRDefault="008B3542" w:rsidP="009C6EF8">
      <w:pPr>
        <w:rPr>
          <w:b/>
        </w:rPr>
      </w:pPr>
      <w:r w:rsidRPr="008B3542">
        <w:t xml:space="preserve">Po rozpatrzeniu wniosku </w:t>
      </w:r>
      <w:r w:rsidR="009C6EF8">
        <w:t>(…)</w:t>
      </w:r>
      <w:r w:rsidRPr="008B3542">
        <w:t xml:space="preserve"> Sp. z o.o. z siedzibą w </w:t>
      </w:r>
      <w:r w:rsidR="009C6EF8">
        <w:t>(…)</w:t>
      </w:r>
      <w:r w:rsidRPr="008B3542">
        <w:t xml:space="preserve"> przy ulicy </w:t>
      </w:r>
      <w:r w:rsidR="009C6EF8">
        <w:t>(…)</w:t>
      </w:r>
      <w:r w:rsidRPr="008B3542">
        <w:t xml:space="preserve"> (dalej jako „Wnioskodawca”) z dnia 1 lipca 2020 r. (wpływ do organu podatkowego w dniu 7 lipca 2020 r.) w sprawie udzielenia pisemnej interpretacji przepisów prawa podatkowego w zakresie podatku od nieruchomości (dalej jako „wniosek”), postanawiam uznać stanowisko Wnioskodawcy – w przedstawionym stanie faktycznym - za prawidłowe w obowiązującym stanie prawnym.</w:t>
      </w:r>
    </w:p>
    <w:p w:rsidR="008B3542" w:rsidRDefault="008B3542" w:rsidP="009C6EF8">
      <w:pPr>
        <w:pStyle w:val="Nagwek2"/>
        <w:numPr>
          <w:ilvl w:val="0"/>
          <w:numId w:val="2"/>
        </w:numPr>
      </w:pPr>
      <w:r w:rsidRPr="008B3542">
        <w:t>Stan faktyczny/zdarzenie przyszłe przedstawione we wniosku</w:t>
      </w:r>
    </w:p>
    <w:p w:rsidR="008B3542" w:rsidRPr="008B3542" w:rsidRDefault="008B3542" w:rsidP="009C6EF8">
      <w:r w:rsidRPr="008B3542">
        <w:rPr>
          <w:lang w:eastAsia="pl-PL" w:bidi="pl-PL"/>
        </w:rPr>
        <w:t xml:space="preserve">Z treści przedłożonego wniosku wynika, iż Wnioskodawca - w ramach prowadzonej działalności gospodarczej - realizuje projekty z zakresu robót budowlano - montażowych na rzecz równych Inwestorów, zarówno publicznych jak i prywatnych oraz występuje jako Inwestor. Wnioskodawca posiada kontenery biurowe, socjalne, magazynowe oraz sanitarne, które wykorzystywane są do prowadzonej przez niego działalności gospodarczej jako mobilne zaplecza na budowach. Po rozpoczęciu nowej inwestycji (budowy), kontenery dostarczane są jako zaplecze dla nadzoru budowy, pracowników produkcyjnych oraz służą jako magazyny sprzętu. Każdy kontener zostaje posadowiony na przygotowanym podłożu posiadającym co najmniej 4 lub 6 punktów podporowych w zależności od rodzaju kontenera. Punkty podporowe wykonywane są z płyt drogowych lub innego materiału np. bloczków betonowych. Kontenery zostają posadowione powyżej gruntu, na terenie stabilnym wykonanym np. z podsypki piaskowej, nie mają bezpośredniej styczności z gruntem. Po przygotowaniu podłoża kontenery montowane są pojedynczo lub w zestawach po kilka sztuk w różnych konfiguracjach. Po ustawieniu kontenerów na miejscu docelowym, doprowadzane są do nich media - zasilanie elektryczne, woda oraz jeśli jest to możliwe kanalizacja. Kontenery nie są trwale związane z gruntem, natomiast po zakończeniu robót budowlanych są przewożone w inne miejsca. Ponadto z treści wniosku wynika, iż przedmiotem zapytania są kontenery znajdujące się na terenie </w:t>
      </w:r>
      <w:r w:rsidR="009C6EF8">
        <w:rPr>
          <w:lang w:eastAsia="pl-PL" w:bidi="pl-PL"/>
        </w:rPr>
        <w:t>(…)</w:t>
      </w:r>
      <w:r w:rsidRPr="008B3542">
        <w:rPr>
          <w:lang w:eastAsia="pl-PL" w:bidi="pl-PL"/>
        </w:rPr>
        <w:t xml:space="preserve"> (pkt 3 strona 1 wniosku).</w:t>
      </w:r>
    </w:p>
    <w:p w:rsidR="008B3542" w:rsidRDefault="008B3542" w:rsidP="009C6EF8">
      <w:r>
        <w:rPr>
          <w:lang w:eastAsia="pl-PL" w:bidi="pl-PL"/>
        </w:rPr>
        <w:t>W tak opisanym stanie faktycznym, pytanie Wnioskodawcy brzmi:</w:t>
      </w:r>
    </w:p>
    <w:p w:rsidR="008B3542" w:rsidRPr="009C6EF8" w:rsidRDefault="008B3542" w:rsidP="009C6EF8">
      <w:pPr>
        <w:rPr>
          <w:b/>
        </w:rPr>
      </w:pPr>
      <w:r w:rsidRPr="009C6EF8">
        <w:rPr>
          <w:rStyle w:val="Bodytext5NotItalic"/>
          <w:rFonts w:asciiTheme="minorHAnsi" w:hAnsiTheme="minorHAnsi" w:cstheme="minorHAnsi"/>
          <w:sz w:val="22"/>
          <w:szCs w:val="22"/>
        </w:rPr>
        <w:t xml:space="preserve">„ </w:t>
      </w:r>
      <w:r w:rsidRPr="009C6EF8">
        <w:rPr>
          <w:lang w:bidi="pl-PL"/>
        </w:rPr>
        <w:t xml:space="preserve">Czy na gruncie ustawy z dnia 12 stycznia 1991 r. o podatkach i opłatach lokalnych, Kontenery opisane w powyższym stanie faktycznym </w:t>
      </w:r>
      <w:proofErr w:type="spellStart"/>
      <w:r w:rsidRPr="009C6EF8">
        <w:rPr>
          <w:lang w:bidi="pl-PL"/>
        </w:rPr>
        <w:t>spełniajg</w:t>
      </w:r>
      <w:proofErr w:type="spellEnd"/>
      <w:r w:rsidRPr="009C6EF8">
        <w:rPr>
          <w:lang w:bidi="pl-PL"/>
        </w:rPr>
        <w:t xml:space="preserve"> definicje „budynku" </w:t>
      </w:r>
      <w:proofErr w:type="spellStart"/>
      <w:r w:rsidRPr="009C6EF8">
        <w:rPr>
          <w:lang w:bidi="pl-PL"/>
        </w:rPr>
        <w:t>bqdź</w:t>
      </w:r>
      <w:proofErr w:type="spellEnd"/>
      <w:r w:rsidRPr="009C6EF8">
        <w:rPr>
          <w:lang w:bidi="pl-PL"/>
        </w:rPr>
        <w:t xml:space="preserve"> „budowli" w rozumieniu </w:t>
      </w:r>
      <w:r w:rsidRPr="009C6EF8">
        <w:rPr>
          <w:lang w:val="en-US" w:bidi="en-US"/>
        </w:rPr>
        <w:t xml:space="preserve">art. </w:t>
      </w:r>
      <w:r w:rsidRPr="009C6EF8">
        <w:rPr>
          <w:lang w:bidi="pl-PL"/>
        </w:rPr>
        <w:t>la ust. 1 pkt 1 i 2</w:t>
      </w:r>
      <w:r w:rsidR="009C6EF8">
        <w:rPr>
          <w:lang w:bidi="pl-PL"/>
        </w:rPr>
        <w:t xml:space="preserve"> </w:t>
      </w:r>
      <w:r w:rsidRPr="009C6EF8">
        <w:rPr>
          <w:lang w:bidi="pl-PL"/>
        </w:rPr>
        <w:t>ustawy o podatkach i opłatach lokalnych z dnia 12 stycznia 1991 r. („UPOL"), a w konsekwencji czy podlegają opodatkowaniu podatkiem od nieruchomości?".</w:t>
      </w:r>
    </w:p>
    <w:p w:rsidR="008B3542" w:rsidRDefault="001C2768" w:rsidP="009C6EF8">
      <w:pPr>
        <w:pStyle w:val="Nagwek2"/>
        <w:numPr>
          <w:ilvl w:val="0"/>
          <w:numId w:val="2"/>
        </w:numPr>
      </w:pPr>
      <w:r w:rsidRPr="001C2768">
        <w:lastRenderedPageBreak/>
        <w:t>Stanowisko wnioskodawcy</w:t>
      </w:r>
    </w:p>
    <w:p w:rsidR="001C2768" w:rsidRPr="009C6EF8" w:rsidRDefault="001C2768" w:rsidP="009C6EF8">
      <w:r w:rsidRPr="009C6EF8">
        <w:rPr>
          <w:rStyle w:val="Bodytext5NotItalic"/>
          <w:rFonts w:asciiTheme="minorHAnsi" w:hAnsiTheme="minorHAnsi" w:cstheme="minorHAnsi"/>
          <w:i w:val="0"/>
          <w:sz w:val="22"/>
          <w:szCs w:val="22"/>
        </w:rPr>
        <w:t>Zdaniem Wnioskodawcy, zawartym we wniosku,</w:t>
      </w:r>
      <w:r w:rsidRPr="009C6EF8">
        <w:rPr>
          <w:rStyle w:val="Bodytext5NotItalic"/>
          <w:rFonts w:asciiTheme="minorHAnsi" w:hAnsiTheme="minorHAnsi" w:cstheme="minorHAnsi"/>
          <w:sz w:val="22"/>
          <w:szCs w:val="22"/>
        </w:rPr>
        <w:t xml:space="preserve"> </w:t>
      </w:r>
      <w:r w:rsidRPr="009C6EF8">
        <w:rPr>
          <w:lang w:eastAsia="pl-PL" w:bidi="pl-PL"/>
        </w:rPr>
        <w:t>„(...)</w:t>
      </w:r>
      <w:r w:rsidRPr="009C6EF8">
        <w:rPr>
          <w:i/>
          <w:lang w:eastAsia="pl-PL" w:bidi="pl-PL"/>
        </w:rPr>
        <w:t xml:space="preserve"> </w:t>
      </w:r>
      <w:r w:rsidRPr="009C6EF8">
        <w:rPr>
          <w:lang w:eastAsia="pl-PL" w:bidi="pl-PL"/>
        </w:rPr>
        <w:t>w przedstawionym stanie faktycznym Kontenery nie spełniają definicji</w:t>
      </w:r>
      <w:r w:rsidRPr="009C6EF8">
        <w:rPr>
          <w:rStyle w:val="Bodytext5NotItalic"/>
          <w:rFonts w:asciiTheme="minorHAnsi" w:hAnsiTheme="minorHAnsi" w:cstheme="minorHAnsi"/>
          <w:sz w:val="22"/>
          <w:szCs w:val="22"/>
        </w:rPr>
        <w:t xml:space="preserve"> „</w:t>
      </w:r>
      <w:r w:rsidRPr="009C6EF8">
        <w:rPr>
          <w:lang w:eastAsia="pl-PL" w:bidi="pl-PL"/>
        </w:rPr>
        <w:t xml:space="preserve">budynku" bądź „budowli" w rozumieniu </w:t>
      </w:r>
      <w:r w:rsidRPr="009C6EF8">
        <w:rPr>
          <w:lang w:val="en-US" w:bidi="en-US"/>
        </w:rPr>
        <w:t xml:space="preserve">art. </w:t>
      </w:r>
      <w:r w:rsidR="00B05CA0">
        <w:rPr>
          <w:lang w:val="en-US" w:bidi="en-US"/>
        </w:rPr>
        <w:t>1</w:t>
      </w:r>
      <w:r w:rsidRPr="009C6EF8">
        <w:rPr>
          <w:lang w:eastAsia="pl-PL" w:bidi="pl-PL"/>
        </w:rPr>
        <w:t>a ust. 1 pkt 1 i 2 UPOL, a w konsekwencji nie podlegają opodatkowaniu podatkiem od nieruchomości".</w:t>
      </w:r>
    </w:p>
    <w:p w:rsidR="001C2768" w:rsidRDefault="001C2768" w:rsidP="009C6EF8">
      <w:pPr>
        <w:pStyle w:val="Nagwek2"/>
        <w:numPr>
          <w:ilvl w:val="0"/>
          <w:numId w:val="2"/>
        </w:numPr>
      </w:pPr>
      <w:r w:rsidRPr="001C2768">
        <w:t>Ocena stanowiska wnioskodawcy wraz z uzasadnieniem prawnym</w:t>
      </w:r>
    </w:p>
    <w:p w:rsidR="001C2768" w:rsidRDefault="001C2768" w:rsidP="009C6EF8">
      <w:r>
        <w:t>Na podstawie stanu faktycznego, opisanego we wniosku, p</w:t>
      </w:r>
      <w:r w:rsidRPr="006E3DF1">
        <w:t xml:space="preserve">ostanawiam uznać stanowisko Wnioskodawcy </w:t>
      </w:r>
      <w:r>
        <w:t>za</w:t>
      </w:r>
      <w:r w:rsidR="00B05CA0">
        <w:t> </w:t>
      </w:r>
      <w:r>
        <w:t xml:space="preserve">prawidłowe w obowiązującym stanie prawnym. </w:t>
      </w:r>
    </w:p>
    <w:p w:rsidR="001C2768" w:rsidRDefault="001C2768" w:rsidP="009C6EF8">
      <w:r>
        <w:t xml:space="preserve">Na podstawie przepisu art. </w:t>
      </w:r>
      <w:r w:rsidRPr="00BD3F22">
        <w:t>14c § 1 zdanie drugie ustawy</w:t>
      </w:r>
      <w:r>
        <w:t xml:space="preserve"> -</w:t>
      </w:r>
      <w:r w:rsidRPr="00BD3F22">
        <w:t xml:space="preserve"> Ordynacja podatkowa,</w:t>
      </w:r>
      <w:r>
        <w:t xml:space="preserve"> odstępuję od</w:t>
      </w:r>
      <w:r w:rsidRPr="00BD3F22">
        <w:t xml:space="preserve"> </w:t>
      </w:r>
      <w:r>
        <w:t>uzasadnienia prawnego.</w:t>
      </w:r>
    </w:p>
    <w:p w:rsidR="001C2768" w:rsidRDefault="001C2768" w:rsidP="009C6EF8">
      <w:pPr>
        <w:rPr>
          <w:b/>
        </w:rPr>
      </w:pPr>
      <w:r w:rsidRPr="001C2768">
        <w:t>Zgodnie z w/w przepisem, jeżeli stanowisko wnioskodawcy jest prawidłowe w pełnym zakresie, można odstąpić od uzasadnienia prawnego. W związku z faktem, iż stanowisko Wnioskodawcy uznane zostało za prawidłowe w</w:t>
      </w:r>
      <w:r w:rsidR="00B05CA0">
        <w:t> </w:t>
      </w:r>
      <w:r w:rsidRPr="001C2768">
        <w:t>pełnym zakresie, odstąpiono od uzasadnienia prawnego.</w:t>
      </w:r>
    </w:p>
    <w:p w:rsidR="001C2768" w:rsidRDefault="001C2768" w:rsidP="009C6EF8">
      <w:pPr>
        <w:pStyle w:val="Nagwek2"/>
        <w:numPr>
          <w:ilvl w:val="0"/>
          <w:numId w:val="2"/>
        </w:numPr>
      </w:pPr>
      <w:r w:rsidRPr="001C2768">
        <w:t>Pouczenie</w:t>
      </w:r>
    </w:p>
    <w:p w:rsidR="001C2768" w:rsidRDefault="001C2768" w:rsidP="009C6EF8">
      <w:pPr>
        <w:rPr>
          <w:b/>
        </w:rPr>
      </w:pPr>
      <w:r w:rsidRPr="001C2768">
        <w:t>Wnioskodawcy przysługuje prawo do wniesienia skargi na niniejszą interpretację przepisów prawa podatkowego. Skargę wnosi się do Wojewódzkiego Sądu Administracyjnego w Warszawie w terminie 30 dni od dnia doręczenia Spółce interpretacji przepisów prawa podatkowego (art. 53 § 1 ustawy z dnia 30 sierpnia 2002 r. – Prawa o</w:t>
      </w:r>
      <w:r w:rsidR="00B05CA0">
        <w:t> </w:t>
      </w:r>
      <w:r w:rsidRPr="001C2768">
        <w:t xml:space="preserve">postępowaniu przed sądami administracyjnymi – Dz. U. z 2019 r. poz. 2325 z </w:t>
      </w:r>
      <w:proofErr w:type="spellStart"/>
      <w:r w:rsidRPr="001C2768">
        <w:t>późn</w:t>
      </w:r>
      <w:proofErr w:type="spellEnd"/>
      <w:r w:rsidRPr="001C2768">
        <w:t>. zm.). Skargę wnosi się za</w:t>
      </w:r>
      <w:r w:rsidR="00B05CA0">
        <w:t> </w:t>
      </w:r>
      <w:r w:rsidRPr="001C2768">
        <w:t>pośrednictwem Prezydenta m.st. Warszawy – Centrum Obsługi Podatnika Urzędu m.st. Warszawy, ul.</w:t>
      </w:r>
      <w:r w:rsidR="00B05CA0">
        <w:t> </w:t>
      </w:r>
      <w:r w:rsidRPr="001C2768">
        <w:t>Obozowa</w:t>
      </w:r>
      <w:r w:rsidR="00B05CA0">
        <w:t> </w:t>
      </w:r>
      <w:r w:rsidRPr="001C2768">
        <w:t>57, 01-161 Warszawa.</w:t>
      </w:r>
    </w:p>
    <w:p w:rsidR="003946AF" w:rsidRDefault="003946AF" w:rsidP="00B05CA0">
      <w:pPr>
        <w:ind w:left="6096"/>
        <w:contextualSpacing/>
        <w:rPr>
          <w:b/>
        </w:rPr>
      </w:pPr>
      <w:r>
        <w:t>Z up. PREZYDENTA M. ST. WARSZAWY</w:t>
      </w:r>
    </w:p>
    <w:p w:rsidR="00B05CA0" w:rsidRDefault="00B05CA0" w:rsidP="00B05CA0">
      <w:pPr>
        <w:ind w:left="7797"/>
        <w:contextualSpacing/>
      </w:pPr>
      <w:r>
        <w:t>/-/</w:t>
      </w:r>
    </w:p>
    <w:p w:rsidR="003946AF" w:rsidRDefault="003946AF" w:rsidP="00B05CA0">
      <w:pPr>
        <w:ind w:left="6804"/>
        <w:contextualSpacing/>
        <w:rPr>
          <w:b/>
        </w:rPr>
      </w:pPr>
      <w:r>
        <w:t>Róża Joanna Gutkowska</w:t>
      </w:r>
    </w:p>
    <w:p w:rsidR="003946AF" w:rsidRPr="000B414A" w:rsidRDefault="003946AF" w:rsidP="00B05CA0">
      <w:pPr>
        <w:ind w:left="7088"/>
        <w:contextualSpacing/>
        <w:rPr>
          <w:b/>
        </w:rPr>
      </w:pPr>
      <w:r w:rsidRPr="000B414A">
        <w:t>Zastępca Skarbnika</w:t>
      </w:r>
    </w:p>
    <w:p w:rsidR="003946AF" w:rsidRPr="000B414A" w:rsidRDefault="003946AF" w:rsidP="00B05CA0">
      <w:pPr>
        <w:ind w:left="7230"/>
        <w:contextualSpacing/>
        <w:rPr>
          <w:b/>
        </w:rPr>
      </w:pPr>
      <w:bookmarkStart w:id="0" w:name="_GoBack"/>
      <w:bookmarkEnd w:id="0"/>
      <w:r w:rsidRPr="000B414A">
        <w:t>m.st. Warszawy</w:t>
      </w:r>
    </w:p>
    <w:sectPr w:rsidR="003946AF" w:rsidRPr="000B414A" w:rsidSect="008B3542">
      <w:pgSz w:w="11906" w:h="16838"/>
      <w:pgMar w:top="907" w:right="851"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7212"/>
    <w:multiLevelType w:val="hybridMultilevel"/>
    <w:tmpl w:val="7E82A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6F4664"/>
    <w:multiLevelType w:val="hybridMultilevel"/>
    <w:tmpl w:val="508A3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42"/>
    <w:rsid w:val="000B414A"/>
    <w:rsid w:val="001C2768"/>
    <w:rsid w:val="001C2A44"/>
    <w:rsid w:val="00374674"/>
    <w:rsid w:val="003946AF"/>
    <w:rsid w:val="005312F3"/>
    <w:rsid w:val="008B3542"/>
    <w:rsid w:val="009C6EF8"/>
    <w:rsid w:val="00B05CA0"/>
    <w:rsid w:val="00C65ADA"/>
    <w:rsid w:val="00FF2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8BADA-C424-4301-8F2F-4B26560D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6EF8"/>
    <w:pPr>
      <w:spacing w:after="240" w:line="300" w:lineRule="auto"/>
    </w:pPr>
    <w:rPr>
      <w:rFonts w:ascii="Calibri" w:hAnsi="Calibri"/>
    </w:rPr>
  </w:style>
  <w:style w:type="paragraph" w:styleId="Nagwek1">
    <w:name w:val="heading 1"/>
    <w:basedOn w:val="Normalny"/>
    <w:link w:val="Nagwek1Znak"/>
    <w:qFormat/>
    <w:rsid w:val="009C6EF8"/>
    <w:pPr>
      <w:overflowPunct w:val="0"/>
      <w:autoSpaceDE w:val="0"/>
      <w:autoSpaceDN w:val="0"/>
      <w:adjustRightInd w:val="0"/>
      <w:spacing w:before="720"/>
      <w:ind w:left="369" w:hanging="369"/>
      <w:outlineLvl w:val="0"/>
    </w:pPr>
    <w:rPr>
      <w:rFonts w:eastAsia="Times New Roman" w:cs="Times New Roman"/>
      <w:b/>
      <w:sz w:val="28"/>
      <w:szCs w:val="20"/>
      <w:lang w:eastAsia="pl-PL"/>
    </w:rPr>
  </w:style>
  <w:style w:type="paragraph" w:styleId="Nagwek2">
    <w:name w:val="heading 2"/>
    <w:basedOn w:val="Normalny"/>
    <w:next w:val="Normalny"/>
    <w:link w:val="Nagwek2Znak"/>
    <w:uiPriority w:val="9"/>
    <w:unhideWhenUsed/>
    <w:qFormat/>
    <w:rsid w:val="009C6EF8"/>
    <w:pPr>
      <w:keepNext/>
      <w:keepLines/>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C6EF8"/>
    <w:rPr>
      <w:rFonts w:ascii="Calibri" w:eastAsia="Times New Roman" w:hAnsi="Calibri" w:cs="Times New Roman"/>
      <w:b/>
      <w:sz w:val="28"/>
      <w:szCs w:val="20"/>
      <w:lang w:eastAsia="pl-PL"/>
    </w:rPr>
  </w:style>
  <w:style w:type="character" w:customStyle="1" w:styleId="Bodytext2">
    <w:name w:val="Body text|2_"/>
    <w:basedOn w:val="Domylnaczcionkaakapitu"/>
    <w:link w:val="Bodytext20"/>
    <w:rsid w:val="008B3542"/>
    <w:rPr>
      <w:rFonts w:ascii="Arial" w:eastAsia="Arial" w:hAnsi="Arial" w:cs="Arial"/>
      <w:sz w:val="20"/>
      <w:szCs w:val="20"/>
      <w:shd w:val="clear" w:color="auto" w:fill="FFFFFF"/>
    </w:rPr>
  </w:style>
  <w:style w:type="character" w:customStyle="1" w:styleId="Bodytext5NotItalic">
    <w:name w:val="Body text|5 + Not Italic"/>
    <w:basedOn w:val="Domylnaczcionkaakapitu"/>
    <w:semiHidden/>
    <w:unhideWhenUsed/>
    <w:rsid w:val="008B3542"/>
    <w:rPr>
      <w:rFonts w:ascii="Arial" w:eastAsia="Arial" w:hAnsi="Arial" w:cs="Arial"/>
      <w:b w:val="0"/>
      <w:bCs w:val="0"/>
      <w:i/>
      <w:iCs/>
      <w:smallCaps w:val="0"/>
      <w:strike w:val="0"/>
      <w:color w:val="000000"/>
      <w:spacing w:val="0"/>
      <w:w w:val="100"/>
      <w:position w:val="0"/>
      <w:sz w:val="20"/>
      <w:szCs w:val="20"/>
      <w:u w:val="none"/>
      <w:lang w:val="pl-PL" w:eastAsia="pl-PL" w:bidi="pl-PL"/>
    </w:rPr>
  </w:style>
  <w:style w:type="paragraph" w:customStyle="1" w:styleId="Bodytext20">
    <w:name w:val="Body text|2"/>
    <w:basedOn w:val="Normalny"/>
    <w:link w:val="Bodytext2"/>
    <w:qFormat/>
    <w:rsid w:val="008B3542"/>
    <w:pPr>
      <w:widowControl w:val="0"/>
      <w:shd w:val="clear" w:color="auto" w:fill="FFFFFF"/>
      <w:spacing w:before="220" w:after="280" w:line="224" w:lineRule="exact"/>
      <w:jc w:val="both"/>
    </w:pPr>
    <w:rPr>
      <w:rFonts w:ascii="Arial" w:eastAsia="Arial" w:hAnsi="Arial" w:cs="Arial"/>
      <w:sz w:val="20"/>
      <w:szCs w:val="20"/>
    </w:rPr>
  </w:style>
  <w:style w:type="character" w:customStyle="1" w:styleId="Bodytext5">
    <w:name w:val="Body text|5_"/>
    <w:basedOn w:val="Domylnaczcionkaakapitu"/>
    <w:link w:val="Bodytext50"/>
    <w:rsid w:val="001C2768"/>
    <w:rPr>
      <w:rFonts w:ascii="Arial" w:eastAsia="Arial" w:hAnsi="Arial" w:cs="Arial"/>
      <w:i/>
      <w:iCs/>
      <w:sz w:val="20"/>
      <w:szCs w:val="20"/>
      <w:shd w:val="clear" w:color="auto" w:fill="FFFFFF"/>
    </w:rPr>
  </w:style>
  <w:style w:type="paragraph" w:customStyle="1" w:styleId="Bodytext50">
    <w:name w:val="Body text|5"/>
    <w:basedOn w:val="Normalny"/>
    <w:link w:val="Bodytext5"/>
    <w:rsid w:val="001C2768"/>
    <w:pPr>
      <w:widowControl w:val="0"/>
      <w:shd w:val="clear" w:color="auto" w:fill="FFFFFF"/>
      <w:spacing w:after="0" w:line="264" w:lineRule="exact"/>
      <w:jc w:val="both"/>
    </w:pPr>
    <w:rPr>
      <w:rFonts w:ascii="Arial" w:eastAsia="Arial" w:hAnsi="Arial" w:cs="Arial"/>
      <w:i/>
      <w:iCs/>
      <w:sz w:val="20"/>
      <w:szCs w:val="20"/>
    </w:rPr>
  </w:style>
  <w:style w:type="character" w:customStyle="1" w:styleId="Nagwek2Znak">
    <w:name w:val="Nagłówek 2 Znak"/>
    <w:basedOn w:val="Domylnaczcionkaakapitu"/>
    <w:link w:val="Nagwek2"/>
    <w:uiPriority w:val="9"/>
    <w:rsid w:val="009C6EF8"/>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606</Words>
  <Characters>3637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Gmur Kinga (COP)</dc:creator>
  <cp:keywords/>
  <dc:description/>
  <cp:lastModifiedBy>Wawer Jakub (COP)</cp:lastModifiedBy>
  <cp:revision>8</cp:revision>
  <dcterms:created xsi:type="dcterms:W3CDTF">2021-09-22T10:55:00Z</dcterms:created>
  <dcterms:modified xsi:type="dcterms:W3CDTF">2023-02-16T13:41:00Z</dcterms:modified>
</cp:coreProperties>
</file>