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BD" w:rsidRDefault="000842BD" w:rsidP="001F18C7">
      <w:pPr>
        <w:jc w:val="right"/>
      </w:pPr>
      <w:r w:rsidRPr="0074079E">
        <w:t xml:space="preserve">Warszawa, </w:t>
      </w:r>
      <w:r w:rsidR="00CC0D32">
        <w:t>2020-05-03</w:t>
      </w:r>
    </w:p>
    <w:p w:rsidR="0054363D" w:rsidRPr="005370BA" w:rsidRDefault="000842BD" w:rsidP="001F18C7">
      <w:pPr>
        <w:rPr>
          <w:b/>
          <w:bCs/>
          <w:sz w:val="24"/>
          <w:szCs w:val="24"/>
        </w:rPr>
      </w:pPr>
      <w:r w:rsidRPr="005370BA">
        <w:rPr>
          <w:b/>
        </w:rPr>
        <w:t>PREZYDENT MIASTA STOŁECZNEGO WARSZAWY</w:t>
      </w:r>
    </w:p>
    <w:p w:rsidR="000842BD" w:rsidRPr="005370BA" w:rsidRDefault="000842BD" w:rsidP="005370BA">
      <w:pPr>
        <w:rPr>
          <w:b/>
          <w:lang w:val="en-US"/>
        </w:rPr>
      </w:pPr>
      <w:r w:rsidRPr="005370BA">
        <w:rPr>
          <w:b/>
          <w:lang w:val="en-US"/>
        </w:rPr>
        <w:t>COP-13.310.</w:t>
      </w:r>
      <w:r w:rsidR="00CC0D32" w:rsidRPr="005370BA">
        <w:rPr>
          <w:b/>
          <w:lang w:val="en-US"/>
        </w:rPr>
        <w:t>7</w:t>
      </w:r>
      <w:r w:rsidRPr="005370BA">
        <w:rPr>
          <w:b/>
          <w:lang w:val="en-US"/>
        </w:rPr>
        <w:t>.2020.GWA</w:t>
      </w:r>
    </w:p>
    <w:p w:rsidR="000842BD" w:rsidRPr="005370BA" w:rsidRDefault="000842BD" w:rsidP="005370BA">
      <w:pPr>
        <w:rPr>
          <w:b/>
          <w:lang w:val="en-US"/>
        </w:rPr>
      </w:pPr>
      <w:r w:rsidRPr="005370BA">
        <w:rPr>
          <w:b/>
          <w:lang w:val="en-US"/>
        </w:rPr>
        <w:t>COP-13</w:t>
      </w:r>
      <w:r w:rsidR="00CC0D32" w:rsidRPr="005370BA">
        <w:rPr>
          <w:b/>
          <w:lang w:val="en-US"/>
        </w:rPr>
        <w:t>/31101/861</w:t>
      </w:r>
      <w:r w:rsidRPr="005370BA">
        <w:rPr>
          <w:b/>
          <w:lang w:val="en-US"/>
        </w:rPr>
        <w:t>/GW/20</w:t>
      </w:r>
    </w:p>
    <w:p w:rsidR="000842BD" w:rsidRPr="00F2470C" w:rsidRDefault="000842BD" w:rsidP="005370BA">
      <w:pPr>
        <w:pStyle w:val="Nagwek1"/>
      </w:pPr>
      <w:r w:rsidRPr="00F2470C">
        <w:t>INTERPRETACJA INDYWIDUALNA</w:t>
      </w:r>
    </w:p>
    <w:p w:rsidR="000842BD" w:rsidRDefault="000842BD" w:rsidP="005370BA">
      <w:pPr>
        <w:pStyle w:val="Nagwek2"/>
        <w:numPr>
          <w:ilvl w:val="0"/>
          <w:numId w:val="2"/>
        </w:numPr>
      </w:pPr>
      <w:r w:rsidRPr="000842BD">
        <w:t>Podstawa prawna interpretacji</w:t>
      </w:r>
    </w:p>
    <w:p w:rsidR="000842BD" w:rsidRDefault="000842BD" w:rsidP="005370BA">
      <w:pPr>
        <w:rPr>
          <w:b/>
        </w:rPr>
      </w:pPr>
      <w:r w:rsidRPr="000842BD">
        <w:t xml:space="preserve">Art. 14j § 1 ustawy z dnia 29 sierpnia 1997 r. - Ordynacja podatkowa (Dz. U. z 2019 r. poz. 900, z </w:t>
      </w:r>
      <w:proofErr w:type="spellStart"/>
      <w:r w:rsidRPr="000842BD">
        <w:t>późn</w:t>
      </w:r>
      <w:proofErr w:type="spellEnd"/>
      <w:r w:rsidRPr="000842BD">
        <w:t>. zm.).</w:t>
      </w:r>
    </w:p>
    <w:p w:rsidR="000842BD" w:rsidRPr="005370BA" w:rsidRDefault="000842BD" w:rsidP="005370BA">
      <w:pPr>
        <w:pStyle w:val="Nagwek2"/>
        <w:numPr>
          <w:ilvl w:val="0"/>
          <w:numId w:val="2"/>
        </w:numPr>
      </w:pPr>
      <w:r w:rsidRPr="005370BA">
        <w:t>Rozstrzygnięcie</w:t>
      </w:r>
    </w:p>
    <w:p w:rsidR="000842BD" w:rsidRPr="000842BD" w:rsidRDefault="000842BD" w:rsidP="006A4859">
      <w:pPr>
        <w:rPr>
          <w:b/>
        </w:rPr>
      </w:pPr>
      <w:r w:rsidRPr="000842BD">
        <w:t xml:space="preserve">Po rozpatrzeniu wniosku </w:t>
      </w:r>
      <w:r>
        <w:t>Pana</w:t>
      </w:r>
      <w:r w:rsidR="005370BA">
        <w:t xml:space="preserve"> (…)</w:t>
      </w:r>
      <w:r>
        <w:t xml:space="preserve"> </w:t>
      </w:r>
      <w:r w:rsidRPr="000842BD">
        <w:t>ul.</w:t>
      </w:r>
      <w:r w:rsidR="005370BA">
        <w:t xml:space="preserve"> (…)</w:t>
      </w:r>
      <w:r w:rsidRPr="000842BD">
        <w:t xml:space="preserve"> z dnia 6 maja 2020 roku w sprawie udzielenia indywidualnej interpretacji przepisów prawa podatkowego w zakresie podatku od nieruchomości (wpływ do organu podatkowego w dniu 7 maja 2020 r.), postanawiam uznać stanowisko przedstawione we wniosku za prawidłowe w obowiązującym stanie prawnym.</w:t>
      </w:r>
    </w:p>
    <w:p w:rsidR="000842BD" w:rsidRDefault="000842BD" w:rsidP="005370BA">
      <w:pPr>
        <w:pStyle w:val="Nagwek2"/>
        <w:numPr>
          <w:ilvl w:val="0"/>
          <w:numId w:val="2"/>
        </w:numPr>
      </w:pPr>
      <w:r w:rsidRPr="000842BD">
        <w:t>Stan faktyczny/zdarzenie przyszłe przedstawione we wniosku</w:t>
      </w:r>
    </w:p>
    <w:p w:rsidR="000842BD" w:rsidRDefault="000842BD" w:rsidP="005370BA">
      <w:r w:rsidRPr="00F2470C">
        <w:t>Z treści przedłożonego wniosku o udzielenie indywidualnej interpretacji przepisów prawa podatkowego w</w:t>
      </w:r>
      <w:r w:rsidR="005370BA">
        <w:t> </w:t>
      </w:r>
      <w:r w:rsidRPr="00F2470C">
        <w:t xml:space="preserve">zakresie podatku od </w:t>
      </w:r>
      <w:r>
        <w:t>nieruchomości</w:t>
      </w:r>
      <w:r w:rsidRPr="00F2470C">
        <w:t xml:space="preserve"> </w:t>
      </w:r>
      <w:r>
        <w:t>(dalej jako „wniosek”) wynika, że Pan</w:t>
      </w:r>
      <w:r w:rsidR="005370BA">
        <w:t xml:space="preserve"> (…)</w:t>
      </w:r>
      <w:r>
        <w:t xml:space="preserve"> (dalej jako „Wnioskodawca”) prowadzi działalność gospodarczą – indywidualną specjalistyczną praktykę lekarską. W lokalu mieszkalnym stanowiącym własność Wnioskodawcy, zostanie wyodrębnione pomieszczenie (10,79 % ogólnej powierzchni lokalu mieszkalnego wraz z komórką lokatorską) przeznaczone na działalność gospodarczą. Ponadto z uzasadnienia wniosku wynika, iż Wnioskodawca indywidualną praktykę lekarską w siedzibie podmiotu leczniczego (nie udziela świadczeń zdrowotnych w zakresie diagnostyki w siedzibie firmy – lokalu mieszkalnym opisanym we wniosku). Wydzielone miejsce służy jednocześnie jako miejsce do przechowywania dokumentacji prowadzonej działalności gospodarczej oraz jako część lokalu mieszkalnego.</w:t>
      </w:r>
    </w:p>
    <w:p w:rsidR="00CC0D32" w:rsidRDefault="000842BD" w:rsidP="005370BA">
      <w:r w:rsidRPr="000842BD">
        <w:t>W świetle tak opisanego stanu faktycznego, pytanie Wnioskodawcy dotyczy ustalenia wysokości podatku od nieruchomości za część lokalu mieszkalnego, która służyć będzie do przechowywania dokumentacji prowadzonej działalności gospodarczej.</w:t>
      </w:r>
    </w:p>
    <w:p w:rsidR="000842BD" w:rsidRDefault="000842BD" w:rsidP="005370BA">
      <w:pPr>
        <w:pStyle w:val="Nagwek2"/>
        <w:numPr>
          <w:ilvl w:val="0"/>
          <w:numId w:val="2"/>
        </w:numPr>
      </w:pPr>
      <w:r w:rsidRPr="000842BD">
        <w:lastRenderedPageBreak/>
        <w:t>Stanowisko wnioskodawcy</w:t>
      </w:r>
    </w:p>
    <w:p w:rsidR="000842BD" w:rsidRPr="00F2470C" w:rsidRDefault="000842BD" w:rsidP="005370BA">
      <w:r w:rsidRPr="00F2470C">
        <w:t xml:space="preserve">Zdaniem </w:t>
      </w:r>
      <w:r>
        <w:t>Wnioskodawcy</w:t>
      </w:r>
      <w:r w:rsidRPr="00F2470C">
        <w:t xml:space="preserve">, zawartym w złożonym wniosku, </w:t>
      </w:r>
      <w:r>
        <w:t>„(…) skoro część budynku mieszkalnego przeznaczona na działalność gospodarczą będzie służyła jednocześnie do celów mieszkalnych, w sprawie znajdzie zastosowanie stawka (…) jak dla budynków mieszkalnych”.</w:t>
      </w:r>
    </w:p>
    <w:p w:rsidR="000842BD" w:rsidRDefault="000842BD" w:rsidP="005370BA">
      <w:pPr>
        <w:pStyle w:val="Nagwek2"/>
        <w:numPr>
          <w:ilvl w:val="0"/>
          <w:numId w:val="2"/>
        </w:numPr>
      </w:pPr>
      <w:r w:rsidRPr="000842BD">
        <w:t>Ocena stanowiska wnioskodawcy wraz z uzasadnieniem prawnym</w:t>
      </w:r>
    </w:p>
    <w:p w:rsidR="000842BD" w:rsidRDefault="000842BD" w:rsidP="005370BA">
      <w:r>
        <w:rPr>
          <w:rStyle w:val="highlight1"/>
          <w:rFonts w:ascii="Calibri" w:hAnsi="Calibri" w:cs="Calibri"/>
          <w:b w:val="0"/>
        </w:rPr>
        <w:t>O</w:t>
      </w:r>
      <w:r w:rsidRPr="005D24B9">
        <w:rPr>
          <w:rStyle w:val="highlight1"/>
          <w:rFonts w:ascii="Calibri" w:hAnsi="Calibri" w:cs="Calibri"/>
          <w:b w:val="0"/>
        </w:rPr>
        <w:t>rgan</w:t>
      </w:r>
      <w:r w:rsidRPr="005D24B9">
        <w:rPr>
          <w:b/>
        </w:rPr>
        <w:t xml:space="preserve"> </w:t>
      </w:r>
      <w:r w:rsidRPr="005D24B9">
        <w:t xml:space="preserve">podatkowy wydający indywidualną interpretację przepisów prawa podatkowego, </w:t>
      </w:r>
      <w:r w:rsidRPr="005D24B9">
        <w:rPr>
          <w:rStyle w:val="highlight1"/>
          <w:rFonts w:ascii="Calibri" w:hAnsi="Calibri" w:cs="Calibri"/>
          <w:b w:val="0"/>
        </w:rPr>
        <w:t>jest</w:t>
      </w:r>
      <w:r w:rsidRPr="005D24B9">
        <w:rPr>
          <w:b/>
        </w:rPr>
        <w:t xml:space="preserve"> </w:t>
      </w:r>
      <w:r w:rsidRPr="005D24B9">
        <w:rPr>
          <w:rStyle w:val="highlight1"/>
          <w:rFonts w:ascii="Calibri" w:hAnsi="Calibri" w:cs="Calibri"/>
          <w:b w:val="0"/>
        </w:rPr>
        <w:t>związany</w:t>
      </w:r>
      <w:r w:rsidRPr="005D24B9">
        <w:rPr>
          <w:b/>
        </w:rPr>
        <w:t xml:space="preserve"> </w:t>
      </w:r>
      <w:r w:rsidRPr="005D24B9">
        <w:t xml:space="preserve">przedstawionym we wniosku </w:t>
      </w:r>
      <w:r w:rsidRPr="005D24B9">
        <w:rPr>
          <w:rStyle w:val="highlight1"/>
          <w:rFonts w:ascii="Calibri" w:hAnsi="Calibri" w:cs="Calibri"/>
          <w:b w:val="0"/>
        </w:rPr>
        <w:t>opisem</w:t>
      </w:r>
      <w:r w:rsidRPr="005D24B9">
        <w:rPr>
          <w:b/>
        </w:rPr>
        <w:t xml:space="preserve"> </w:t>
      </w:r>
      <w:r w:rsidRPr="005D24B9">
        <w:rPr>
          <w:rStyle w:val="highlight1"/>
          <w:rFonts w:ascii="Calibri" w:hAnsi="Calibri" w:cs="Calibri"/>
          <w:b w:val="0"/>
        </w:rPr>
        <w:t>stanu</w:t>
      </w:r>
      <w:r w:rsidRPr="005D24B9">
        <w:rPr>
          <w:b/>
        </w:rPr>
        <w:t xml:space="preserve"> </w:t>
      </w:r>
      <w:r w:rsidRPr="005D24B9">
        <w:rPr>
          <w:rStyle w:val="highlight1"/>
          <w:rFonts w:ascii="Calibri" w:hAnsi="Calibri" w:cs="Calibri"/>
          <w:b w:val="0"/>
        </w:rPr>
        <w:t>faktycznego</w:t>
      </w:r>
      <w:r w:rsidRPr="005D24B9">
        <w:t xml:space="preserve"> lub zdarzenia przyszłego. Ponadto w interpretacji podatkowej organ musi odnieść się do prawnej oceny zaprezentowanej przez wnioskodawcę, bez czynienia samodzielnie dodatkowych założeń czy przyjmowania warunków nieujętych wprost we wniosku. W toku tego postępowania organ ma obowiązek udzielenia podatnikowi przydatnej informacji w zakresie zastosowania i</w:t>
      </w:r>
      <w:r w:rsidR="005370BA">
        <w:t> </w:t>
      </w:r>
      <w:r w:rsidRPr="005D24B9">
        <w:t xml:space="preserve"> wykładni prawa podatkowego (por. wyrok Wojewódzkiego Sądu Administracyjnego w Rzeszowie z dnia 11</w:t>
      </w:r>
      <w:r w:rsidR="005370BA">
        <w:t> </w:t>
      </w:r>
      <w:r w:rsidRPr="005D24B9">
        <w:t xml:space="preserve"> lutego 2020 r., sygn. akt I SA/</w:t>
      </w:r>
      <w:proofErr w:type="spellStart"/>
      <w:r w:rsidRPr="005D24B9">
        <w:t>Rz</w:t>
      </w:r>
      <w:proofErr w:type="spellEnd"/>
      <w:r w:rsidRPr="005D24B9">
        <w:t xml:space="preserve"> 920/19).</w:t>
      </w:r>
    </w:p>
    <w:p w:rsidR="000842BD" w:rsidRPr="00C35CBC" w:rsidRDefault="000842BD" w:rsidP="005370BA">
      <w:pPr>
        <w:rPr>
          <w:color w:val="000000"/>
        </w:rPr>
      </w:pPr>
      <w:r>
        <w:t xml:space="preserve">Zgodnie z </w:t>
      </w:r>
      <w:r w:rsidRPr="00C35CBC">
        <w:t xml:space="preserve">art. 5 ust. 1 pkt 2 lit. b) </w:t>
      </w:r>
      <w:r>
        <w:t>ustawy z dnia 12 stycznia 1991 roku o podatkach i opłatach lokalnych (Dz. U. z 2019 r. poz. 1170 ze zm.; dalej jako „</w:t>
      </w:r>
      <w:proofErr w:type="spellStart"/>
      <w:r>
        <w:t>upol</w:t>
      </w:r>
      <w:proofErr w:type="spellEnd"/>
      <w:r>
        <w:t>”),</w:t>
      </w:r>
      <w:r w:rsidRPr="00C35CBC">
        <w:t xml:space="preserve"> stawką przewidzianą dla budynków związanych z działalnością gospodarczą podlegać będą budynki mieszkalne (lub ich części) zajęte na prowadzenie działalności gospodarczej. </w:t>
      </w:r>
      <w:r w:rsidRPr="00C35CBC">
        <w:rPr>
          <w:color w:val="000000"/>
        </w:rPr>
        <w:t xml:space="preserve">Prawidłowa interpretacja art. 5 ust. 1 pkt 2 lit. b) </w:t>
      </w:r>
      <w:proofErr w:type="spellStart"/>
      <w:r w:rsidRPr="00C35CBC">
        <w:rPr>
          <w:color w:val="000000"/>
        </w:rPr>
        <w:t>upol</w:t>
      </w:r>
      <w:proofErr w:type="spellEnd"/>
      <w:r w:rsidRPr="00C35CBC">
        <w:rPr>
          <w:color w:val="000000"/>
        </w:rPr>
        <w:t xml:space="preserve"> wymaga zatem ustalenia zakresu znaczeniowego użytego przez ustawodawcę wyrażenia „zajęty na prowadzenie działalności gospodarczej”. Znaczenia zwrotów użytych</w:t>
      </w:r>
      <w:r w:rsidR="001C570A">
        <w:rPr>
          <w:color w:val="000000"/>
        </w:rPr>
        <w:t xml:space="preserve"> </w:t>
      </w:r>
      <w:r w:rsidRPr="00C35CBC">
        <w:rPr>
          <w:color w:val="000000"/>
        </w:rPr>
        <w:t>w treści przepisów prawa podatkowego w pierwszej kolejności należy poszukiwać wśród definicji legalnych zamieszczonych w przepisach tej właśnie gałęzi prawa, następnie pośród innych powszechnie obowiązującego przepisów prawa, normujących daną dziedzinę życia. Jeśli brak takich legalnych definicji - tak jak w analizowanym przypadku - należy odwołać się do potocznego rozumienia danego wyrażenia.</w:t>
      </w:r>
    </w:p>
    <w:p w:rsidR="000842BD" w:rsidRPr="00C35CBC" w:rsidRDefault="000842BD" w:rsidP="005370BA">
      <w:pPr>
        <w:rPr>
          <w:color w:val="000000"/>
        </w:rPr>
      </w:pPr>
      <w:r w:rsidRPr="00C35CBC">
        <w:rPr>
          <w:color w:val="000000"/>
        </w:rPr>
        <w:t>I tak, w ww. wyrażeniu decydujące znaczenie ma zwrot "zajęty". Czasownik, od którego ten imiesłów pochodzi, czyli "zająć", znaczy zaś tyle co "zapełnić, wypełnić sobą jakąś przestrzeń, powierzchnię, miejsce" (por. Słownik języka polskiego, [red.] prof. W. Doroszewskiego, wydanie internetowe).</w:t>
      </w:r>
    </w:p>
    <w:p w:rsidR="000842BD" w:rsidRPr="00C35CBC" w:rsidRDefault="000842BD" w:rsidP="005370BA">
      <w:r w:rsidRPr="00C35CBC">
        <w:t xml:space="preserve">Uwzględniając powyższe znaczenie analizowanego pojęcia należy przyjąć, że sformułowanie to wyraźnie sugeruje, na co zwrócił uwagę także Naczelny Sąd Administracyjny w wyroku z dnia 11 sierpnia 1992 r. (sygn. akt </w:t>
      </w:r>
      <w:r w:rsidRPr="00C35CBC">
        <w:rPr>
          <w:bCs/>
        </w:rPr>
        <w:t>SA</w:t>
      </w:r>
      <w:r w:rsidRPr="00C35CBC">
        <w:t>/</w:t>
      </w:r>
      <w:proofErr w:type="spellStart"/>
      <w:r w:rsidRPr="00C35CBC">
        <w:rPr>
          <w:bCs/>
        </w:rPr>
        <w:t>Wr</w:t>
      </w:r>
      <w:proofErr w:type="spellEnd"/>
      <w:r w:rsidRPr="00C35CBC">
        <w:t xml:space="preserve"> </w:t>
      </w:r>
      <w:r w:rsidRPr="00C35CBC">
        <w:rPr>
          <w:bCs/>
        </w:rPr>
        <w:t>650/92, CBOSA</w:t>
      </w:r>
      <w:r w:rsidRPr="00C35CBC">
        <w:t xml:space="preserve"> - aktualnym również w obecnym stanie prawnym), iż ww. przepis ustawy o podatkach i opłatach lokalnych wymaga, aby część budynku mieszkalnego była przeznaczona dla prowadzenia w niej działalności gospodarczej z wyłączeniem funkcji mieszkalnych i innych związanych z zamieszkiwaniem w</w:t>
      </w:r>
      <w:r w:rsidR="005370BA">
        <w:t> </w:t>
      </w:r>
      <w:r w:rsidRPr="00C35CBC">
        <w:t xml:space="preserve"> budynku. Natomiast w sytuacji, gdy budynek mieszkalny (lub jego część) został zajęty na prowadzenie działalności gospodarczej, ale powierzchnie zajmowane na prowadzenie działalności gospodarczej służą jednocześnie celom mieszkalnym, to w sprawie znajdzie zastosowanie stawka określona w art. 5 ust. 1 pkt 2 lit. a) </w:t>
      </w:r>
      <w:proofErr w:type="spellStart"/>
      <w:r w:rsidRPr="00C35CBC">
        <w:t>upol</w:t>
      </w:r>
      <w:proofErr w:type="spellEnd"/>
      <w:r w:rsidRPr="00C35CBC">
        <w:t xml:space="preserve">, tj. jak dla budynków mieszkalnych. Oznacza to, że budynek mieszkalny lub jego część musi być </w:t>
      </w:r>
      <w:r w:rsidRPr="00C35CBC">
        <w:lastRenderedPageBreak/>
        <w:t>faktycznie zajęty na działalność gospodarczą, nie wystarczy tu więc fakt, że jest on związany z działalnością gospodarczą, gdyż znajduje się w posiadaniu przedsiębiorcy.</w:t>
      </w:r>
    </w:p>
    <w:p w:rsidR="000842BD" w:rsidRPr="00C35CBC" w:rsidRDefault="000842BD" w:rsidP="005370BA">
      <w:r w:rsidRPr="00C35CBC">
        <w:t>Stanowisko takie potwierdza orzecznictwo sądowe, czego przykładem – oprócz powołanego już wyżej wyroku NSA z dnia 11 sierpnia 1992 roku, jest także orzeczenie WSA w Warszawie z dnia 11 czerwca 2012 r., sygn. akt III SA/</w:t>
      </w:r>
      <w:proofErr w:type="spellStart"/>
      <w:r w:rsidRPr="00C35CBC">
        <w:t>Wa</w:t>
      </w:r>
      <w:proofErr w:type="spellEnd"/>
      <w:r w:rsidRPr="00C35CBC">
        <w:t xml:space="preserve"> 2798/11 (CBOSA).</w:t>
      </w:r>
    </w:p>
    <w:p w:rsidR="000842BD" w:rsidRDefault="000842BD" w:rsidP="005370BA">
      <w:r w:rsidRPr="00C35CBC">
        <w:t xml:space="preserve">W świetle powyższego, </w:t>
      </w:r>
      <w:r>
        <w:t>opisany we wniosku</w:t>
      </w:r>
      <w:r w:rsidRPr="00C35CBC">
        <w:t xml:space="preserve"> lokal mieszkalny służy w cało</w:t>
      </w:r>
      <w:r>
        <w:t>ści także do celów mieszkalnych. Tym samym</w:t>
      </w:r>
      <w:r w:rsidRPr="00C35CBC">
        <w:t xml:space="preserve"> będzie </w:t>
      </w:r>
      <w:r>
        <w:t xml:space="preserve">on </w:t>
      </w:r>
      <w:r w:rsidRPr="00C35CBC">
        <w:t>podlegał opodatkowaniu wg stawki przewidzianej dla budynków mieszkalnych. Stawka przewidziana dla budynków związanych z działalnością gospodarczą będzie miała zastosowanie tylko wówczas, jeżeli wydzielona część tego lokalu służyła będzie tylko i wyłącznie do prowadzenia działalności gospodarczej, przy czym wskazać należy, iż nie jest wymaga w takim przypadku zmiana klasyfikacji w odpowiednich ewidencjach takiego lokalu.</w:t>
      </w:r>
    </w:p>
    <w:p w:rsidR="000842BD" w:rsidRDefault="000842BD" w:rsidP="005370BA">
      <w:r>
        <w:t>Tym samym, stanowisko zawarte we wniosku uznać należy za prawidłowe w obowiązującym stanie prawnym.</w:t>
      </w:r>
    </w:p>
    <w:p w:rsidR="00D843D6" w:rsidRDefault="00D843D6" w:rsidP="005370BA">
      <w:pPr>
        <w:pStyle w:val="Nagwek2"/>
        <w:numPr>
          <w:ilvl w:val="0"/>
          <w:numId w:val="2"/>
        </w:numPr>
      </w:pPr>
      <w:r w:rsidRPr="00D843D6">
        <w:t>Pouczenie</w:t>
      </w:r>
    </w:p>
    <w:p w:rsidR="00D843D6" w:rsidRDefault="00D843D6" w:rsidP="005370BA">
      <w:pPr>
        <w:rPr>
          <w:b/>
        </w:rPr>
      </w:pPr>
      <w:r w:rsidRPr="00D843D6">
        <w:t xml:space="preserve">Wnioskodawcy przysługuje prawo do wniesienia skargi na niniejszą interpretację przepisów prawa podatkowego. Skargę wnosi się do Wojewódzkiego Sądu Administracyjnego w Warszawie w terminie 30 dni od dnia doręczenia interpretacji przepisów prawa podatkowego (art. 53 § 1 ustawy z dnia 30 sierpnia 2002 r. – Prawa o postępowaniu przed sądami administracyjnymi – Dz. U. z 2019 r. poz. 2325, z </w:t>
      </w:r>
      <w:proofErr w:type="spellStart"/>
      <w:r w:rsidRPr="00D843D6">
        <w:t>późn</w:t>
      </w:r>
      <w:proofErr w:type="spellEnd"/>
      <w:r w:rsidRPr="00D843D6">
        <w:t>. zm.). Skargę wnosi się za pośrednictwem Prezydenta m.st. Warszawy – Centrum Obsługi Podatnika, ul. Obozowa 57, 01-161 Warszawa.</w:t>
      </w:r>
    </w:p>
    <w:p w:rsidR="00CC0D32" w:rsidRDefault="00CC0D32" w:rsidP="001C570A">
      <w:pPr>
        <w:ind w:left="6096"/>
        <w:contextualSpacing/>
        <w:rPr>
          <w:b/>
        </w:rPr>
      </w:pPr>
      <w:r>
        <w:t>Z up. PREZYDENTA M.ST. WARSZAWY</w:t>
      </w:r>
    </w:p>
    <w:p w:rsidR="001C570A" w:rsidRDefault="001C570A" w:rsidP="001C570A">
      <w:pPr>
        <w:ind w:left="7655"/>
        <w:contextualSpacing/>
      </w:pPr>
      <w:r>
        <w:t>/-/</w:t>
      </w:r>
    </w:p>
    <w:p w:rsidR="00CC0D32" w:rsidRDefault="00CC0D32" w:rsidP="001C570A">
      <w:pPr>
        <w:ind w:left="6663"/>
        <w:contextualSpacing/>
        <w:rPr>
          <w:b/>
        </w:rPr>
      </w:pPr>
      <w:r>
        <w:t>Róża Joanna Gutkowska</w:t>
      </w:r>
    </w:p>
    <w:p w:rsidR="00CC0D32" w:rsidRPr="00546266" w:rsidRDefault="00CC0D32" w:rsidP="001C570A">
      <w:pPr>
        <w:ind w:left="6946"/>
        <w:contextualSpacing/>
        <w:rPr>
          <w:b/>
        </w:rPr>
      </w:pPr>
      <w:r w:rsidRPr="00546266">
        <w:t>Zastępca Skarbnika</w:t>
      </w:r>
    </w:p>
    <w:p w:rsidR="00CC0D32" w:rsidRPr="00546266" w:rsidRDefault="00CC0D32" w:rsidP="001C570A">
      <w:pPr>
        <w:ind w:left="7088"/>
        <w:contextualSpacing/>
        <w:rPr>
          <w:rFonts w:ascii="Courier New" w:hAnsi="Courier New" w:cs="Courier New"/>
          <w:b/>
        </w:rPr>
      </w:pPr>
      <w:bookmarkStart w:id="0" w:name="_GoBack"/>
      <w:bookmarkEnd w:id="0"/>
      <w:r w:rsidRPr="00546266">
        <w:t>m.st. Warszawy</w:t>
      </w:r>
    </w:p>
    <w:sectPr w:rsidR="00CC0D32" w:rsidRPr="00546266" w:rsidSect="000842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717" w:rsidRDefault="00866717" w:rsidP="000842BD">
      <w:pPr>
        <w:spacing w:after="0" w:line="240" w:lineRule="auto"/>
      </w:pPr>
      <w:r>
        <w:separator/>
      </w:r>
    </w:p>
  </w:endnote>
  <w:endnote w:type="continuationSeparator" w:id="0">
    <w:p w:rsidR="00866717" w:rsidRDefault="00866717" w:rsidP="0008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D4" w:rsidRDefault="00BA43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3D6" w:rsidRPr="001C570A" w:rsidRDefault="00D843D6" w:rsidP="001C570A">
    <w:pPr>
      <w:widowControl w:val="0"/>
      <w:pBdr>
        <w:top w:val="single" w:sz="4" w:space="1" w:color="auto"/>
      </w:pBdr>
      <w:ind w:left="140"/>
      <w:contextualSpacing/>
      <w:jc w:val="center"/>
      <w:rPr>
        <w:rFonts w:eastAsia="Arial Narrow" w:cstheme="minorHAnsi"/>
        <w:b/>
        <w:bCs/>
      </w:rPr>
    </w:pPr>
    <w:r w:rsidRPr="001C570A">
      <w:rPr>
        <w:rFonts w:eastAsia="Arial Narrow" w:cstheme="minorHAnsi"/>
        <w:b/>
        <w:bCs/>
      </w:rPr>
      <w:t>Urząd m.st. Warszawy - Centrum Obsługi Podatnika</w:t>
    </w:r>
  </w:p>
  <w:p w:rsidR="00D843D6" w:rsidRPr="001C570A" w:rsidRDefault="00D843D6" w:rsidP="001C570A">
    <w:pPr>
      <w:widowControl w:val="0"/>
      <w:pBdr>
        <w:top w:val="single" w:sz="4" w:space="1" w:color="auto"/>
      </w:pBdr>
      <w:ind w:left="140"/>
      <w:contextualSpacing/>
      <w:jc w:val="center"/>
      <w:rPr>
        <w:rFonts w:eastAsia="Arial Narrow" w:cstheme="minorHAnsi"/>
        <w:b/>
        <w:bCs/>
      </w:rPr>
    </w:pPr>
    <w:r w:rsidRPr="001C570A">
      <w:rPr>
        <w:rFonts w:eastAsia="Arial Narrow" w:cstheme="minorHAnsi"/>
        <w:b/>
        <w:bCs/>
      </w:rPr>
      <w:t xml:space="preserve"> ul. Obozowa 57, 01-161 Warszawa </w:t>
    </w:r>
  </w:p>
  <w:p w:rsidR="000842BD" w:rsidRPr="001C570A" w:rsidRDefault="00D843D6" w:rsidP="001C570A">
    <w:pPr>
      <w:widowControl w:val="0"/>
      <w:pBdr>
        <w:top w:val="single" w:sz="4" w:space="1" w:color="auto"/>
      </w:pBdr>
      <w:ind w:left="140"/>
      <w:contextualSpacing/>
      <w:jc w:val="center"/>
      <w:rPr>
        <w:rFonts w:eastAsia="Arial Narrow" w:cstheme="minorHAnsi"/>
        <w:b/>
        <w:bCs/>
      </w:rPr>
    </w:pPr>
    <w:r w:rsidRPr="001C570A">
      <w:rPr>
        <w:rFonts w:eastAsia="Arial Narrow" w:cstheme="minorHAnsi"/>
        <w:b/>
        <w:bCs/>
      </w:rPr>
      <w:t>tel. +48224430962</w:t>
    </w:r>
  </w:p>
  <w:p w:rsidR="000842BD" w:rsidRPr="001A1B0D" w:rsidRDefault="000842BD" w:rsidP="001A1B0D">
    <w:pPr>
      <w:contextualSpacing/>
      <w:jc w:val="center"/>
      <w:rPr>
        <w:b/>
      </w:rPr>
    </w:pPr>
    <w:r w:rsidRPr="001A1B0D">
      <w:rPr>
        <w:b/>
      </w:rPr>
      <w:fldChar w:fldCharType="begin"/>
    </w:r>
    <w:r w:rsidRPr="001A1B0D">
      <w:rPr>
        <w:b/>
      </w:rPr>
      <w:instrText>PAGE  \* Arabic  \* MERGEFORMAT</w:instrText>
    </w:r>
    <w:r w:rsidRPr="001A1B0D">
      <w:rPr>
        <w:b/>
      </w:rPr>
      <w:fldChar w:fldCharType="separate"/>
    </w:r>
    <w:r w:rsidR="0009475A">
      <w:rPr>
        <w:b/>
        <w:noProof/>
      </w:rPr>
      <w:t>3</w:t>
    </w:r>
    <w:r w:rsidRPr="001A1B0D">
      <w:rPr>
        <w:b/>
      </w:rPr>
      <w:fldChar w:fldCharType="end"/>
    </w:r>
    <w:r w:rsidRPr="001A1B0D">
      <w:rPr>
        <w:b/>
      </w:rPr>
      <w:t xml:space="preserve"> z </w:t>
    </w:r>
    <w:r w:rsidRPr="001A1B0D">
      <w:rPr>
        <w:b/>
      </w:rPr>
      <w:fldChar w:fldCharType="begin"/>
    </w:r>
    <w:r w:rsidRPr="001A1B0D">
      <w:rPr>
        <w:b/>
      </w:rPr>
      <w:instrText>NUMPAGES \ * arabskie \ * MERGEFORMAT</w:instrText>
    </w:r>
    <w:r w:rsidRPr="001A1B0D">
      <w:rPr>
        <w:b/>
      </w:rPr>
      <w:fldChar w:fldCharType="separate"/>
    </w:r>
    <w:r w:rsidR="0009475A">
      <w:rPr>
        <w:b/>
        <w:noProof/>
      </w:rPr>
      <w:t>3</w:t>
    </w:r>
    <w:r w:rsidRPr="001A1B0D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D4" w:rsidRDefault="00BA43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717" w:rsidRDefault="00866717" w:rsidP="000842BD">
      <w:pPr>
        <w:spacing w:after="0" w:line="240" w:lineRule="auto"/>
      </w:pPr>
      <w:r>
        <w:separator/>
      </w:r>
    </w:p>
  </w:footnote>
  <w:footnote w:type="continuationSeparator" w:id="0">
    <w:p w:rsidR="00866717" w:rsidRDefault="00866717" w:rsidP="0008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D4" w:rsidRDefault="00BA43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D4" w:rsidRDefault="00BA43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D4" w:rsidRDefault="00BA43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06755"/>
    <w:multiLevelType w:val="hybridMultilevel"/>
    <w:tmpl w:val="61E86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B507C"/>
    <w:multiLevelType w:val="hybridMultilevel"/>
    <w:tmpl w:val="F0464164"/>
    <w:lvl w:ilvl="0" w:tplc="149044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6F"/>
    <w:rsid w:val="000842BD"/>
    <w:rsid w:val="0009475A"/>
    <w:rsid w:val="001A1B0D"/>
    <w:rsid w:val="001C570A"/>
    <w:rsid w:val="001F18C7"/>
    <w:rsid w:val="005370BA"/>
    <w:rsid w:val="0054363D"/>
    <w:rsid w:val="00546266"/>
    <w:rsid w:val="006A4859"/>
    <w:rsid w:val="00866717"/>
    <w:rsid w:val="008F658B"/>
    <w:rsid w:val="00A93B01"/>
    <w:rsid w:val="00BA43D4"/>
    <w:rsid w:val="00CC0D32"/>
    <w:rsid w:val="00D843D6"/>
    <w:rsid w:val="00DB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E9EC851-C3E7-4F53-9788-5443702B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8C7"/>
    <w:pPr>
      <w:spacing w:after="240" w:line="300" w:lineRule="auto"/>
    </w:pPr>
  </w:style>
  <w:style w:type="paragraph" w:styleId="Nagwek1">
    <w:name w:val="heading 1"/>
    <w:basedOn w:val="Normalny"/>
    <w:link w:val="Nagwek1Znak"/>
    <w:qFormat/>
    <w:rsid w:val="005370BA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0BA"/>
    <w:pPr>
      <w:keepNext/>
      <w:keepLines/>
      <w:outlineLvl w:val="1"/>
    </w:pPr>
    <w:rPr>
      <w:rFonts w:ascii="Calibri" w:eastAsiaTheme="majorEastAsia" w:hAnsi="Calibr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70BA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2BD"/>
  </w:style>
  <w:style w:type="paragraph" w:styleId="Stopka">
    <w:name w:val="footer"/>
    <w:basedOn w:val="Normalny"/>
    <w:link w:val="StopkaZnak"/>
    <w:uiPriority w:val="99"/>
    <w:unhideWhenUsed/>
    <w:rsid w:val="00084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BD"/>
  </w:style>
  <w:style w:type="character" w:customStyle="1" w:styleId="highlight1">
    <w:name w:val="highlight1"/>
    <w:rsid w:val="000842BD"/>
    <w:rPr>
      <w:b/>
      <w:bCs/>
    </w:rPr>
  </w:style>
  <w:style w:type="paragraph" w:styleId="Bezodstpw">
    <w:name w:val="No Spacing"/>
    <w:uiPriority w:val="1"/>
    <w:qFormat/>
    <w:rsid w:val="000842B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PL" w:eastAsia="Times New Roman" w:hAnsi="Times New Roman PL" w:cs="Times New Roman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370BA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4E77-B996-403B-965C-35B39E80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9</cp:revision>
  <cp:lastPrinted>2023-02-16T13:44:00Z</cp:lastPrinted>
  <dcterms:created xsi:type="dcterms:W3CDTF">2021-09-16T13:29:00Z</dcterms:created>
  <dcterms:modified xsi:type="dcterms:W3CDTF">2023-02-16T13:45:00Z</dcterms:modified>
</cp:coreProperties>
</file>