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A38" w:rsidRDefault="00095A38" w:rsidP="00F16121">
      <w:pPr>
        <w:jc w:val="right"/>
      </w:pPr>
      <w:r w:rsidRPr="0074079E">
        <w:t xml:space="preserve">Warszawa, </w:t>
      </w:r>
      <w:r w:rsidR="00807F03">
        <w:t>2020-06-02</w:t>
      </w:r>
    </w:p>
    <w:p w:rsidR="00095A38" w:rsidRPr="00625C31" w:rsidRDefault="00095A38" w:rsidP="00F16121">
      <w:pPr>
        <w:rPr>
          <w:b/>
          <w:bCs/>
          <w:sz w:val="24"/>
          <w:szCs w:val="24"/>
        </w:rPr>
      </w:pPr>
      <w:r w:rsidRPr="00625C31">
        <w:rPr>
          <w:b/>
        </w:rPr>
        <w:t>PREZYDENT MIASTA STOŁECZNEGO WARSZAWY</w:t>
      </w:r>
    </w:p>
    <w:p w:rsidR="00095A38" w:rsidRPr="00625C31" w:rsidRDefault="00095A38" w:rsidP="00625C31">
      <w:pPr>
        <w:rPr>
          <w:b/>
          <w:lang w:val="en-US"/>
        </w:rPr>
      </w:pPr>
      <w:r w:rsidRPr="00625C31">
        <w:rPr>
          <w:b/>
          <w:lang w:val="en-US"/>
        </w:rPr>
        <w:t>COP-13.310.2.2020.GWA</w:t>
      </w:r>
    </w:p>
    <w:p w:rsidR="00EF3634" w:rsidRPr="00625C31" w:rsidRDefault="00095A38" w:rsidP="00625C31">
      <w:pPr>
        <w:rPr>
          <w:rFonts w:cs="Calibri"/>
          <w:b/>
        </w:rPr>
      </w:pPr>
      <w:r w:rsidRPr="00625C31">
        <w:rPr>
          <w:b/>
          <w:lang w:val="en-US"/>
        </w:rPr>
        <w:t>COP-13</w:t>
      </w:r>
      <w:r w:rsidR="00807F03" w:rsidRPr="00625C31">
        <w:rPr>
          <w:b/>
          <w:lang w:val="en-US"/>
        </w:rPr>
        <w:t>/31101/848</w:t>
      </w:r>
      <w:r w:rsidRPr="00625C31">
        <w:rPr>
          <w:b/>
          <w:lang w:val="en-US"/>
        </w:rPr>
        <w:t>/GW/20</w:t>
      </w:r>
    </w:p>
    <w:p w:rsidR="00095A38" w:rsidRPr="00F2470C" w:rsidRDefault="00095A38" w:rsidP="00625C31">
      <w:pPr>
        <w:pStyle w:val="Nagwek1"/>
      </w:pPr>
      <w:r w:rsidRPr="00F2470C">
        <w:t>INTERPRETACJA INDYWIDUALNA</w:t>
      </w:r>
    </w:p>
    <w:p w:rsidR="00095A38" w:rsidRPr="00095A38" w:rsidRDefault="00095A38" w:rsidP="00625C31">
      <w:pPr>
        <w:pStyle w:val="Nagwek2"/>
        <w:numPr>
          <w:ilvl w:val="0"/>
          <w:numId w:val="3"/>
        </w:numPr>
      </w:pPr>
      <w:r w:rsidRPr="00095A38">
        <w:t>Podstawa prawna interpretacji</w:t>
      </w:r>
    </w:p>
    <w:p w:rsidR="004205C4" w:rsidRDefault="004205C4" w:rsidP="00625C31">
      <w:pPr>
        <w:rPr>
          <w:b/>
        </w:rPr>
      </w:pPr>
      <w:r w:rsidRPr="004205C4">
        <w:t xml:space="preserve">Art. 14j § 1 ustawy z dnia 29 sierpnia 1997 r. - Ordynacja podatkowa (Dz. U. z 2019 r. poz. 900, z </w:t>
      </w:r>
      <w:proofErr w:type="spellStart"/>
      <w:r w:rsidRPr="004205C4">
        <w:t>późn</w:t>
      </w:r>
      <w:proofErr w:type="spellEnd"/>
      <w:r w:rsidRPr="004205C4">
        <w:t>. zm.).</w:t>
      </w:r>
    </w:p>
    <w:p w:rsidR="00095A38" w:rsidRDefault="00095A38" w:rsidP="00625C31">
      <w:pPr>
        <w:pStyle w:val="Nagwek2"/>
        <w:numPr>
          <w:ilvl w:val="0"/>
          <w:numId w:val="3"/>
        </w:numPr>
      </w:pPr>
      <w:r w:rsidRPr="00095A38">
        <w:t>Rozstrzygnięcie</w:t>
      </w:r>
    </w:p>
    <w:p w:rsidR="004205C4" w:rsidRDefault="004205C4" w:rsidP="00625C31">
      <w:r w:rsidRPr="004205C4">
        <w:t>Po rozpatrzeniu wnio</w:t>
      </w:r>
      <w:r w:rsidR="00BE0A18">
        <w:t>sku Fundacji</w:t>
      </w:r>
      <w:r w:rsidR="00142D49">
        <w:t xml:space="preserve"> (…)</w:t>
      </w:r>
      <w:r w:rsidR="00BE0A18">
        <w:t xml:space="preserve"> </w:t>
      </w:r>
      <w:r w:rsidRPr="004205C4">
        <w:t xml:space="preserve">z siedzibą w </w:t>
      </w:r>
      <w:r w:rsidR="00142D49">
        <w:t>(…)</w:t>
      </w:r>
      <w:r w:rsidRPr="004205C4">
        <w:t xml:space="preserve"> przy ulicy</w:t>
      </w:r>
      <w:r w:rsidR="00142D49">
        <w:t xml:space="preserve"> (…)</w:t>
      </w:r>
      <w:r w:rsidR="00BE0A18">
        <w:t xml:space="preserve"> </w:t>
      </w:r>
      <w:r w:rsidRPr="004205C4">
        <w:t xml:space="preserve">(dalej jako „Fundacja”) w sprawie udzielenia indywidualnej interpretacji przepisów prawa podatkowego w zakresie podatku od nieruchomości (wpływ do organu podatkowego w dniu 28 lutego 2020 r.), uzupełnionego w dniu 6 kwietnia 2020 roku oraz w dniu 12 maja 2020 roku, postanawiam uznać stanowisko przedstawione we wniosku za nieprawidłowe </w:t>
      </w:r>
      <w:r w:rsidR="00DB28B6">
        <w:t>w obowiązującym stanie prawnym.</w:t>
      </w:r>
    </w:p>
    <w:p w:rsidR="00095A38" w:rsidRPr="004205C4" w:rsidRDefault="00095A38" w:rsidP="00625C31">
      <w:pPr>
        <w:pStyle w:val="Nagwek2"/>
        <w:numPr>
          <w:ilvl w:val="0"/>
          <w:numId w:val="3"/>
        </w:numPr>
      </w:pPr>
      <w:r w:rsidRPr="004205C4">
        <w:t>Stan faktyczny/zdarzenie przyszłe przedstawione we wniosku</w:t>
      </w:r>
    </w:p>
    <w:p w:rsidR="004205C4" w:rsidRPr="004205C4" w:rsidRDefault="004205C4" w:rsidP="00625C31">
      <w:r w:rsidRPr="004205C4">
        <w:t>Z treści przedłożonego wniosku o udzielenie indywidualnej interpretacji przepisów prawa podatkowego w</w:t>
      </w:r>
      <w:r w:rsidR="00142D49">
        <w:t> </w:t>
      </w:r>
      <w:r w:rsidRPr="004205C4">
        <w:t xml:space="preserve"> zakresie podatku od nieruchomości oraz jego uzupełnienia (dalej jako „wniosek”) wynika, że Fundacja prowadzi zarówno nieodpłatną działalność pożytku publicznego (na którą składa się organizacja bezpłatnych edukacyjnych wydarzeń literackich dla mieszkańców </w:t>
      </w:r>
      <w:r w:rsidR="00194D80">
        <w:t>(…)</w:t>
      </w:r>
      <w:r w:rsidRPr="004205C4">
        <w:t xml:space="preserve">) jak i odpłatną działalność pożytku publicznego (na którą składają się nieliczne i symboliczne płatne wejściówki na wydarzenia oraz sprzedaż książek). Fundacja jest organizacja pozarządową, której działalnie nie jest nastawione na zysk. Zgodnie ze statutem Fundacji, wszystkie wypracowane przychody muszą być przeznaczone na działania statutowe Fundacji. Dodatkowo Fundacja realizuje program literacki akceptowany przez </w:t>
      </w:r>
      <w:r w:rsidR="00194D80">
        <w:t>(…)</w:t>
      </w:r>
      <w:r w:rsidRPr="004205C4">
        <w:t>, w którym znajduje się intensywny plan wydarzeń realizowanych bezpłatnie na rzecz miasta. Fundacja nie posiada statusu o</w:t>
      </w:r>
      <w:r w:rsidR="00142D49">
        <w:t>rganizacji pożytku publicznego.</w:t>
      </w:r>
    </w:p>
    <w:p w:rsidR="004205C4" w:rsidRPr="004205C4" w:rsidRDefault="004205C4" w:rsidP="00625C31">
      <w:r w:rsidRPr="004205C4">
        <w:t>W świetle tak opisanego stanu faktycznego, pytanie brzmi:</w:t>
      </w:r>
    </w:p>
    <w:p w:rsidR="004205C4" w:rsidRPr="00142D49" w:rsidRDefault="004205C4" w:rsidP="00625C31">
      <w:pPr>
        <w:rPr>
          <w:b/>
        </w:rPr>
      </w:pPr>
      <w:r w:rsidRPr="00142D49">
        <w:t xml:space="preserve">„Czy Fundacja </w:t>
      </w:r>
      <w:r w:rsidR="00194D80">
        <w:t>(…)</w:t>
      </w:r>
      <w:r w:rsidRPr="00142D49">
        <w:t xml:space="preserve"> może skorzystać z indywidualnie określonej wysokości podatku od nieruchomości, w związku z typem prowadzonej przez Fundację działalności, tj. Działalności pożytku publicznego, nie nastawionej na zyski. Czy możliwe jest zastosowanie przepisów pozwalających na indywidualne obniżenie podatku od obu wynajmowanych przez fundację od miasta lokalami – siedziby Fundacji oraz magazynu piwnicznego”.</w:t>
      </w:r>
    </w:p>
    <w:p w:rsidR="004205C4" w:rsidRPr="004205C4" w:rsidRDefault="004205C4" w:rsidP="00625C31">
      <w:pPr>
        <w:pStyle w:val="Nagwek2"/>
        <w:numPr>
          <w:ilvl w:val="0"/>
          <w:numId w:val="3"/>
        </w:numPr>
      </w:pPr>
      <w:r w:rsidRPr="004205C4">
        <w:t>Stanowisko wnioskodawcy</w:t>
      </w:r>
    </w:p>
    <w:p w:rsidR="004205C4" w:rsidRPr="00142D49" w:rsidRDefault="004205C4" w:rsidP="00807F03">
      <w:pPr>
        <w:rPr>
          <w:rFonts w:cs="Calibri"/>
        </w:rPr>
      </w:pPr>
      <w:r w:rsidRPr="004205C4">
        <w:t xml:space="preserve">Zdaniem Fundacji, zawartym w złożonym wniosku, </w:t>
      </w:r>
      <w:r w:rsidRPr="00142D49">
        <w:t xml:space="preserve">„(…) Zgodnie z przyjętym statutem Fundacji wszystkie </w:t>
      </w:r>
      <w:r w:rsidRPr="00142D49">
        <w:rPr>
          <w:rFonts w:cs="Calibri"/>
        </w:rPr>
        <w:t xml:space="preserve">wypracowane przychody muszą być przeznaczone na działania statutowe Fundacji. Oznacza to, że Fundacja </w:t>
      </w:r>
      <w:r w:rsidRPr="00142D49">
        <w:rPr>
          <w:rFonts w:cs="Calibri"/>
        </w:rPr>
        <w:lastRenderedPageBreak/>
        <w:t>nie</w:t>
      </w:r>
      <w:r w:rsidR="00142D49" w:rsidRPr="00142D49">
        <w:rPr>
          <w:rFonts w:cs="Calibri"/>
        </w:rPr>
        <w:t> </w:t>
      </w:r>
      <w:r w:rsidRPr="00142D49">
        <w:rPr>
          <w:rFonts w:cs="Calibri"/>
        </w:rPr>
        <w:t>prowadzi działalności komercyjnej i ma prawo oczekiwać indywidualnie ustalonej, niższej niż komercyjna stawki podatku od nieruchomości (…)”.</w:t>
      </w:r>
    </w:p>
    <w:p w:rsidR="004205C4" w:rsidRDefault="004205C4" w:rsidP="00625C31">
      <w:pPr>
        <w:pStyle w:val="Nagwek2"/>
        <w:numPr>
          <w:ilvl w:val="0"/>
          <w:numId w:val="3"/>
        </w:numPr>
      </w:pPr>
      <w:r w:rsidRPr="004205C4">
        <w:t>Ocena stanowiska wnioskodawcy wraz z uzasadnieniem prawnym</w:t>
      </w:r>
    </w:p>
    <w:p w:rsidR="004205C4" w:rsidRDefault="004205C4" w:rsidP="00625C31">
      <w:r>
        <w:rPr>
          <w:rStyle w:val="highlight1"/>
          <w:rFonts w:cs="Calibri"/>
          <w:b w:val="0"/>
        </w:rPr>
        <w:t>O</w:t>
      </w:r>
      <w:r w:rsidRPr="005D24B9">
        <w:rPr>
          <w:rStyle w:val="highlight1"/>
          <w:rFonts w:cs="Calibri"/>
          <w:b w:val="0"/>
        </w:rPr>
        <w:t>rgan</w:t>
      </w:r>
      <w:r w:rsidRPr="005D24B9">
        <w:rPr>
          <w:b/>
        </w:rPr>
        <w:t xml:space="preserve"> </w:t>
      </w:r>
      <w:r w:rsidRPr="005D24B9">
        <w:t xml:space="preserve">podatkowy wydający indywidualną interpretację przepisów prawa podatkowego, </w:t>
      </w:r>
      <w:r w:rsidRPr="005D24B9">
        <w:rPr>
          <w:rStyle w:val="highlight1"/>
          <w:rFonts w:cs="Calibri"/>
          <w:b w:val="0"/>
        </w:rPr>
        <w:t>jest</w:t>
      </w:r>
      <w:r w:rsidRPr="005D24B9">
        <w:rPr>
          <w:b/>
        </w:rPr>
        <w:t xml:space="preserve"> </w:t>
      </w:r>
      <w:r w:rsidRPr="005D24B9">
        <w:rPr>
          <w:rStyle w:val="highlight1"/>
          <w:rFonts w:cs="Calibri"/>
          <w:b w:val="0"/>
        </w:rPr>
        <w:t>związany</w:t>
      </w:r>
      <w:r w:rsidRPr="005D24B9">
        <w:rPr>
          <w:b/>
        </w:rPr>
        <w:t xml:space="preserve"> </w:t>
      </w:r>
      <w:r w:rsidRPr="005D24B9">
        <w:t xml:space="preserve">przedstawionym we wniosku </w:t>
      </w:r>
      <w:r w:rsidRPr="005D24B9">
        <w:rPr>
          <w:rStyle w:val="highlight1"/>
          <w:rFonts w:cs="Calibri"/>
          <w:b w:val="0"/>
        </w:rPr>
        <w:t>opisem</w:t>
      </w:r>
      <w:r w:rsidRPr="005D24B9">
        <w:rPr>
          <w:b/>
        </w:rPr>
        <w:t xml:space="preserve"> </w:t>
      </w:r>
      <w:r w:rsidRPr="005D24B9">
        <w:rPr>
          <w:rStyle w:val="highlight1"/>
          <w:rFonts w:cs="Calibri"/>
          <w:b w:val="0"/>
        </w:rPr>
        <w:t>stanu</w:t>
      </w:r>
      <w:r w:rsidRPr="005D24B9">
        <w:rPr>
          <w:b/>
        </w:rPr>
        <w:t xml:space="preserve"> </w:t>
      </w:r>
      <w:r w:rsidRPr="005D24B9">
        <w:rPr>
          <w:rStyle w:val="highlight1"/>
          <w:rFonts w:cs="Calibri"/>
          <w:b w:val="0"/>
        </w:rPr>
        <w:t>faktycznego</w:t>
      </w:r>
      <w:r w:rsidRPr="005D24B9">
        <w:t xml:space="preserve"> lub zdarzenia przyszłego. Ponadto w interpretacji podatkowej organ musi odnieść się do prawnej oceny zaprezentowanej przez wnioskodawcę, bez czynienia samodzielnie dodatkowych założeń czy przyjmowania warunków nieujętych wprost we wniosku. W toku tego postępowania organ ma obowiązek udzielenia podatnikowi przydatnej informacji</w:t>
      </w:r>
      <w:r>
        <w:t xml:space="preserve"> </w:t>
      </w:r>
      <w:r w:rsidRPr="005D24B9">
        <w:t>w zakresie zastosowania i</w:t>
      </w:r>
      <w:r w:rsidR="00142D49">
        <w:t> </w:t>
      </w:r>
      <w:r w:rsidRPr="005D24B9">
        <w:t>wykładni prawa podatkowego (por. wyrok Wojewódzkiego Sądu Administracyjnego</w:t>
      </w:r>
      <w:r>
        <w:t xml:space="preserve"> </w:t>
      </w:r>
      <w:r w:rsidRPr="005D24B9">
        <w:t>w Rzeszowie z dnia 11</w:t>
      </w:r>
      <w:r w:rsidR="00142D49">
        <w:t> </w:t>
      </w:r>
      <w:r w:rsidRPr="005D24B9">
        <w:t xml:space="preserve"> lutego 2020 r., sygn. akt I SA/</w:t>
      </w:r>
      <w:proofErr w:type="spellStart"/>
      <w:r w:rsidRPr="005D24B9">
        <w:t>Rz</w:t>
      </w:r>
      <w:proofErr w:type="spellEnd"/>
      <w:r w:rsidRPr="005D24B9">
        <w:t xml:space="preserve"> 920/19). </w:t>
      </w:r>
      <w:r>
        <w:t>Ponadto podkreślenia wymaga fakt, iż w</w:t>
      </w:r>
      <w:r w:rsidRPr="00D235D9">
        <w:t xml:space="preserve"> orzecznictwie sądów administracyjnych utrwalony został już pogląd, iż  </w:t>
      </w:r>
      <w:r w:rsidRPr="00D235D9">
        <w:rPr>
          <w:rStyle w:val="highlight1"/>
          <w:rFonts w:cs="Calibri"/>
          <w:b w:val="0"/>
        </w:rPr>
        <w:t>wszelkie</w:t>
      </w:r>
      <w:r w:rsidRPr="00D235D9">
        <w:rPr>
          <w:b/>
        </w:rPr>
        <w:t xml:space="preserve"> </w:t>
      </w:r>
      <w:r w:rsidRPr="00D235D9">
        <w:rPr>
          <w:rStyle w:val="highlight1"/>
          <w:rFonts w:cs="Calibri"/>
          <w:b w:val="0"/>
        </w:rPr>
        <w:t>ulgi</w:t>
      </w:r>
      <w:r w:rsidRPr="00D235D9">
        <w:rPr>
          <w:b/>
        </w:rPr>
        <w:t xml:space="preserve"> </w:t>
      </w:r>
      <w:r w:rsidRPr="00D235D9">
        <w:rPr>
          <w:rStyle w:val="highlight1"/>
          <w:rFonts w:cs="Calibri"/>
          <w:b w:val="0"/>
        </w:rPr>
        <w:t>i</w:t>
      </w:r>
      <w:r w:rsidRPr="00D235D9">
        <w:rPr>
          <w:b/>
        </w:rPr>
        <w:t xml:space="preserve"> </w:t>
      </w:r>
      <w:r w:rsidRPr="00D235D9">
        <w:rPr>
          <w:rStyle w:val="highlight1"/>
          <w:rFonts w:cs="Calibri"/>
          <w:b w:val="0"/>
        </w:rPr>
        <w:t>zwolnienia</w:t>
      </w:r>
      <w:r w:rsidRPr="00D235D9">
        <w:t xml:space="preserve"> podatkowe nie stanowią standardu prawnego lecz są odstępstwem</w:t>
      </w:r>
      <w:r>
        <w:t xml:space="preserve"> </w:t>
      </w:r>
      <w:r w:rsidRPr="00D235D9">
        <w:t>od zasady powszechności opodatkowania, wynikającej z art. 84 Konstytucji RP stanowiącego, że każdy jest obowiązany do ponoszenia ciężarów i świadczeń publicznych, w tym podatków, określonych w ustawie. Oznacza to, że wszelkie odstępstwa od tej zasady muszą bezwzględnie wynikać z przepisów prawa i być interpretowane ściśle z jego literą. Tak więc przepisy regulujące prawo do przedmiotowego zwolnienia winny być interpretowane ściśle, a ich interpretacja rozszerzająca jest niedopuszczalna (por. wyrok Wojewódzkiego Sądu Administracyjnego w Lublinie z dnia 6 marca 2019 r., sygn. akt I SA/Lu 831/18, CBOSA).</w:t>
      </w:r>
    </w:p>
    <w:p w:rsidR="004205C4" w:rsidRPr="00142D49" w:rsidRDefault="004205C4" w:rsidP="00625C31">
      <w:pPr>
        <w:rPr>
          <w:color w:val="000000"/>
        </w:rPr>
      </w:pPr>
      <w:r w:rsidRPr="00142D49">
        <w:rPr>
          <w:color w:val="000000"/>
        </w:rPr>
        <w:t>Odnosząc się do kwestii zasadniczej, tj. dotyczącej ustalenia „(…) indywidualnej wysokości podatku od nieruchomości, w związku z typem prowadzonej przez Fundacje działalności (…)”, to wskazać należy, iż żaden przepis prawa podatkowego nie przewiduje możliwości ustalania indywidualnej wysokości podatku od nieruchomości, w tym także z uwagi na rodzaj prowadzonej działalności.</w:t>
      </w:r>
    </w:p>
    <w:p w:rsidR="004205C4" w:rsidRPr="004205C4" w:rsidRDefault="004205C4" w:rsidP="00625C31">
      <w:pPr>
        <w:rPr>
          <w:color w:val="000000"/>
        </w:rPr>
      </w:pPr>
      <w:r w:rsidRPr="004205C4">
        <w:rPr>
          <w:color w:val="000000"/>
        </w:rPr>
        <w:t xml:space="preserve">Przepisy </w:t>
      </w:r>
      <w:r w:rsidRPr="004205C4">
        <w:t xml:space="preserve">ustawy z dnia 12 stycznia 1991 r. o podatkach i opłatach lokalnych (Dz. U. z 2019 r. poz. 1170, z </w:t>
      </w:r>
      <w:proofErr w:type="spellStart"/>
      <w:r w:rsidRPr="004205C4">
        <w:t>późn</w:t>
      </w:r>
      <w:proofErr w:type="spellEnd"/>
      <w:r w:rsidRPr="004205C4">
        <w:t>. zm.; dalej jako „</w:t>
      </w:r>
      <w:proofErr w:type="spellStart"/>
      <w:r w:rsidRPr="004205C4">
        <w:t>upol</w:t>
      </w:r>
      <w:proofErr w:type="spellEnd"/>
      <w:r w:rsidRPr="004205C4">
        <w:t xml:space="preserve">”) </w:t>
      </w:r>
      <w:r w:rsidRPr="004205C4">
        <w:rPr>
          <w:color w:val="000000"/>
        </w:rPr>
        <w:t>przewidują wprawdzie zwolnienia z podatku od nieruchomości, czy obniżone stawki tego podatku, jednak preferencje te przysługują z mocy prawa, po spełnieniu ustawowych warunków uprawniających do skorzystania z nich. Preferencje te nie są przyznawane w trybie indywidualnym przez organ podatkowy.</w:t>
      </w:r>
    </w:p>
    <w:p w:rsidR="004205C4" w:rsidRPr="004205C4" w:rsidRDefault="004205C4" w:rsidP="00625C31">
      <w:r w:rsidRPr="004205C4">
        <w:t xml:space="preserve">Zgodnie z przepisem art. 7 ust. 1 pkt 14 </w:t>
      </w:r>
      <w:proofErr w:type="spellStart"/>
      <w:r w:rsidRPr="004205C4">
        <w:t>upol</w:t>
      </w:r>
      <w:proofErr w:type="spellEnd"/>
      <w:r w:rsidRPr="004205C4">
        <w:t xml:space="preserve">, </w:t>
      </w:r>
      <w:r w:rsidRPr="004205C4">
        <w:rPr>
          <w:color w:val="000000"/>
        </w:rPr>
        <w:t xml:space="preserve">nieruchomości lub ich części zajęte na prowadzenie nieodpłatnej statutowej działalności pożytku publicznego przez organizacje pożytku publicznego objęte są </w:t>
      </w:r>
      <w:r w:rsidRPr="004205C4">
        <w:t>zwolnieniem z</w:t>
      </w:r>
      <w:r w:rsidR="00142D49">
        <w:t> </w:t>
      </w:r>
      <w:r w:rsidRPr="004205C4">
        <w:t>podatku od nieruchomości.</w:t>
      </w:r>
    </w:p>
    <w:p w:rsidR="004205C4" w:rsidRPr="004205C4" w:rsidRDefault="004205C4" w:rsidP="00625C31">
      <w:r w:rsidRPr="004205C4">
        <w:t xml:space="preserve">Z kolei przepis art. 5 ust. 1 pkt 2 lit. e </w:t>
      </w:r>
      <w:proofErr w:type="spellStart"/>
      <w:r w:rsidRPr="004205C4">
        <w:t>upol</w:t>
      </w:r>
      <w:proofErr w:type="spellEnd"/>
      <w:r w:rsidRPr="004205C4">
        <w:t>, dla budynków lub ich cz</w:t>
      </w:r>
      <w:r w:rsidRPr="004205C4">
        <w:rPr>
          <w:rFonts w:hint="eastAsia"/>
        </w:rPr>
        <w:t>ęś</w:t>
      </w:r>
      <w:r w:rsidRPr="004205C4">
        <w:t>ci zaj</w:t>
      </w:r>
      <w:r w:rsidRPr="004205C4">
        <w:rPr>
          <w:rFonts w:hint="eastAsia"/>
        </w:rPr>
        <w:t>ę</w:t>
      </w:r>
      <w:r w:rsidRPr="004205C4">
        <w:t>tych na prowadzenie odp</w:t>
      </w:r>
      <w:r w:rsidRPr="004205C4">
        <w:rPr>
          <w:rFonts w:hint="eastAsia"/>
        </w:rPr>
        <w:t>ł</w:t>
      </w:r>
      <w:r w:rsidRPr="004205C4">
        <w:t>atnej statutowej dzia</w:t>
      </w:r>
      <w:r w:rsidRPr="004205C4">
        <w:rPr>
          <w:rFonts w:hint="eastAsia"/>
        </w:rPr>
        <w:t>ł</w:t>
      </w:r>
      <w:r w:rsidRPr="004205C4">
        <w:t>alno</w:t>
      </w:r>
      <w:r w:rsidRPr="004205C4">
        <w:rPr>
          <w:rFonts w:hint="eastAsia"/>
        </w:rPr>
        <w:t>ś</w:t>
      </w:r>
      <w:r w:rsidRPr="004205C4">
        <w:t>ci po</w:t>
      </w:r>
      <w:r w:rsidRPr="004205C4">
        <w:rPr>
          <w:rFonts w:hint="eastAsia"/>
        </w:rPr>
        <w:t>ż</w:t>
      </w:r>
      <w:r w:rsidRPr="004205C4">
        <w:t>ytku publicznego przez organizacje po</w:t>
      </w:r>
      <w:r w:rsidRPr="004205C4">
        <w:rPr>
          <w:rFonts w:hint="eastAsia"/>
        </w:rPr>
        <w:t>ż</w:t>
      </w:r>
      <w:r w:rsidRPr="004205C4">
        <w:t>ytku publicznego przewiduje obniżoną stawkę podatku od nieruchomości (względem stawki przewidzianej dla budynków lub ich cz</w:t>
      </w:r>
      <w:r w:rsidRPr="004205C4">
        <w:rPr>
          <w:rFonts w:hint="eastAsia"/>
        </w:rPr>
        <w:t>ęś</w:t>
      </w:r>
      <w:r w:rsidRPr="004205C4">
        <w:t>ci zwi</w:t>
      </w:r>
      <w:r w:rsidRPr="004205C4">
        <w:rPr>
          <w:rFonts w:hint="eastAsia"/>
        </w:rPr>
        <w:t>ą</w:t>
      </w:r>
      <w:r w:rsidRPr="004205C4">
        <w:t>zanych z</w:t>
      </w:r>
      <w:r w:rsidR="00142D49">
        <w:t> </w:t>
      </w:r>
      <w:r w:rsidRPr="004205C4">
        <w:t>prowadzeniem dzia</w:t>
      </w:r>
      <w:r w:rsidRPr="004205C4">
        <w:rPr>
          <w:rFonts w:hint="eastAsia"/>
        </w:rPr>
        <w:t>ł</w:t>
      </w:r>
      <w:r w:rsidRPr="004205C4">
        <w:t>alno</w:t>
      </w:r>
      <w:r w:rsidRPr="004205C4">
        <w:rPr>
          <w:rFonts w:hint="eastAsia"/>
        </w:rPr>
        <w:t>ś</w:t>
      </w:r>
      <w:r w:rsidRPr="004205C4">
        <w:t>ci gospodarczej).</w:t>
      </w:r>
    </w:p>
    <w:p w:rsidR="004205C4" w:rsidRPr="004205C4" w:rsidRDefault="004205C4" w:rsidP="00142D49">
      <w:r w:rsidRPr="004205C4">
        <w:t>Warunkiem do skorzystania z w/w zwolnienia albo obniżonej stawki podatku od nieruchomości jest spełnienie przez podatnika podatku od nierucho</w:t>
      </w:r>
      <w:r w:rsidR="00142D49">
        <w:t>mości łącznie dwóch przesłanek:</w:t>
      </w:r>
    </w:p>
    <w:p w:rsidR="004205C4" w:rsidRPr="00142D49" w:rsidRDefault="004205C4" w:rsidP="00142D49">
      <w:pPr>
        <w:pStyle w:val="Akapitzlist"/>
        <w:numPr>
          <w:ilvl w:val="0"/>
          <w:numId w:val="4"/>
        </w:numPr>
        <w:ind w:left="714" w:hanging="357"/>
        <w:contextualSpacing w:val="0"/>
        <w:rPr>
          <w:color w:val="000000"/>
        </w:rPr>
      </w:pPr>
      <w:r w:rsidRPr="00142D49">
        <w:rPr>
          <w:color w:val="000000"/>
        </w:rPr>
        <w:t>po pierwsze – prowadzenie na danej nieruchomości statutowej dz</w:t>
      </w:r>
      <w:r w:rsidR="00194D80">
        <w:rPr>
          <w:color w:val="000000"/>
        </w:rPr>
        <w:t>iałalności pożytku publicznego;</w:t>
      </w:r>
    </w:p>
    <w:p w:rsidR="004205C4" w:rsidRPr="00142D49" w:rsidRDefault="004205C4" w:rsidP="00142D49">
      <w:pPr>
        <w:pStyle w:val="Akapitzlist"/>
        <w:numPr>
          <w:ilvl w:val="0"/>
          <w:numId w:val="4"/>
        </w:numPr>
        <w:ind w:left="714" w:hanging="357"/>
        <w:contextualSpacing w:val="0"/>
        <w:rPr>
          <w:color w:val="000000"/>
        </w:rPr>
      </w:pPr>
      <w:r w:rsidRPr="00142D49">
        <w:rPr>
          <w:color w:val="000000"/>
        </w:rPr>
        <w:t>po drugie - posiadanie statusu o</w:t>
      </w:r>
      <w:r w:rsidR="00194D80">
        <w:rPr>
          <w:color w:val="000000"/>
        </w:rPr>
        <w:t>rganizacji pożytku publicznego.</w:t>
      </w:r>
    </w:p>
    <w:p w:rsidR="004205C4" w:rsidRDefault="004205C4" w:rsidP="00625C31">
      <w:pPr>
        <w:rPr>
          <w:color w:val="000000"/>
        </w:rPr>
      </w:pPr>
      <w:r w:rsidRPr="004205C4">
        <w:rPr>
          <w:color w:val="000000"/>
        </w:rPr>
        <w:lastRenderedPageBreak/>
        <w:t>Z treści złożonego wniosku oraz jego uzupełnienia wynika, iż Fundacja co prawda prowadzi nieodpłatną statutową działalność pożytku publicznego, jednakże nie posiada statusu organizacji pożytku publicznego.</w:t>
      </w:r>
    </w:p>
    <w:p w:rsidR="004205C4" w:rsidRDefault="004205C4" w:rsidP="00625C31">
      <w:r>
        <w:t>Oznacza to, że Fundacja nie może skorzystać z w/w zwolnienia albo obniżonej stawki podatku od nieruchomości.</w:t>
      </w:r>
    </w:p>
    <w:p w:rsidR="004205C4" w:rsidRPr="00142D49" w:rsidRDefault="004205C4" w:rsidP="00625C31">
      <w:r w:rsidRPr="00142D49">
        <w:t xml:space="preserve">Zgodnie z przepisem art. 7 ust. 3 </w:t>
      </w:r>
      <w:proofErr w:type="spellStart"/>
      <w:r w:rsidRPr="00142D49">
        <w:t>upol</w:t>
      </w:r>
      <w:proofErr w:type="spellEnd"/>
      <w:r w:rsidRPr="00142D49">
        <w:t xml:space="preserve">, rada gminy, w drodze uchwały, może wprowadzić inne zwolnienia przedmiotowe niż określone w art. 7 ust. 1 </w:t>
      </w:r>
      <w:proofErr w:type="spellStart"/>
      <w:r w:rsidRPr="00142D49">
        <w:t>upol</w:t>
      </w:r>
      <w:proofErr w:type="spellEnd"/>
      <w:r w:rsidRPr="00142D49">
        <w:t xml:space="preserve"> oraz w art. 10 ust. 1 ustawy z dnia 2 października 2003 r. o</w:t>
      </w:r>
      <w:r w:rsidR="00142D49">
        <w:t> </w:t>
      </w:r>
      <w:r w:rsidRPr="00142D49">
        <w:t xml:space="preserve">zmianie ustawy o specjalnych strefach ekonomicznych i niektórych ustaw (Dz. U. poz. 1840, z </w:t>
      </w:r>
      <w:proofErr w:type="spellStart"/>
      <w:r w:rsidRPr="00142D49">
        <w:t>pó</w:t>
      </w:r>
      <w:r w:rsidRPr="00142D49">
        <w:rPr>
          <w:rFonts w:hint="eastAsia"/>
        </w:rPr>
        <w:t>ź</w:t>
      </w:r>
      <w:r w:rsidRPr="00142D49">
        <w:t>n</w:t>
      </w:r>
      <w:proofErr w:type="spellEnd"/>
      <w:r w:rsidRPr="00142D49">
        <w:t>. zm.). W piśmiennictwie dotyczącym interpretacji treści tego przepisu stwierdza się, iż „(…) rada gminy może wprowadzać na swoim terenie inne niż ustawowe zwolnienia od podatku. Mogą to być jednak, co</w:t>
      </w:r>
      <w:r w:rsidR="00142D49">
        <w:t> </w:t>
      </w:r>
      <w:r w:rsidRPr="00142D49">
        <w:t xml:space="preserve"> należy podkreślić, jedynie zwolnienia przedmiotowe. Mogłoby się wydawać, że ustawodawca w</w:t>
      </w:r>
      <w:r w:rsidR="00142D49">
        <w:t> </w:t>
      </w:r>
      <w:r w:rsidRPr="00142D49">
        <w:t xml:space="preserve"> ograniczaniu możliwości wprowadzania zwolnień przez radę poszedł dalej, niż wymaga tego art. 217 Konstytucji RP. W przepisie tym zapisano, że tylko "określanie kategorii podmiotów zwolnionych od podatku następuje w drodze ustawy". Biorąc pod uwagę brzmienie art. 217 Konstytucji RP i art. 7 ust. 3 </w:t>
      </w:r>
      <w:proofErr w:type="spellStart"/>
      <w:r w:rsidRPr="00142D49">
        <w:t>u.p.o.l</w:t>
      </w:r>
      <w:proofErr w:type="spellEnd"/>
      <w:r w:rsidRPr="00142D49">
        <w:t>., należy stwierdzić, że rada gminy nie może wprowadzać zwolnień określonych podmiotów. Tak więc np. nie może zwolnić od podatku jednostek służby zdrowia lub rencistów i emerytów. Rada może natomiast wprowadzać zwolnienia określonych przedmiotów opodatkowania, takich jak np. budynek, grunt, budowla, lokal. Jeżeli zwolnienie dotyczy tak określonego przedmiotu, to dalsze jego sprecyzowanie przez wskazanie określonych cech tego przedmiotu, np. przez kogo jest wykorzystywany lub jakim celom służy, nie zmienia jego zasadniczego charakteru. Jest to zwolnienie przedmiotowe. Każde zwolnienie przedmiotu odnosi się do konkretnych podatników, którzy z niego korzystają. To nie osoba podatnika decyduje jednak o zwolnieniu, ale przede wszystkim rodzaj przedmiotu opodatkowania. Jako przykład takiego zwolnienia można podać zwolnienie budynków mieszkalnych będących we władaniu rencistów i emerytów, którzy przekazali gospodarstwa za rentę lub emeryturę. Zwolnienie to dotyczy określonego wyraźnie przedmiotu - budynków mieszkalnych, o określonych cechach - znajdujących się we władaniu rencistów i emerytów</w:t>
      </w:r>
      <w:r w:rsidRPr="00142D49">
        <w:rPr>
          <w:vertAlign w:val="superscript"/>
        </w:rPr>
        <w:t xml:space="preserve"> </w:t>
      </w:r>
      <w:r w:rsidRPr="00142D49">
        <w:t>. Zwolnienia tego rodzaju są jednak kwestionowane w orzecznictwie sądowy</w:t>
      </w:r>
      <w:bookmarkStart w:id="0" w:name="javascript:void(0)"/>
      <w:r w:rsidRPr="00142D49">
        <w:t>m</w:t>
      </w:r>
      <w:bookmarkEnd w:id="0"/>
      <w:r w:rsidRPr="00142D49">
        <w:rPr>
          <w:vertAlign w:val="superscript"/>
        </w:rPr>
        <w:t xml:space="preserve"> </w:t>
      </w:r>
      <w:r w:rsidRPr="00142D49">
        <w:t xml:space="preserve">(…)” (Leonard </w:t>
      </w:r>
      <w:proofErr w:type="spellStart"/>
      <w:r w:rsidRPr="00142D49">
        <w:t>Etel</w:t>
      </w:r>
      <w:proofErr w:type="spellEnd"/>
      <w:r w:rsidRPr="00142D49">
        <w:t>: „Komentarz do art. 7 ustawy o podatku od nieruchomości”).</w:t>
      </w:r>
    </w:p>
    <w:p w:rsidR="004205C4" w:rsidRPr="00142D49" w:rsidRDefault="004205C4" w:rsidP="00625C31">
      <w:r w:rsidRPr="00142D49">
        <w:t>Zatem w świetle powyższych rozważań, również rada gminy nie ma podstaw prawnych do wprowadzenia zwolnień z podatku od nieruchomości innych niż przedmiotowe, jak również nie ma podstaw do „ustalania indywidualnej stawki podatku od nieruchomości, w związku z typem prowadzonej przez Fundację działalności”.</w:t>
      </w:r>
    </w:p>
    <w:p w:rsidR="004205C4" w:rsidRPr="00142D49" w:rsidRDefault="004205C4" w:rsidP="00625C31">
      <w:r w:rsidRPr="00142D49">
        <w:t>Odnosząc się na końcu do stwierdzenia Fundacji, iż „(…) Dochód z działalności Fundacji przeznaczony jest wyłącznie na realizację zadań statutowych (…)”, to organ podatkowy pragnie zauważyć, iż pozostaje to bez znaczenia dla kwestii przysługiwania Fundacji zwolnienia z podatku od nieruchomości albo obniżonej stawki tego podatku.</w:t>
      </w:r>
    </w:p>
    <w:p w:rsidR="004205C4" w:rsidRPr="00142D49" w:rsidRDefault="004205C4" w:rsidP="00625C31">
      <w:r w:rsidRPr="00142D49">
        <w:t>Zatem w świetle powyższego, stanowisko, iż Fundacja „(…) ma prawo oczekiwać indywidualnie ustalonej, niższej niż komercyjna stawki podatku od nieruchomości (…)”, jest nieprawidłowe w obowiązującym stanie prawnym.</w:t>
      </w:r>
    </w:p>
    <w:p w:rsidR="004205C4" w:rsidRPr="004205C4" w:rsidRDefault="004205C4" w:rsidP="00625C31">
      <w:pPr>
        <w:pStyle w:val="Nagwek2"/>
        <w:numPr>
          <w:ilvl w:val="0"/>
          <w:numId w:val="3"/>
        </w:numPr>
      </w:pPr>
      <w:r w:rsidRPr="004205C4">
        <w:t>Pouczenie</w:t>
      </w:r>
    </w:p>
    <w:p w:rsidR="001D6C38" w:rsidRPr="00F2470C" w:rsidRDefault="001D6C38" w:rsidP="00625C31">
      <w:r w:rsidRPr="00F2470C">
        <w:t>Wnioskodawcy przysługuje prawo do wniesienia skargi na niniejszą interpretację przepisów prawa podatkowego. Skargę wnosi się do Wojewódzkiego Sądu Administracyjnego w Warszawie w terminie 30 dni od dnia doręczenia interpretacji przepisów prawa podatkowego (art. 53 § 1 ustawy z dn</w:t>
      </w:r>
      <w:r w:rsidR="00807F03">
        <w:t xml:space="preserve">ia 30 sierpnia 2002 r. – Prawa </w:t>
      </w:r>
      <w:r w:rsidRPr="00F2470C">
        <w:t xml:space="preserve">o postępowaniu przed sądami administracyjnymi – Dz. U. z 2019 r. poz. 2325, </w:t>
      </w:r>
      <w:r w:rsidR="00807F03">
        <w:t xml:space="preserve">z </w:t>
      </w:r>
      <w:proofErr w:type="spellStart"/>
      <w:r w:rsidR="00807F03">
        <w:t>późn</w:t>
      </w:r>
      <w:proofErr w:type="spellEnd"/>
      <w:r w:rsidR="00807F03">
        <w:t xml:space="preserve">. zm.). Skargę wnosi </w:t>
      </w:r>
      <w:r w:rsidR="00807F03">
        <w:lastRenderedPageBreak/>
        <w:t xml:space="preserve">się </w:t>
      </w:r>
      <w:r w:rsidRPr="00F2470C">
        <w:t>za pośrednictwem Prezydenta m.st. Warszawy – Centrum Obsługi Podatnika, u</w:t>
      </w:r>
      <w:r w:rsidR="00683DB9">
        <w:t>l. Obozowa 57, 01- 161  Warszawa.</w:t>
      </w:r>
    </w:p>
    <w:p w:rsidR="00807F03" w:rsidRDefault="00807F03" w:rsidP="00142D49">
      <w:pPr>
        <w:ind w:left="6379"/>
        <w:contextualSpacing/>
        <w:rPr>
          <w:b/>
        </w:rPr>
      </w:pPr>
      <w:r>
        <w:t>Z up. PREZYDENTA M.ST. WARSZAWY</w:t>
      </w:r>
    </w:p>
    <w:p w:rsidR="00142D49" w:rsidRDefault="00142D49" w:rsidP="00142D49">
      <w:pPr>
        <w:ind w:left="8080"/>
        <w:contextualSpacing/>
      </w:pPr>
      <w:r>
        <w:t>/-/</w:t>
      </w:r>
    </w:p>
    <w:p w:rsidR="00807F03" w:rsidRDefault="00807F03" w:rsidP="00142D49">
      <w:pPr>
        <w:ind w:left="7088"/>
        <w:contextualSpacing/>
        <w:rPr>
          <w:b/>
        </w:rPr>
      </w:pPr>
      <w:r>
        <w:t>Róża Joanna Gutkowska</w:t>
      </w:r>
    </w:p>
    <w:p w:rsidR="00807F03" w:rsidRPr="004E4069" w:rsidRDefault="00807F03" w:rsidP="00142D49">
      <w:pPr>
        <w:ind w:left="7371"/>
        <w:contextualSpacing/>
        <w:rPr>
          <w:b/>
        </w:rPr>
      </w:pPr>
      <w:r w:rsidRPr="004E4069">
        <w:t>Zastępca Skarbnika</w:t>
      </w:r>
    </w:p>
    <w:p w:rsidR="00095A38" w:rsidRPr="004E4069" w:rsidRDefault="00807F03" w:rsidP="00142D49">
      <w:pPr>
        <w:ind w:left="7513"/>
        <w:contextualSpacing/>
        <w:rPr>
          <w:rFonts w:cs="Calibri"/>
        </w:rPr>
      </w:pPr>
      <w:bookmarkStart w:id="1" w:name="_GoBack"/>
      <w:bookmarkEnd w:id="1"/>
      <w:r w:rsidRPr="004E4069">
        <w:t>m.st. Warszawy</w:t>
      </w:r>
    </w:p>
    <w:sectPr w:rsidR="00095A38" w:rsidRPr="004E4069" w:rsidSect="004205C4">
      <w:pgSz w:w="11906" w:h="16838"/>
      <w:pgMar w:top="1021"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E03"/>
    <w:multiLevelType w:val="hybridMultilevel"/>
    <w:tmpl w:val="3B8CF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B93AE6"/>
    <w:multiLevelType w:val="hybridMultilevel"/>
    <w:tmpl w:val="E744D292"/>
    <w:lvl w:ilvl="0" w:tplc="26A29D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B37D55"/>
    <w:multiLevelType w:val="hybridMultilevel"/>
    <w:tmpl w:val="EC6A63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F56749E"/>
    <w:multiLevelType w:val="hybridMultilevel"/>
    <w:tmpl w:val="F33C0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69"/>
    <w:rsid w:val="00095A38"/>
    <w:rsid w:val="00142D49"/>
    <w:rsid w:val="00194D80"/>
    <w:rsid w:val="001D6C38"/>
    <w:rsid w:val="002E67F9"/>
    <w:rsid w:val="004205C4"/>
    <w:rsid w:val="004E4069"/>
    <w:rsid w:val="004F475F"/>
    <w:rsid w:val="00625C31"/>
    <w:rsid w:val="00683DB9"/>
    <w:rsid w:val="00807F03"/>
    <w:rsid w:val="00BE0A18"/>
    <w:rsid w:val="00C63369"/>
    <w:rsid w:val="00DB28B6"/>
    <w:rsid w:val="00EF3634"/>
    <w:rsid w:val="00F16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C9B8B-8FDF-42A6-9430-32448715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121"/>
    <w:pPr>
      <w:spacing w:after="240" w:line="300" w:lineRule="auto"/>
    </w:pPr>
    <w:rPr>
      <w:rFonts w:ascii="Calibri" w:hAnsi="Calibri"/>
    </w:rPr>
  </w:style>
  <w:style w:type="paragraph" w:styleId="Nagwek1">
    <w:name w:val="heading 1"/>
    <w:basedOn w:val="Normalny"/>
    <w:link w:val="Nagwek1Znak"/>
    <w:qFormat/>
    <w:rsid w:val="00625C31"/>
    <w:pPr>
      <w:overflowPunct w:val="0"/>
      <w:autoSpaceDE w:val="0"/>
      <w:autoSpaceDN w:val="0"/>
      <w:adjustRightInd w:val="0"/>
      <w:spacing w:before="72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625C31"/>
    <w:pPr>
      <w:keepNext/>
      <w:keepLines/>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5C31"/>
    <w:rPr>
      <w:rFonts w:ascii="Calibri" w:eastAsia="Times New Roman" w:hAnsi="Calibri" w:cs="Times New Roman"/>
      <w:b/>
      <w:sz w:val="28"/>
      <w:szCs w:val="20"/>
      <w:lang w:eastAsia="pl-PL"/>
    </w:rPr>
  </w:style>
  <w:style w:type="paragraph" w:styleId="Akapitzlist">
    <w:name w:val="List Paragraph"/>
    <w:basedOn w:val="Normalny"/>
    <w:uiPriority w:val="34"/>
    <w:qFormat/>
    <w:rsid w:val="00095A38"/>
    <w:pPr>
      <w:ind w:left="720"/>
      <w:contextualSpacing/>
    </w:pPr>
  </w:style>
  <w:style w:type="character" w:customStyle="1" w:styleId="highlight1">
    <w:name w:val="highlight1"/>
    <w:rsid w:val="004205C4"/>
    <w:rPr>
      <w:b/>
      <w:bCs/>
    </w:rPr>
  </w:style>
  <w:style w:type="paragraph" w:styleId="Bezodstpw">
    <w:name w:val="No Spacing"/>
    <w:uiPriority w:val="1"/>
    <w:qFormat/>
    <w:rsid w:val="004205C4"/>
    <w:pPr>
      <w:overflowPunct w:val="0"/>
      <w:autoSpaceDE w:val="0"/>
      <w:autoSpaceDN w:val="0"/>
      <w:adjustRightInd w:val="0"/>
      <w:spacing w:after="0" w:line="240" w:lineRule="auto"/>
      <w:jc w:val="both"/>
    </w:pPr>
    <w:rPr>
      <w:rFonts w:ascii="Times New Roman PL" w:eastAsia="Times New Roman" w:hAnsi="Times New Roman PL" w:cs="Times New Roman"/>
      <w:sz w:val="26"/>
      <w:szCs w:val="20"/>
      <w:lang w:eastAsia="pl-PL"/>
    </w:rPr>
  </w:style>
  <w:style w:type="character" w:customStyle="1" w:styleId="Nagwek2Znak">
    <w:name w:val="Nagłówek 2 Znak"/>
    <w:basedOn w:val="Domylnaczcionkaakapitu"/>
    <w:link w:val="Nagwek2"/>
    <w:uiPriority w:val="9"/>
    <w:rsid w:val="00625C31"/>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6CEB-8EB8-43FE-86C1-D23EEDEF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1395</Words>
  <Characters>8371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Gmur Kinga (COP)</dc:creator>
  <cp:keywords/>
  <dc:description/>
  <cp:lastModifiedBy>Wawer Jakub (COP)</cp:lastModifiedBy>
  <cp:revision>10</cp:revision>
  <dcterms:created xsi:type="dcterms:W3CDTF">2021-09-09T12:39:00Z</dcterms:created>
  <dcterms:modified xsi:type="dcterms:W3CDTF">2023-02-16T13:43:00Z</dcterms:modified>
</cp:coreProperties>
</file>