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D89" w:rsidRPr="00371CA2" w:rsidRDefault="000025FD" w:rsidP="00816289">
      <w:pPr>
        <w:ind w:left="4248" w:firstLine="708"/>
        <w:jc w:val="right"/>
        <w:rPr>
          <w:rFonts w:asciiTheme="minorHAnsi" w:hAnsiTheme="minorHAnsi" w:cstheme="minorHAnsi"/>
          <w:bCs/>
        </w:rPr>
      </w:pPr>
      <w:bookmarkStart w:id="0" w:name="_GoBack"/>
      <w:bookmarkEnd w:id="0"/>
      <w:r w:rsidRPr="00371CA2">
        <w:rPr>
          <w:rFonts w:asciiTheme="minorHAnsi" w:hAnsiTheme="minorHAnsi" w:cstheme="minorHAnsi"/>
          <w:bCs/>
        </w:rPr>
        <w:t>Warszawa, 2020-05-03</w:t>
      </w:r>
    </w:p>
    <w:p w:rsidR="00216D89" w:rsidRPr="00816289" w:rsidRDefault="00216D89" w:rsidP="00816289">
      <w:pPr>
        <w:rPr>
          <w:b/>
        </w:rPr>
      </w:pPr>
      <w:r w:rsidRPr="00816289">
        <w:rPr>
          <w:b/>
        </w:rPr>
        <w:t>PREZYDENT</w:t>
      </w:r>
      <w:r w:rsidR="00816289" w:rsidRPr="00816289">
        <w:rPr>
          <w:b/>
        </w:rPr>
        <w:t xml:space="preserve"> MIASTA STOŁECZNEGO </w:t>
      </w:r>
      <w:r w:rsidRPr="00816289">
        <w:rPr>
          <w:b/>
        </w:rPr>
        <w:t>WARSZAWY</w:t>
      </w:r>
    </w:p>
    <w:p w:rsidR="00216D89" w:rsidRPr="00816289" w:rsidRDefault="00216D89" w:rsidP="00816289">
      <w:pPr>
        <w:rPr>
          <w:b/>
          <w:lang w:val="en-US"/>
        </w:rPr>
      </w:pPr>
      <w:r w:rsidRPr="00816289">
        <w:rPr>
          <w:b/>
          <w:lang w:val="en-US"/>
        </w:rPr>
        <w:t>COP-13.310.3.2020.GWA</w:t>
      </w:r>
    </w:p>
    <w:p w:rsidR="00CB3F8E" w:rsidRPr="00816289" w:rsidRDefault="000025FD" w:rsidP="00816289">
      <w:pPr>
        <w:spacing w:after="720"/>
        <w:rPr>
          <w:b/>
        </w:rPr>
      </w:pPr>
      <w:r w:rsidRPr="00816289">
        <w:rPr>
          <w:b/>
          <w:lang w:val="en-US"/>
        </w:rPr>
        <w:t>COP-13/31101/860</w:t>
      </w:r>
      <w:r w:rsidR="00216D89" w:rsidRPr="00816289">
        <w:rPr>
          <w:b/>
          <w:lang w:val="en-US"/>
        </w:rPr>
        <w:t>/GW/20</w:t>
      </w:r>
    </w:p>
    <w:p w:rsidR="00216D89" w:rsidRPr="00F2470C" w:rsidRDefault="00216D89" w:rsidP="00816289">
      <w:pPr>
        <w:pStyle w:val="Nagwek1"/>
      </w:pPr>
      <w:r w:rsidRPr="00F2470C">
        <w:t>INTERPRETACJA INDYWIDUALNA</w:t>
      </w:r>
    </w:p>
    <w:p w:rsidR="00216D89" w:rsidRDefault="00216D89" w:rsidP="00816289">
      <w:pPr>
        <w:pStyle w:val="Nagwek2"/>
        <w:numPr>
          <w:ilvl w:val="0"/>
          <w:numId w:val="3"/>
        </w:numPr>
      </w:pPr>
      <w:r w:rsidRPr="00216D89">
        <w:t>Podstawa prawna interpretacji</w:t>
      </w:r>
    </w:p>
    <w:p w:rsidR="00216D89" w:rsidRDefault="00216D89" w:rsidP="00816289">
      <w:pPr>
        <w:rPr>
          <w:b/>
        </w:rPr>
      </w:pPr>
      <w:r w:rsidRPr="00216D89">
        <w:t xml:space="preserve">Art. 14j § 1 ustawy z dnia 29 sierpnia 1997 r. - Ordynacja podatkowa (Dz. U. z 2019 r. poz. 900, z </w:t>
      </w:r>
      <w:proofErr w:type="spellStart"/>
      <w:r w:rsidRPr="00216D89">
        <w:t>późn</w:t>
      </w:r>
      <w:proofErr w:type="spellEnd"/>
      <w:r w:rsidRPr="00216D89">
        <w:t>. zm.).</w:t>
      </w:r>
    </w:p>
    <w:p w:rsidR="00216D89" w:rsidRPr="00216D89" w:rsidRDefault="00216D89" w:rsidP="00816289">
      <w:pPr>
        <w:pStyle w:val="Nagwek2"/>
        <w:numPr>
          <w:ilvl w:val="0"/>
          <w:numId w:val="3"/>
        </w:numPr>
      </w:pPr>
      <w:r w:rsidRPr="00216D89">
        <w:t>Rozstrzygnięcie</w:t>
      </w:r>
    </w:p>
    <w:p w:rsidR="00216D89" w:rsidRDefault="00514543" w:rsidP="00816289">
      <w:pPr>
        <w:rPr>
          <w:b/>
        </w:rPr>
      </w:pPr>
      <w:r>
        <w:t>Po rozpatrzeniu </w:t>
      </w:r>
      <w:r w:rsidR="00216D89" w:rsidRPr="00216D89">
        <w:t>wniosku</w:t>
      </w:r>
      <w:r w:rsidR="00816289">
        <w:rPr>
          <w:b/>
        </w:rPr>
        <w:t xml:space="preserve"> </w:t>
      </w:r>
      <w:r w:rsidR="00816289" w:rsidRPr="00816289">
        <w:t>(…)</w:t>
      </w:r>
      <w:r w:rsidR="00816289">
        <w:rPr>
          <w:b/>
        </w:rPr>
        <w:t xml:space="preserve"> </w:t>
      </w:r>
      <w:r w:rsidR="00216D89" w:rsidRPr="00216D89">
        <w:t xml:space="preserve">z siedzibą w </w:t>
      </w:r>
      <w:r w:rsidR="00816289" w:rsidRPr="00816289">
        <w:t>(…)</w:t>
      </w:r>
      <w:r w:rsidR="00216D89" w:rsidRPr="00216D89">
        <w:t xml:space="preserve"> przy ulicy</w:t>
      </w:r>
      <w:r w:rsidR="00816289">
        <w:rPr>
          <w:b/>
        </w:rPr>
        <w:t xml:space="preserve"> </w:t>
      </w:r>
      <w:r w:rsidR="00816289" w:rsidRPr="00816289">
        <w:t>(…)</w:t>
      </w:r>
      <w:r w:rsidR="00216D89" w:rsidRPr="00216D89">
        <w:t xml:space="preserve"> (dalej jako „Brygada”) z dnia 3 marca 2020 r. w sprawie udzielenia indywidualnej interpretacji przepisów prawa podatkowego w zakresie podatku od środków transportowych (wpływ do organu podatkowego w dniu 10 marca 2020 r.), postanawiam uznać stanowisko przedstawione we wniosku za prawidłowe w obowiązującym stanie prawnym.</w:t>
      </w:r>
    </w:p>
    <w:p w:rsidR="00216D89" w:rsidRDefault="00216D89" w:rsidP="00816289">
      <w:pPr>
        <w:pStyle w:val="Nagwek2"/>
        <w:numPr>
          <w:ilvl w:val="0"/>
          <w:numId w:val="3"/>
        </w:numPr>
      </w:pPr>
      <w:r w:rsidRPr="00216D89">
        <w:t>Stan faktyczny/zdarzenie przyszłe przedstawione we wniosku</w:t>
      </w:r>
    </w:p>
    <w:p w:rsidR="00216D89" w:rsidRPr="00216D89" w:rsidRDefault="00216D89" w:rsidP="00816289">
      <w:r w:rsidRPr="00216D89">
        <w:t>Z treści przedłożonego wniosku o udzielenie indywidualnej interpretacji przepisów prawa podatkowego w</w:t>
      </w:r>
      <w:r w:rsidR="00FC3A0C">
        <w:t> </w:t>
      </w:r>
      <w:r w:rsidRPr="00216D89">
        <w:t xml:space="preserve"> zakresie podatku od środków transportowych (dalej jako „wniosek”) wynika, iż Brygada posiada na ewidencji pojazdy średniej ładowności wysokiej mobilności marki Star 266M2 oraz Jelcz 442.32, a także pojazdy ogólnego przeznaczenia marki Iveco </w:t>
      </w:r>
      <w:proofErr w:type="spellStart"/>
      <w:r w:rsidRPr="00216D89">
        <w:t>Eurocargo</w:t>
      </w:r>
      <w:proofErr w:type="spellEnd"/>
      <w:r w:rsidRPr="00216D89">
        <w:t xml:space="preserve"> i Renault 12D które są pojazdami ciężarowymi używanymi do celów specjalnych Sił Zbrojnych Rzeczypospolitej Polskiej, ponieważ w sposób szczególny zostały przystosowane do przewozu osób lub ładunków. W/w pojazdami przewożeni są żołnierze (poza kabiną kierowcy) oraz różnego rodzaju ładunki. Przedmiotowe pojazdy spełniają parametry techniczne, jakie są wymagane przez siły zbrojne celem zakupów od danego producenta.</w:t>
      </w:r>
    </w:p>
    <w:p w:rsidR="00216D89" w:rsidRDefault="00216D89" w:rsidP="00816289">
      <w:r w:rsidRPr="00216D89">
        <w:t>W świetle tak opisanego stanu faktycznego, pytanie Brygady brzmi: „(…) czy pojazdy Sił Zbrojnych Rzeczypospolitej Polskiej używane do celów specjalnych są zwolnione z opłaty z tytułu podatku od środków transportowych”.</w:t>
      </w:r>
    </w:p>
    <w:p w:rsidR="00216D89" w:rsidRPr="00F2470C" w:rsidRDefault="00216D89" w:rsidP="00816289">
      <w:pPr>
        <w:pStyle w:val="Nagwek2"/>
        <w:numPr>
          <w:ilvl w:val="0"/>
          <w:numId w:val="3"/>
        </w:numPr>
      </w:pPr>
      <w:r w:rsidRPr="00F2470C">
        <w:t>Stanowisko wnioskodawcy</w:t>
      </w:r>
    </w:p>
    <w:p w:rsidR="00216D89" w:rsidRDefault="00216D89" w:rsidP="00816289">
      <w:r w:rsidRPr="00F2470C">
        <w:t xml:space="preserve">Zdaniem </w:t>
      </w:r>
      <w:r>
        <w:t>Brygady</w:t>
      </w:r>
      <w:r w:rsidRPr="00F2470C">
        <w:t xml:space="preserve">, zawartym w złożonym wniosku, „(…) </w:t>
      </w:r>
      <w:r>
        <w:t>Analiza przepisów wskazuje na to, iż pojazdy używane</w:t>
      </w:r>
      <w:r w:rsidR="00816289">
        <w:t xml:space="preserve"> </w:t>
      </w:r>
      <w:r>
        <w:t xml:space="preserve">do celów specjalnych przystosowane w sposób szczególny do przewozu osób lub ładunków, używane przez Siły Zbrojne Rzeczypospolitej Polskiej podlegają zwolnieniu z podatku od środków transportowych </w:t>
      </w:r>
      <w:r w:rsidRPr="00F2470C">
        <w:t>(…)”.</w:t>
      </w:r>
    </w:p>
    <w:p w:rsidR="00216D89" w:rsidRPr="00216D89" w:rsidRDefault="00216D89" w:rsidP="00816289">
      <w:pPr>
        <w:pStyle w:val="Nagwek2"/>
        <w:numPr>
          <w:ilvl w:val="0"/>
          <w:numId w:val="3"/>
        </w:numPr>
      </w:pPr>
      <w:r w:rsidRPr="00216D89">
        <w:lastRenderedPageBreak/>
        <w:t>Ocena stanowiska wnioskodawcy wraz z uzasadnieniem prawnym</w:t>
      </w:r>
    </w:p>
    <w:p w:rsidR="00982341" w:rsidRPr="005D24B9" w:rsidRDefault="00216D89" w:rsidP="00FC3A0C">
      <w:r>
        <w:t>Na</w:t>
      </w:r>
      <w:r w:rsidR="00982341">
        <w:t xml:space="preserve"> wstępie stwierdzić należy, iż </w:t>
      </w:r>
      <w:r w:rsidRPr="005D24B9">
        <w:rPr>
          <w:rStyle w:val="highlight1"/>
          <w:rFonts w:cs="Calibri"/>
          <w:b w:val="0"/>
        </w:rPr>
        <w:t>organ</w:t>
      </w:r>
      <w:r w:rsidRPr="005D24B9">
        <w:rPr>
          <w:b/>
        </w:rPr>
        <w:t xml:space="preserve"> </w:t>
      </w:r>
      <w:r w:rsidRPr="005D24B9">
        <w:t xml:space="preserve">podatkowy wydający indywidualną interpretację przepisów prawa podatkowego, </w:t>
      </w:r>
      <w:r w:rsidRPr="005D24B9">
        <w:rPr>
          <w:rStyle w:val="highlight1"/>
          <w:rFonts w:cs="Calibri"/>
          <w:b w:val="0"/>
        </w:rPr>
        <w:t>jest</w:t>
      </w:r>
      <w:r w:rsidRPr="005D24B9">
        <w:rPr>
          <w:b/>
        </w:rPr>
        <w:t xml:space="preserve"> </w:t>
      </w:r>
      <w:r w:rsidRPr="005D24B9">
        <w:rPr>
          <w:rStyle w:val="highlight1"/>
          <w:rFonts w:cs="Calibri"/>
          <w:b w:val="0"/>
        </w:rPr>
        <w:t>związany</w:t>
      </w:r>
      <w:r w:rsidRPr="005D24B9">
        <w:rPr>
          <w:b/>
        </w:rPr>
        <w:t xml:space="preserve"> </w:t>
      </w:r>
      <w:r w:rsidRPr="005D24B9">
        <w:t xml:space="preserve">przedstawionym we wniosku </w:t>
      </w:r>
      <w:r w:rsidRPr="005D24B9">
        <w:rPr>
          <w:rStyle w:val="highlight1"/>
          <w:rFonts w:cs="Calibri"/>
          <w:b w:val="0"/>
        </w:rPr>
        <w:t>opisem</w:t>
      </w:r>
      <w:r w:rsidRPr="005D24B9">
        <w:rPr>
          <w:b/>
        </w:rPr>
        <w:t xml:space="preserve"> </w:t>
      </w:r>
      <w:r w:rsidRPr="005D24B9">
        <w:rPr>
          <w:rStyle w:val="highlight1"/>
          <w:rFonts w:cs="Calibri"/>
          <w:b w:val="0"/>
        </w:rPr>
        <w:t>stanu</w:t>
      </w:r>
      <w:r w:rsidRPr="005D24B9">
        <w:rPr>
          <w:b/>
        </w:rPr>
        <w:t xml:space="preserve"> </w:t>
      </w:r>
      <w:r w:rsidRPr="005D24B9">
        <w:rPr>
          <w:rStyle w:val="highlight1"/>
          <w:rFonts w:cs="Calibri"/>
          <w:b w:val="0"/>
        </w:rPr>
        <w:t>faktycznego</w:t>
      </w:r>
      <w:r w:rsidRPr="005D24B9">
        <w:t xml:space="preserve"> lub zdarzenia przyszłego. Ponadto w interpretacji podat</w:t>
      </w:r>
      <w:r w:rsidR="00982341">
        <w:t>kowej organ musi odnieść się do </w:t>
      </w:r>
      <w:r w:rsidRPr="005D24B9">
        <w:t>prawnej oceny zaprezentowanej przez wnioskodawcę, bez czy</w:t>
      </w:r>
      <w:r w:rsidR="00982341">
        <w:t>nienia samodzielnie dodatkowych </w:t>
      </w:r>
      <w:r w:rsidRPr="005D24B9">
        <w:t>założeń czy przyjmowania warunków nieujętych wprost we wniosku. W toku tego postępowania organ ma obowiązek udzielenia pod</w:t>
      </w:r>
      <w:r w:rsidR="00982341">
        <w:t>atnikowi przydatnej informacji w </w:t>
      </w:r>
      <w:r w:rsidRPr="005D24B9">
        <w:t>zakresie</w:t>
      </w:r>
      <w:r w:rsidR="00982341">
        <w:t> </w:t>
      </w:r>
      <w:r w:rsidRPr="005D24B9">
        <w:t>zastosowan</w:t>
      </w:r>
      <w:r w:rsidR="00982341">
        <w:t>ia i wykładni prawa podatkowego (por. wyrok Wojewódzkiego </w:t>
      </w:r>
      <w:r w:rsidRPr="005D24B9">
        <w:t>Sądu Administracyjnego</w:t>
      </w:r>
      <w:r w:rsidR="00FC3A0C">
        <w:t xml:space="preserve"> </w:t>
      </w:r>
      <w:r w:rsidR="00982341" w:rsidRPr="005D24B9">
        <w:t>w Rzeszowie z dnia  11 lutego 2020 r., sygn. akt I SA/</w:t>
      </w:r>
      <w:proofErr w:type="spellStart"/>
      <w:r w:rsidR="00982341" w:rsidRPr="005D24B9">
        <w:t>Rz</w:t>
      </w:r>
      <w:proofErr w:type="spellEnd"/>
      <w:r w:rsidR="00982341" w:rsidRPr="005D24B9">
        <w:t xml:space="preserve"> 920/19</w:t>
      </w:r>
      <w:r w:rsidR="00982341">
        <w:t>, CBOSA</w:t>
      </w:r>
      <w:r w:rsidR="00FC3A0C">
        <w:t>).</w:t>
      </w:r>
    </w:p>
    <w:p w:rsidR="00982341" w:rsidRPr="005D24B9" w:rsidRDefault="00982341" w:rsidP="00FC3A0C">
      <w:r w:rsidRPr="005D24B9">
        <w:t>Stosownie do brzmienia art. 12 ust. 1 pkt 2 ustawy z dnia 12 stycznia 1991 r. o podatkach i opłatac</w:t>
      </w:r>
      <w:r>
        <w:t>h lokalnych (Dz. U. z 2019 r.</w:t>
      </w:r>
      <w:r w:rsidRPr="005D24B9">
        <w:t xml:space="preserve"> poz. 1170</w:t>
      </w:r>
      <w:r>
        <w:t xml:space="preserve">, z </w:t>
      </w:r>
      <w:proofErr w:type="spellStart"/>
      <w:r>
        <w:t>późn</w:t>
      </w:r>
      <w:proofErr w:type="spellEnd"/>
      <w:r>
        <w:t>.</w:t>
      </w:r>
      <w:r w:rsidRPr="005D24B9">
        <w:t xml:space="preserve"> zm.; dalej jako „</w:t>
      </w:r>
      <w:proofErr w:type="spellStart"/>
      <w:r w:rsidRPr="005D24B9">
        <w:t>upol</w:t>
      </w:r>
      <w:proofErr w:type="spellEnd"/>
      <w:r w:rsidRPr="005D24B9">
        <w:t xml:space="preserve">”), zwalania się od podatku od środków transportowych środki transportowe stanowiące zapasy mobilizacyjne, pojazdy specjalne oraz pojazdy używane do celów specjalnych w rozumieniu </w:t>
      </w:r>
      <w:bookmarkStart w:id="1" w:name="#hiperlinkDocsList.rpc?hiperlink=type=me"/>
      <w:r w:rsidRPr="005D24B9">
        <w:t>przepisów</w:t>
      </w:r>
      <w:bookmarkEnd w:id="1"/>
      <w:r w:rsidRPr="005D24B9">
        <w:t xml:space="preserve"> o ruchu drogowym.</w:t>
      </w:r>
    </w:p>
    <w:p w:rsidR="00982341" w:rsidRPr="005D24B9" w:rsidRDefault="00982341" w:rsidP="00FC3A0C">
      <w:r w:rsidRPr="005D24B9">
        <w:t xml:space="preserve">Definicja „pojazdu do celów specjalnych” o którym mowa w przywołanym powyżej przepisie </w:t>
      </w:r>
      <w:proofErr w:type="spellStart"/>
      <w:r w:rsidRPr="005D24B9">
        <w:t>upol</w:t>
      </w:r>
      <w:proofErr w:type="spellEnd"/>
      <w:r w:rsidRPr="005D24B9">
        <w:t xml:space="preserve"> znajduje się w</w:t>
      </w:r>
      <w:r w:rsidR="00FC3A0C">
        <w:t> </w:t>
      </w:r>
      <w:r w:rsidRPr="005D24B9">
        <w:t xml:space="preserve"> art. 2 pkt 37 ustawy z dnia 20 czerwca 1997 r. – Prawo o ruchu drogowym (Dz. U. z 2020 r. poz. 110</w:t>
      </w:r>
      <w:r>
        <w:t>, z</w:t>
      </w:r>
      <w:r w:rsidR="00FC3A0C">
        <w:t> </w:t>
      </w:r>
      <w:proofErr w:type="spellStart"/>
      <w:r>
        <w:t>późn</w:t>
      </w:r>
      <w:proofErr w:type="spellEnd"/>
      <w:r>
        <w:t>.</w:t>
      </w:r>
      <w:r w:rsidR="00FC3A0C">
        <w:t> </w:t>
      </w:r>
      <w:r w:rsidRPr="005D24B9">
        <w:t>zm.). Zgodnie z tym przepisem, za „pojazd używany do celów specjalnych” uważa się pojazd samochodowy przystosowany w sposób szczególny do przewozu osób lub ładunków, używany przez Siły Zbrojne Rzeczypospolitej Polskiej, Policję, Agencję Bezpieczeństwa Wewnętrznego, Agencję Wywiadu, Służbę Kontrwywiadu Wojskowego, Służbę Wywiadu Wojskowego, Centralne Biuro Antykorupcyjne, Służbę Ochrony Państwa, Straż Graniczną, Służbę Celno-Skarbową, jednostki ochrony przeciwpożarowej, Inspekcję Transportu Drogowego i Służbę Więzienną. Natomiast warunki techniczne, jakim winny odpowiadać używane przez Siły</w:t>
      </w:r>
      <w:r w:rsidR="00FC3A0C">
        <w:t> </w:t>
      </w:r>
      <w:r w:rsidRPr="005D24B9">
        <w:t>Zbrojne Rzeczypospolitej Polskiej pojazdy specjalne oraz pojazdy używane do celów specjalnych, zostały określone w rozporządzeniu Ministrów Obrony Narodowej oraz Spraw Wewnętrznych i Administracji z dnia 9</w:t>
      </w:r>
      <w:r w:rsidR="00FC3A0C">
        <w:t> </w:t>
      </w:r>
      <w:r w:rsidRPr="005D24B9">
        <w:t>czerwca 2005 r. w sprawie warunków technicznych pojazdów specjalnych i używanych do celów specjalnych Sił Zbrojnych Rzeczypospolitej Polskiej (Dz. U. Nr 116, poz. 974</w:t>
      </w:r>
      <w:r>
        <w:t xml:space="preserve">, z </w:t>
      </w:r>
      <w:proofErr w:type="spellStart"/>
      <w:r>
        <w:t>późn</w:t>
      </w:r>
      <w:proofErr w:type="spellEnd"/>
      <w:r>
        <w:t>.</w:t>
      </w:r>
      <w:r w:rsidR="00FC3A0C">
        <w:t xml:space="preserve"> zm.).</w:t>
      </w:r>
    </w:p>
    <w:p w:rsidR="00982341" w:rsidRPr="00FC3A0C" w:rsidRDefault="00982341" w:rsidP="00FC3A0C">
      <w:r w:rsidRPr="00FC3A0C">
        <w:t>W piśmiennictwie przyjęte zostało, iż „(…) Od pojazdów specjalnych należy odróżnić pojazdy używane do celów specjalnych, które są - o czym mowa w art. 2 pkt 37 - przystosowane w szczególny sposób do przewozu osób lub ładunków, używane przez Siły Zbrojne, Policję, Agencję Bezpieczeństwa Wewnętrznego, Agencję Wywiadu, Straż Graniczną, kontrolę skarbową, Służbę Celną, jednostki straży pożarnej, Inspekcję Transportu Drogowego i</w:t>
      </w:r>
      <w:r w:rsidR="00FC3A0C">
        <w:t> </w:t>
      </w:r>
      <w:r w:rsidRPr="00FC3A0C">
        <w:t xml:space="preserve"> Służbę Więzienną (…). Warunki techniczne pojazdów specjalnych i używanych do celów specjalnych określa rozporządzenie Ministrów Obrony Narodowej oraz Spraw Wewnętrznych i Administracji z dnia 9 czerwca 2005 r. w sprawie warunków technicznych pojazdów specjalnych i pojazdów używanych do celów specjalnych Sił</w:t>
      </w:r>
      <w:r w:rsidR="00FC3A0C">
        <w:t> </w:t>
      </w:r>
      <w:r w:rsidRPr="00FC3A0C">
        <w:t xml:space="preserve"> Zbrojnych Rzeczypospolitej Polskiej (Dz. U. Nr 116, poz. 974). O uznaniu pojazdu za używany do celów specjalnych decyduje jego szczególne przeznaczenie oraz przynależność do określonej jednostki. Są to: transportery, tzw. więźniarki, przeznaczone do przewozu osób tymczasowo aresztowanych lub odbywających karę pozbawienia wolności. Nie można podzielić poglądu, że do tego rodzaju pojazdów zalicza się armatki wodne i pojazdy radiolokacyjne (pelengacyjne) (A. Jasiński, W. Kotowski, M. Wasiak, </w:t>
      </w:r>
      <w:r w:rsidRPr="00FC3A0C">
        <w:rPr>
          <w:iCs/>
        </w:rPr>
        <w:t>Kodeks drogowy...</w:t>
      </w:r>
      <w:r w:rsidRPr="00FC3A0C">
        <w:t xml:space="preserve">, s. 32), są to bowiem pojazdy specjalne, gdyż nie są przeznaczone do przewozu ani osób, ani ładunków; odpowiadają definicji takiego właśnie pojazdu. Pojazdy samochodowe przystosowane w sposób szczególny do przewozu osób lub ładunków, ale nieużywane przez wyżej wymienione podmioty, nie są zaliczane do pojazdów używanych do celów specjalnych, np. samochody ciężarowe przeznaczone do przewozu osób poza kabiną </w:t>
      </w:r>
      <w:r w:rsidRPr="00FC3A0C">
        <w:lastRenderedPageBreak/>
        <w:t>kierowcy (</w:t>
      </w:r>
      <w:bookmarkStart w:id="2" w:name="#hiperlinkText.rpc?hiperlink=type=tresc:"/>
      <w:r w:rsidRPr="00FC3A0C">
        <w:t>art. 63 ust. 2</w:t>
      </w:r>
      <w:bookmarkEnd w:id="2"/>
      <w:r w:rsidRPr="00FC3A0C">
        <w:t>); należy je traktować jako zwykłe pojazdy. Pojazdami używanymi do celów specjalnych Sił Zbrojnych są samochody ciężarowe przystosowane w sposób szczególny do przewozu amunicji, środków pozoracji pola walki, środków minersko-zaporowych oraz obrony przeciwchemicznej, materiałów eksploatacyjnych oraz sprężonego powietrza i gazów technicznych, niewybuchów lub niewypałów oraz innych materiałów niebezpiecznych (…)” (Ryszard A. Stefański: Komentarz do art. 2 ustawy – Prawo o ruchu drogowym). Także z wyjaśnień Ministerstwa Finansów, zaprezentowanych w piśmie Departamentu Podatków Lokalnych z dnia 8 maja 2015 r. nr PL-LS.837.1.2015.MWD skierowanych do Prezydenta Miasta Chełm (którego kopia została dołączona do wniosku) wynika, iż „(…) Pojazd samochodowy (niebędący pojazdem specjalnym), który spełnia określone w rozporządzeniu warunki techniczne i jest używany przez Siły Zbrojne RP może zostać uznany za pojazd używany do celów specjalnych w rozumieniu ustawy Prawo o ruchu drogowym (…)”.</w:t>
      </w:r>
    </w:p>
    <w:p w:rsidR="00982341" w:rsidRPr="00FC3A0C" w:rsidRDefault="00982341" w:rsidP="00FC3A0C">
      <w:r w:rsidRPr="00FC3A0C">
        <w:t>Jak wynika z treści uzasadnienia złożonego wniosku, pojazdy opisane we wniosku „(…) w sposób szczególny zostały przystosowane do przewozu osób lub ładunków (…)”. Ponadto „(…) ww. pojazdy spełniają parametry techniczne jakie są wymagane przez wojsko celem zak</w:t>
      </w:r>
      <w:r w:rsidR="00FC3A0C">
        <w:t>upów od danego producenta (…)”.</w:t>
      </w:r>
    </w:p>
    <w:p w:rsidR="00982341" w:rsidRPr="00FC3A0C" w:rsidRDefault="00982341" w:rsidP="00FC3A0C">
      <w:r w:rsidRPr="00FC3A0C">
        <w:t>W świetle powyższego uznać należy, iż pojazdy opisane we wniosku służą Siłom Zbrojnym Rzeczypospolitej Polskiej do celów specjalnych w rozumieniu przepisów o ruchu drogowym.</w:t>
      </w:r>
    </w:p>
    <w:p w:rsidR="00216D89" w:rsidRPr="00FC3A0C" w:rsidRDefault="00982341" w:rsidP="00FC3A0C">
      <w:r w:rsidRPr="00FC3A0C">
        <w:t>Tym samym uznać należy stanowisko Brygady za prawidłowe w obowiązującym stanie prawnym.</w:t>
      </w:r>
    </w:p>
    <w:p w:rsidR="00982341" w:rsidRPr="00982341" w:rsidRDefault="00982341" w:rsidP="00FC3A0C">
      <w:pPr>
        <w:pStyle w:val="Nagwek2"/>
        <w:numPr>
          <w:ilvl w:val="0"/>
          <w:numId w:val="3"/>
        </w:numPr>
      </w:pPr>
      <w:r w:rsidRPr="00982341">
        <w:t>Pouczenie</w:t>
      </w:r>
    </w:p>
    <w:p w:rsidR="00982341" w:rsidRPr="00F2470C" w:rsidRDefault="00982341" w:rsidP="00FC3A0C">
      <w:r w:rsidRPr="00F2470C">
        <w:t xml:space="preserve">Wnioskodawcy przysługuje prawo do wniesienia skargi na niniejszą interpretację przepisów prawa podatkowego. Skargę wnosi się do Wojewódzkiego Sądu Administracyjnego w Warszawie w terminie 30 dni od dnia doręczenia Spółce interpretacji przepisów prawa podatkowego (art. 53 § 1 ustawy z dnia 30 sierpnia 2002 r. – Prawa o postępowaniu przed sądami administracyjnymi – Dz. U. z 2019 r. poz. 2325, z </w:t>
      </w:r>
      <w:proofErr w:type="spellStart"/>
      <w:r w:rsidRPr="00F2470C">
        <w:t>późn</w:t>
      </w:r>
      <w:proofErr w:type="spellEnd"/>
      <w:r w:rsidRPr="00F2470C">
        <w:t>. zm.). Skargę wnosi się za pośrednictwem Prezydenta m.st. Warszawy – Centrum Obsługi Podatnika, ul. Obozowa 57, 01-161 Warszawa.</w:t>
      </w:r>
    </w:p>
    <w:p w:rsidR="000025FD" w:rsidRDefault="000025FD" w:rsidP="00FC3A0C">
      <w:pPr>
        <w:tabs>
          <w:tab w:val="left" w:pos="9105"/>
        </w:tabs>
        <w:spacing w:after="0" w:line="240" w:lineRule="auto"/>
        <w:ind w:left="5812"/>
        <w:jc w:val="both"/>
        <w:rPr>
          <w:rFonts w:cs="Calibri"/>
        </w:rPr>
      </w:pPr>
      <w:r>
        <w:rPr>
          <w:rFonts w:cs="Calibri"/>
        </w:rPr>
        <w:t>Z up. PREZYDENTA M.ST. WARSZAWY</w:t>
      </w:r>
    </w:p>
    <w:p w:rsidR="00914E6E" w:rsidRDefault="00914E6E" w:rsidP="00914E6E">
      <w:pPr>
        <w:tabs>
          <w:tab w:val="left" w:pos="9105"/>
        </w:tabs>
        <w:spacing w:after="0" w:line="240" w:lineRule="auto"/>
        <w:ind w:left="7513"/>
        <w:jc w:val="both"/>
        <w:rPr>
          <w:rFonts w:cs="Calibri"/>
        </w:rPr>
      </w:pPr>
      <w:r>
        <w:rPr>
          <w:rFonts w:cs="Calibri"/>
        </w:rPr>
        <w:t>/-/</w:t>
      </w:r>
    </w:p>
    <w:p w:rsidR="000025FD" w:rsidRDefault="000025FD" w:rsidP="00FC3A0C">
      <w:pPr>
        <w:tabs>
          <w:tab w:val="left" w:pos="9105"/>
        </w:tabs>
        <w:spacing w:after="0" w:line="240" w:lineRule="auto"/>
        <w:ind w:left="6521"/>
        <w:jc w:val="both"/>
        <w:rPr>
          <w:rFonts w:cs="Calibri"/>
        </w:rPr>
      </w:pPr>
      <w:r>
        <w:rPr>
          <w:rFonts w:cs="Calibri"/>
        </w:rPr>
        <w:t>Róża Joanna Gutkowska</w:t>
      </w:r>
    </w:p>
    <w:p w:rsidR="00914E6E" w:rsidRPr="00D63101" w:rsidRDefault="000025FD" w:rsidP="00914E6E">
      <w:pPr>
        <w:tabs>
          <w:tab w:val="left" w:pos="9105"/>
        </w:tabs>
        <w:spacing w:after="0" w:line="240" w:lineRule="auto"/>
        <w:ind w:left="6804"/>
        <w:jc w:val="both"/>
        <w:rPr>
          <w:rFonts w:cs="Calibri"/>
        </w:rPr>
      </w:pPr>
      <w:r w:rsidRPr="00D63101">
        <w:rPr>
          <w:rFonts w:cs="Calibri"/>
        </w:rPr>
        <w:t>Zastępca Skarbnika</w:t>
      </w:r>
    </w:p>
    <w:p w:rsidR="000025FD" w:rsidRPr="00D63101" w:rsidRDefault="000025FD" w:rsidP="00914E6E">
      <w:pPr>
        <w:tabs>
          <w:tab w:val="left" w:pos="9105"/>
        </w:tabs>
        <w:spacing w:after="0" w:line="240" w:lineRule="auto"/>
        <w:ind w:left="6946"/>
        <w:jc w:val="both"/>
        <w:rPr>
          <w:rFonts w:cs="Calibri"/>
        </w:rPr>
      </w:pPr>
      <w:r w:rsidRPr="00D63101">
        <w:rPr>
          <w:rFonts w:cs="Calibri"/>
        </w:rPr>
        <w:t>m.st. Warszawy</w:t>
      </w:r>
    </w:p>
    <w:sectPr w:rsidR="000025FD" w:rsidRPr="00D63101" w:rsidSect="00216D89">
      <w:foot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24AF" w:rsidRDefault="009A24AF" w:rsidP="00982341">
      <w:pPr>
        <w:spacing w:after="0" w:line="240" w:lineRule="auto"/>
      </w:pPr>
      <w:r>
        <w:separator/>
      </w:r>
    </w:p>
  </w:endnote>
  <w:endnote w:type="continuationSeparator" w:id="0">
    <w:p w:rsidR="009A24AF" w:rsidRDefault="009A24AF" w:rsidP="009823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2341" w:rsidRDefault="00982341" w:rsidP="00264424">
    <w:pPr>
      <w:pStyle w:val="Stopka"/>
      <w:spacing w:after="240" w:line="300" w:lineRule="auto"/>
      <w:ind w:right="357"/>
      <w:contextualSpacing/>
      <w:jc w:val="right"/>
    </w:pPr>
    <w:r w:rsidRPr="00816289">
      <w:rPr>
        <w:rFonts w:asciiTheme="minorHAnsi" w:hAnsiTheme="minorHAnsi" w:cstheme="minorHAnsi"/>
      </w:rPr>
      <w:t xml:space="preserve">Strona </w:t>
    </w:r>
    <w:r w:rsidRPr="00816289">
      <w:rPr>
        <w:rFonts w:asciiTheme="minorHAnsi" w:hAnsiTheme="minorHAnsi" w:cstheme="minorHAnsi"/>
      </w:rPr>
      <w:fldChar w:fldCharType="begin"/>
    </w:r>
    <w:r w:rsidRPr="00816289">
      <w:rPr>
        <w:rFonts w:asciiTheme="minorHAnsi" w:hAnsiTheme="minorHAnsi" w:cstheme="minorHAnsi"/>
      </w:rPr>
      <w:instrText xml:space="preserve"> PAGE </w:instrText>
    </w:r>
    <w:r w:rsidRPr="00816289">
      <w:rPr>
        <w:rFonts w:asciiTheme="minorHAnsi" w:hAnsiTheme="minorHAnsi" w:cstheme="minorHAnsi"/>
      </w:rPr>
      <w:fldChar w:fldCharType="separate"/>
    </w:r>
    <w:r w:rsidR="002229AD">
      <w:rPr>
        <w:rFonts w:asciiTheme="minorHAnsi" w:hAnsiTheme="minorHAnsi" w:cstheme="minorHAnsi"/>
        <w:noProof/>
      </w:rPr>
      <w:t>1</w:t>
    </w:r>
    <w:r w:rsidRPr="00816289">
      <w:rPr>
        <w:rFonts w:asciiTheme="minorHAnsi" w:hAnsiTheme="minorHAnsi" w:cstheme="minorHAnsi"/>
      </w:rPr>
      <w:fldChar w:fldCharType="end"/>
    </w:r>
    <w:r w:rsidRPr="00816289">
      <w:rPr>
        <w:rFonts w:asciiTheme="minorHAnsi" w:hAnsiTheme="minorHAnsi" w:cstheme="minorHAnsi"/>
      </w:rPr>
      <w:t xml:space="preserve"> z </w:t>
    </w:r>
    <w:r w:rsidRPr="00816289">
      <w:rPr>
        <w:rFonts w:asciiTheme="minorHAnsi" w:hAnsiTheme="minorHAnsi" w:cstheme="minorHAnsi"/>
      </w:rPr>
      <w:fldChar w:fldCharType="begin"/>
    </w:r>
    <w:r w:rsidRPr="00816289">
      <w:rPr>
        <w:rFonts w:asciiTheme="minorHAnsi" w:hAnsiTheme="minorHAnsi" w:cstheme="minorHAnsi"/>
      </w:rPr>
      <w:instrText xml:space="preserve"> NUMPAGES </w:instrText>
    </w:r>
    <w:r w:rsidRPr="00816289">
      <w:rPr>
        <w:rFonts w:asciiTheme="minorHAnsi" w:hAnsiTheme="minorHAnsi" w:cstheme="minorHAnsi"/>
      </w:rPr>
      <w:fldChar w:fldCharType="separate"/>
    </w:r>
    <w:r w:rsidR="002229AD">
      <w:rPr>
        <w:rFonts w:asciiTheme="minorHAnsi" w:hAnsiTheme="minorHAnsi" w:cstheme="minorHAnsi"/>
        <w:noProof/>
      </w:rPr>
      <w:t>3</w:t>
    </w:r>
    <w:r w:rsidRPr="00816289">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24AF" w:rsidRDefault="009A24AF" w:rsidP="00982341">
      <w:pPr>
        <w:spacing w:after="0" w:line="240" w:lineRule="auto"/>
      </w:pPr>
      <w:r>
        <w:separator/>
      </w:r>
    </w:p>
  </w:footnote>
  <w:footnote w:type="continuationSeparator" w:id="0">
    <w:p w:rsidR="009A24AF" w:rsidRDefault="009A24AF" w:rsidP="009823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C6BA6"/>
    <w:multiLevelType w:val="hybridMultilevel"/>
    <w:tmpl w:val="BCA20E42"/>
    <w:lvl w:ilvl="0" w:tplc="7A48A0D0">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46C7072"/>
    <w:multiLevelType w:val="hybridMultilevel"/>
    <w:tmpl w:val="B66CE11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FD97AB6"/>
    <w:multiLevelType w:val="hybridMultilevel"/>
    <w:tmpl w:val="513A9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D89"/>
    <w:rsid w:val="000025FD"/>
    <w:rsid w:val="00216D89"/>
    <w:rsid w:val="002229AD"/>
    <w:rsid w:val="00264424"/>
    <w:rsid w:val="00371CA2"/>
    <w:rsid w:val="00514543"/>
    <w:rsid w:val="006A486A"/>
    <w:rsid w:val="006D4468"/>
    <w:rsid w:val="00816289"/>
    <w:rsid w:val="00914E6E"/>
    <w:rsid w:val="00982341"/>
    <w:rsid w:val="009A24AF"/>
    <w:rsid w:val="00C55711"/>
    <w:rsid w:val="00CB3F8E"/>
    <w:rsid w:val="00CC1D3E"/>
    <w:rsid w:val="00D63101"/>
    <w:rsid w:val="00FC3A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E4C67-E069-4683-ADF3-A99C07CC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16289"/>
    <w:pPr>
      <w:spacing w:after="240" w:line="300" w:lineRule="auto"/>
    </w:pPr>
    <w:rPr>
      <w:rFonts w:ascii="Calibri" w:hAnsi="Calibri"/>
    </w:rPr>
  </w:style>
  <w:style w:type="paragraph" w:styleId="Nagwek1">
    <w:name w:val="heading 1"/>
    <w:basedOn w:val="Normalny"/>
    <w:link w:val="Nagwek1Znak"/>
    <w:qFormat/>
    <w:rsid w:val="00816289"/>
    <w:pPr>
      <w:overflowPunct w:val="0"/>
      <w:autoSpaceDE w:val="0"/>
      <w:autoSpaceDN w:val="0"/>
      <w:adjustRightInd w:val="0"/>
      <w:spacing w:before="720" w:after="360"/>
      <w:ind w:left="369" w:hanging="369"/>
      <w:outlineLvl w:val="0"/>
    </w:pPr>
    <w:rPr>
      <w:rFonts w:eastAsia="Times New Roman" w:cs="Times New Roman"/>
      <w:b/>
      <w:sz w:val="28"/>
      <w:szCs w:val="20"/>
      <w:lang w:eastAsia="pl-PL"/>
    </w:rPr>
  </w:style>
  <w:style w:type="paragraph" w:styleId="Nagwek2">
    <w:name w:val="heading 2"/>
    <w:basedOn w:val="Normalny"/>
    <w:next w:val="Normalny"/>
    <w:link w:val="Nagwek2Znak"/>
    <w:uiPriority w:val="9"/>
    <w:unhideWhenUsed/>
    <w:qFormat/>
    <w:rsid w:val="00816289"/>
    <w:pPr>
      <w:keepNext/>
      <w:keepLines/>
      <w:outlineLvl w:val="1"/>
    </w:pPr>
    <w:rPr>
      <w:rFonts w:eastAsiaTheme="majorEastAsia" w:cstheme="majorBidi"/>
      <w:b/>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16289"/>
    <w:rPr>
      <w:rFonts w:ascii="Calibri" w:eastAsia="Times New Roman" w:hAnsi="Calibri" w:cs="Times New Roman"/>
      <w:b/>
      <w:sz w:val="28"/>
      <w:szCs w:val="20"/>
      <w:lang w:eastAsia="pl-PL"/>
    </w:rPr>
  </w:style>
  <w:style w:type="paragraph" w:styleId="Akapitzlist">
    <w:name w:val="List Paragraph"/>
    <w:basedOn w:val="Normalny"/>
    <w:uiPriority w:val="34"/>
    <w:qFormat/>
    <w:rsid w:val="00216D89"/>
    <w:pPr>
      <w:ind w:left="720"/>
      <w:contextualSpacing/>
    </w:pPr>
  </w:style>
  <w:style w:type="character" w:customStyle="1" w:styleId="highlight1">
    <w:name w:val="highlight1"/>
    <w:rsid w:val="00216D89"/>
    <w:rPr>
      <w:b/>
      <w:bCs/>
    </w:rPr>
  </w:style>
  <w:style w:type="paragraph" w:styleId="Bezodstpw">
    <w:name w:val="No Spacing"/>
    <w:uiPriority w:val="1"/>
    <w:qFormat/>
    <w:rsid w:val="00982341"/>
    <w:pPr>
      <w:overflowPunct w:val="0"/>
      <w:autoSpaceDE w:val="0"/>
      <w:autoSpaceDN w:val="0"/>
      <w:adjustRightInd w:val="0"/>
      <w:spacing w:after="0" w:line="240" w:lineRule="auto"/>
      <w:jc w:val="both"/>
    </w:pPr>
    <w:rPr>
      <w:rFonts w:ascii="Times New Roman PL" w:eastAsia="Times New Roman" w:hAnsi="Times New Roman PL" w:cs="Times New Roman"/>
      <w:sz w:val="26"/>
      <w:szCs w:val="20"/>
      <w:lang w:eastAsia="pl-PL"/>
    </w:rPr>
  </w:style>
  <w:style w:type="paragraph" w:styleId="Nagwek">
    <w:name w:val="header"/>
    <w:basedOn w:val="Normalny"/>
    <w:link w:val="NagwekZnak"/>
    <w:uiPriority w:val="99"/>
    <w:unhideWhenUsed/>
    <w:rsid w:val="009823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2341"/>
  </w:style>
  <w:style w:type="paragraph" w:styleId="Stopka">
    <w:name w:val="footer"/>
    <w:basedOn w:val="Normalny"/>
    <w:link w:val="StopkaZnak"/>
    <w:unhideWhenUsed/>
    <w:rsid w:val="009823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2341"/>
  </w:style>
  <w:style w:type="character" w:customStyle="1" w:styleId="Nagwek2Znak">
    <w:name w:val="Nagłówek 2 Znak"/>
    <w:basedOn w:val="Domylnaczcionkaakapitu"/>
    <w:link w:val="Nagwek2"/>
    <w:uiPriority w:val="9"/>
    <w:rsid w:val="00816289"/>
    <w:rPr>
      <w:rFonts w:ascii="Calibri" w:eastAsiaTheme="majorEastAsia" w:hAnsi="Calibri"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1175</Words>
  <Characters>7055</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Urzad Miasta</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Gmur Kinga (COP)</dc:creator>
  <cp:keywords/>
  <dc:description/>
  <cp:lastModifiedBy>Wawer Jakub (COP)</cp:lastModifiedBy>
  <cp:revision>11</cp:revision>
  <cp:lastPrinted>2023-02-16T13:47:00Z</cp:lastPrinted>
  <dcterms:created xsi:type="dcterms:W3CDTF">2021-09-22T09:37:00Z</dcterms:created>
  <dcterms:modified xsi:type="dcterms:W3CDTF">2023-02-16T13:48:00Z</dcterms:modified>
</cp:coreProperties>
</file>