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C57E" w14:textId="77777777" w:rsidR="001D0F9A" w:rsidRPr="0052686C" w:rsidRDefault="001D0F9A" w:rsidP="00D215AC">
      <w:pPr>
        <w:pStyle w:val="Nagwek2"/>
        <w:widowControl w:val="0"/>
        <w:numPr>
          <w:ilvl w:val="0"/>
          <w:numId w:val="6"/>
        </w:numPr>
        <w:tabs>
          <w:tab w:val="clear" w:pos="720"/>
        </w:tabs>
        <w:adjustRightInd w:val="0"/>
        <w:ind w:left="284" w:hanging="284"/>
        <w:jc w:val="both"/>
        <w:textAlignment w:val="baseline"/>
        <w:rPr>
          <w:rFonts w:ascii="Arial" w:hAnsi="Arial" w:cs="Arial"/>
          <w:sz w:val="22"/>
          <w:szCs w:val="22"/>
          <w:lang w:val="pl-PL"/>
        </w:rPr>
      </w:pPr>
      <w:r w:rsidRPr="0052686C">
        <w:rPr>
          <w:rFonts w:ascii="Arial" w:hAnsi="Arial" w:cs="Arial"/>
          <w:sz w:val="22"/>
          <w:szCs w:val="22"/>
          <w:lang w:val="pl-PL"/>
        </w:rPr>
        <w:t>Informacja dodatkowa</w:t>
      </w:r>
    </w:p>
    <w:p w14:paraId="079B4366" w14:textId="77777777" w:rsidR="001D0F9A" w:rsidRPr="0052686C" w:rsidRDefault="001D0F9A" w:rsidP="00124D92">
      <w:pPr>
        <w:pStyle w:val="Tekstpodstawowy"/>
        <w:keepLines/>
        <w:widowControl w:val="0"/>
        <w:numPr>
          <w:ilvl w:val="1"/>
          <w:numId w:val="41"/>
        </w:numPr>
        <w:adjustRightInd w:val="0"/>
        <w:spacing w:before="240" w:after="0"/>
        <w:ind w:left="709" w:hanging="425"/>
        <w:textAlignment w:val="baseline"/>
        <w:rPr>
          <w:rFonts w:ascii="Arial" w:hAnsi="Arial" w:cs="Arial"/>
          <w:b/>
          <w:sz w:val="22"/>
          <w:szCs w:val="22"/>
          <w:lang w:val="pl-PL" w:bidi="ar-TN"/>
        </w:rPr>
      </w:pPr>
      <w:r w:rsidRPr="0052686C">
        <w:rPr>
          <w:rFonts w:ascii="Arial" w:hAnsi="Arial" w:cs="Arial"/>
          <w:b/>
          <w:color w:val="auto"/>
          <w:sz w:val="22"/>
          <w:szCs w:val="22"/>
          <w:lang w:val="pl-PL"/>
        </w:rPr>
        <w:t>Nazwa jednostki</w:t>
      </w:r>
      <w:r w:rsidRPr="0052686C">
        <w:rPr>
          <w:rFonts w:ascii="Arial" w:hAnsi="Arial" w:cs="Arial"/>
          <w:b/>
          <w:sz w:val="22"/>
          <w:szCs w:val="22"/>
          <w:lang w:val="pl-PL" w:bidi="ar-TN"/>
        </w:rPr>
        <w:t xml:space="preserve"> </w:t>
      </w:r>
    </w:p>
    <w:p w14:paraId="30BC4978" w14:textId="77777777" w:rsidR="001D0F9A" w:rsidRPr="00357465" w:rsidRDefault="001D0F9A" w:rsidP="00124D92">
      <w:pPr>
        <w:pStyle w:val="Tekstpodstawowy"/>
        <w:keepLines/>
        <w:widowControl w:val="0"/>
        <w:adjustRightInd w:val="0"/>
        <w:spacing w:before="240" w:after="0"/>
        <w:ind w:left="992"/>
        <w:textAlignment w:val="baseline"/>
        <w:rPr>
          <w:rFonts w:ascii="Calibri" w:hAnsi="Calibri" w:cs="Calibri"/>
          <w:sz w:val="22"/>
          <w:szCs w:val="22"/>
          <w:lang w:val="pl-PL" w:bidi="ar-TN"/>
        </w:rPr>
      </w:pPr>
      <w:r w:rsidRPr="00357465">
        <w:rPr>
          <w:rFonts w:ascii="Calibri" w:hAnsi="Calibri" w:cs="Calibri"/>
          <w:sz w:val="22"/>
          <w:szCs w:val="22"/>
          <w:lang w:val="pl-PL" w:bidi="ar-TN"/>
        </w:rPr>
        <w:t>Urząd Dzielnicy Rembertów m.st. Warszawa</w:t>
      </w:r>
    </w:p>
    <w:p w14:paraId="4458D521" w14:textId="77777777" w:rsidR="001D0F9A" w:rsidRPr="00357465" w:rsidRDefault="001D0F9A" w:rsidP="00124D92">
      <w:pPr>
        <w:pStyle w:val="Tekstpodstawowy"/>
        <w:keepLines/>
        <w:widowControl w:val="0"/>
        <w:numPr>
          <w:ilvl w:val="1"/>
          <w:numId w:val="41"/>
        </w:numPr>
        <w:adjustRightInd w:val="0"/>
        <w:spacing w:before="240" w:after="0"/>
        <w:ind w:left="284" w:firstLine="0"/>
        <w:textAlignment w:val="baseline"/>
        <w:rPr>
          <w:rFonts w:ascii="Calibri" w:hAnsi="Calibri" w:cs="Calibri"/>
          <w:b/>
          <w:color w:val="auto"/>
          <w:sz w:val="22"/>
          <w:szCs w:val="22"/>
          <w:lang w:val="pl-PL"/>
        </w:rPr>
      </w:pPr>
      <w:r w:rsidRPr="00357465">
        <w:rPr>
          <w:rFonts w:ascii="Calibri" w:hAnsi="Calibri" w:cs="Calibri"/>
          <w:b/>
          <w:color w:val="auto"/>
          <w:sz w:val="22"/>
          <w:szCs w:val="22"/>
          <w:lang w:val="pl-PL"/>
        </w:rPr>
        <w:t>Siedziba jednostki</w:t>
      </w:r>
    </w:p>
    <w:p w14:paraId="3C39100C" w14:textId="77777777" w:rsidR="001D0F9A" w:rsidRPr="00357465" w:rsidRDefault="001D0F9A" w:rsidP="00124D92">
      <w:pPr>
        <w:pStyle w:val="Tekstpodstawowy"/>
        <w:keepLines/>
        <w:widowControl w:val="0"/>
        <w:adjustRightInd w:val="0"/>
        <w:spacing w:before="240" w:after="0"/>
        <w:ind w:left="992"/>
        <w:textAlignment w:val="baseline"/>
        <w:rPr>
          <w:rFonts w:ascii="Calibri" w:hAnsi="Calibri" w:cs="Calibri"/>
          <w:color w:val="auto"/>
          <w:sz w:val="22"/>
          <w:szCs w:val="22"/>
          <w:lang w:val="pl-PL"/>
        </w:rPr>
      </w:pPr>
      <w:r w:rsidRPr="00357465">
        <w:rPr>
          <w:rFonts w:ascii="Calibri" w:hAnsi="Calibri" w:cs="Calibri"/>
          <w:color w:val="auto"/>
          <w:sz w:val="22"/>
          <w:szCs w:val="22"/>
          <w:lang w:val="pl-PL"/>
        </w:rPr>
        <w:t>Warszawa</w:t>
      </w:r>
    </w:p>
    <w:p w14:paraId="720D9DB6" w14:textId="6CB7834B" w:rsidR="001D0F9A" w:rsidRPr="00357465" w:rsidRDefault="001D0F9A" w:rsidP="00124D92">
      <w:pPr>
        <w:pStyle w:val="Tekstpodstawowy"/>
        <w:keepLines/>
        <w:widowControl w:val="0"/>
        <w:numPr>
          <w:ilvl w:val="1"/>
          <w:numId w:val="41"/>
        </w:numPr>
        <w:adjustRightInd w:val="0"/>
        <w:spacing w:before="240" w:after="0"/>
        <w:ind w:left="709" w:hanging="425"/>
        <w:textAlignment w:val="baseline"/>
        <w:rPr>
          <w:rFonts w:ascii="Calibri" w:hAnsi="Calibri" w:cs="Calibri"/>
          <w:b/>
          <w:color w:val="auto"/>
          <w:sz w:val="22"/>
          <w:szCs w:val="22"/>
          <w:lang w:val="pl-PL"/>
        </w:rPr>
      </w:pPr>
      <w:r w:rsidRPr="00357465">
        <w:rPr>
          <w:rFonts w:ascii="Calibri" w:hAnsi="Calibri" w:cs="Calibri"/>
          <w:b/>
          <w:color w:val="auto"/>
          <w:sz w:val="22"/>
          <w:szCs w:val="22"/>
          <w:lang w:val="pl-PL"/>
        </w:rPr>
        <w:t>Adres jednostki</w:t>
      </w:r>
    </w:p>
    <w:p w14:paraId="2CAFB175" w14:textId="77777777" w:rsidR="001D0F9A" w:rsidRPr="00357465" w:rsidRDefault="001D0F9A" w:rsidP="00124D92">
      <w:pPr>
        <w:pStyle w:val="Tekstpodstawowy"/>
        <w:keepLines/>
        <w:widowControl w:val="0"/>
        <w:adjustRightInd w:val="0"/>
        <w:spacing w:before="240" w:after="0"/>
        <w:ind w:left="992"/>
        <w:textAlignment w:val="baseline"/>
        <w:rPr>
          <w:rFonts w:ascii="Calibri" w:hAnsi="Calibri" w:cs="Calibri"/>
          <w:color w:val="auto"/>
          <w:sz w:val="22"/>
          <w:szCs w:val="22"/>
          <w:lang w:val="pl-PL"/>
        </w:rPr>
      </w:pPr>
      <w:r w:rsidRPr="00357465">
        <w:rPr>
          <w:rFonts w:ascii="Calibri" w:hAnsi="Calibri" w:cs="Calibri"/>
          <w:color w:val="auto"/>
          <w:sz w:val="22"/>
          <w:szCs w:val="22"/>
          <w:lang w:val="pl-PL"/>
        </w:rPr>
        <w:t>Al. gen. A. Chruściela 28, 04-401 Warszawa</w:t>
      </w:r>
    </w:p>
    <w:p w14:paraId="4D8EAB58" w14:textId="77777777" w:rsidR="001D0F9A" w:rsidRPr="00357465" w:rsidRDefault="001D0F9A" w:rsidP="00124D92">
      <w:pPr>
        <w:pStyle w:val="Tekstpodstawowy"/>
        <w:keepLines/>
        <w:widowControl w:val="0"/>
        <w:numPr>
          <w:ilvl w:val="1"/>
          <w:numId w:val="41"/>
        </w:numPr>
        <w:adjustRightInd w:val="0"/>
        <w:spacing w:before="240" w:after="0"/>
        <w:ind w:left="709" w:hanging="425"/>
        <w:textAlignment w:val="baseline"/>
        <w:rPr>
          <w:rFonts w:ascii="Calibri" w:hAnsi="Calibri" w:cs="Calibri"/>
          <w:b/>
          <w:color w:val="auto"/>
          <w:sz w:val="22"/>
          <w:szCs w:val="22"/>
          <w:lang w:val="pl-PL"/>
        </w:rPr>
      </w:pPr>
      <w:r w:rsidRPr="00357465">
        <w:rPr>
          <w:rFonts w:ascii="Calibri" w:hAnsi="Calibri" w:cs="Calibri"/>
          <w:b/>
          <w:color w:val="auto"/>
          <w:sz w:val="22"/>
          <w:szCs w:val="22"/>
          <w:lang w:val="pl-PL"/>
        </w:rPr>
        <w:t>Podstawowy przedmiot działalności jednostki</w:t>
      </w:r>
    </w:p>
    <w:p w14:paraId="21B2C26C" w14:textId="77777777" w:rsidR="001D0F9A" w:rsidRPr="00357465" w:rsidRDefault="001D0F9A" w:rsidP="00124D92">
      <w:pPr>
        <w:widowControl w:val="0"/>
        <w:shd w:val="clear" w:color="auto" w:fill="FFFFFF"/>
        <w:suppressAutoHyphens/>
        <w:autoSpaceDE w:val="0"/>
        <w:spacing w:before="240" w:after="60" w:line="360" w:lineRule="auto"/>
        <w:ind w:left="1276" w:hanging="142"/>
        <w:jc w:val="both"/>
        <w:rPr>
          <w:rFonts w:ascii="Calibri" w:hAnsi="Calibri" w:cs="Calibri"/>
          <w:sz w:val="22"/>
          <w:szCs w:val="22"/>
        </w:rPr>
      </w:pPr>
      <w:r w:rsidRPr="00357465">
        <w:rPr>
          <w:rFonts w:ascii="Calibri" w:hAnsi="Calibri" w:cs="Calibri"/>
          <w:sz w:val="22"/>
          <w:szCs w:val="22"/>
        </w:rPr>
        <w:t>Dzielnica działa na podstawie ustaw, Statutu m.st. Warszawy, Statutu i innych uchwał Rady Miasta. Do zakresu działania Dzielnicy należą, niezastrzeżone dla organów Miasta, sprawy lokalne o zasięgu dzielnicowym:</w:t>
      </w:r>
    </w:p>
    <w:p w14:paraId="61D96A7F" w14:textId="77777777" w:rsidR="001D0F9A" w:rsidRPr="00357465" w:rsidRDefault="001D0F9A" w:rsidP="001D0F9A">
      <w:pPr>
        <w:widowControl w:val="0"/>
        <w:numPr>
          <w:ilvl w:val="1"/>
          <w:numId w:val="48"/>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 xml:space="preserve">inwestycji; </w:t>
      </w:r>
    </w:p>
    <w:p w14:paraId="6CD76BFE" w14:textId="77777777" w:rsidR="001D0F9A" w:rsidRPr="00357465" w:rsidRDefault="001D0F9A" w:rsidP="001D0F9A">
      <w:pPr>
        <w:widowControl w:val="0"/>
        <w:numPr>
          <w:ilvl w:val="1"/>
          <w:numId w:val="48"/>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gminnych zasobów lokalowych położonych na obszarze Dzielnicy;</w:t>
      </w:r>
    </w:p>
    <w:p w14:paraId="1F56D1A8" w14:textId="77777777" w:rsidR="001D0F9A" w:rsidRPr="00357465" w:rsidRDefault="001D0F9A" w:rsidP="001D0F9A">
      <w:pPr>
        <w:widowControl w:val="0"/>
        <w:numPr>
          <w:ilvl w:val="1"/>
          <w:numId w:val="48"/>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nieruchomości Miasta położonych na obszarze Dzielnicy;</w:t>
      </w:r>
    </w:p>
    <w:p w14:paraId="60B5E089" w14:textId="77777777" w:rsidR="001D0F9A" w:rsidRPr="00357465" w:rsidRDefault="001D0F9A" w:rsidP="001D0F9A">
      <w:pPr>
        <w:widowControl w:val="0"/>
        <w:numPr>
          <w:ilvl w:val="1"/>
          <w:numId w:val="48"/>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 xml:space="preserve">nabywania i zbywania nieruchomości Miasta, położonych na obszarze Dzielnicy, </w:t>
      </w:r>
      <w:r w:rsidRPr="00357465">
        <w:rPr>
          <w:rFonts w:ascii="Calibri" w:hAnsi="Calibri" w:cs="Calibri"/>
          <w:sz w:val="22"/>
          <w:szCs w:val="22"/>
        </w:rPr>
        <w:br/>
        <w:t>w zakresie i trybie określonym zarządzeniem Prezydenta;</w:t>
      </w:r>
    </w:p>
    <w:p w14:paraId="3C73E50D" w14:textId="77777777" w:rsidR="001D0F9A" w:rsidRPr="00357465" w:rsidRDefault="001D0F9A" w:rsidP="001D0F9A">
      <w:pPr>
        <w:widowControl w:val="0"/>
        <w:shd w:val="clear" w:color="auto" w:fill="FFFFFF"/>
        <w:tabs>
          <w:tab w:val="num" w:pos="851"/>
          <w:tab w:val="num" w:pos="2160"/>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 xml:space="preserve">  - jednostek organizacyjnych Miasta położonych na obszarze Dzielnicy i niezaliczonych do podmiotów o znaczeniu </w:t>
      </w:r>
      <w:proofErr w:type="spellStart"/>
      <w:r w:rsidRPr="00357465">
        <w:rPr>
          <w:rFonts w:ascii="Calibri" w:hAnsi="Calibri" w:cs="Calibri"/>
          <w:sz w:val="22"/>
          <w:szCs w:val="22"/>
        </w:rPr>
        <w:t>ponaddzielnicowym</w:t>
      </w:r>
      <w:proofErr w:type="spellEnd"/>
      <w:r w:rsidRPr="00357465">
        <w:rPr>
          <w:rFonts w:ascii="Calibri" w:hAnsi="Calibri" w:cs="Calibri"/>
          <w:sz w:val="22"/>
          <w:szCs w:val="22"/>
        </w:rPr>
        <w:t xml:space="preserve"> uchwałą Rady Miasta: placówek oświaty i wychowania, jednostek organizacyjnych, których działalność statutowa dotyczy obsługi finansowej w zakresie oświaty, jednostek organizacyjnych pomocy społecznej, domów kultury, bibliotek, </w:t>
      </w:r>
      <w:r w:rsidRPr="00357465">
        <w:rPr>
          <w:rFonts w:ascii="Calibri" w:hAnsi="Calibri" w:cs="Calibri"/>
          <w:kern w:val="24"/>
          <w:sz w:val="22"/>
          <w:szCs w:val="22"/>
        </w:rPr>
        <w:t>ośrodków sportu i rekreacji</w:t>
      </w:r>
      <w:r w:rsidRPr="00357465">
        <w:rPr>
          <w:rFonts w:ascii="Calibri" w:hAnsi="Calibri" w:cs="Calibri"/>
          <w:sz w:val="22"/>
          <w:szCs w:val="22"/>
        </w:rPr>
        <w:t>, jednostek organizacyjnych Miasta, których działalność statutowa dotyczy zarządu zasobem lokalowym, innych jednostek określonych w uchwale Rady Miasta;</w:t>
      </w:r>
    </w:p>
    <w:p w14:paraId="4526F22C" w14:textId="77777777" w:rsidR="001D0F9A" w:rsidRPr="00357465" w:rsidRDefault="001D0F9A" w:rsidP="001D0F9A">
      <w:pPr>
        <w:widowControl w:val="0"/>
        <w:numPr>
          <w:ilvl w:val="1"/>
          <w:numId w:val="47"/>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zieleni oraz dróg wewnętrznych stanowiących własność lub będących we władaniu Miasta, z wyłączeniem terenów zieleni i dróg przekazanych w zarząd innym podmiotom;</w:t>
      </w:r>
    </w:p>
    <w:p w14:paraId="022562A5" w14:textId="77777777" w:rsidR="001D0F9A" w:rsidRPr="00357465" w:rsidRDefault="001D0F9A" w:rsidP="001D0F9A">
      <w:pPr>
        <w:widowControl w:val="0"/>
        <w:numPr>
          <w:ilvl w:val="1"/>
          <w:numId w:val="47"/>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dzielnicowych obiektów administracyjnych;</w:t>
      </w:r>
    </w:p>
    <w:p w14:paraId="6F46138E" w14:textId="77777777" w:rsidR="001D0F9A" w:rsidRPr="00357465" w:rsidRDefault="001D0F9A" w:rsidP="001D0F9A">
      <w:pPr>
        <w:widowControl w:val="0"/>
        <w:numPr>
          <w:ilvl w:val="1"/>
          <w:numId w:val="47"/>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jednostek niższego rzędu utworzonych na obszarze Dzielnicy;</w:t>
      </w:r>
    </w:p>
    <w:p w14:paraId="6E691098" w14:textId="77777777" w:rsidR="001D0F9A" w:rsidRPr="00357465" w:rsidRDefault="001D0F9A" w:rsidP="001D0F9A">
      <w:pPr>
        <w:widowControl w:val="0"/>
        <w:numPr>
          <w:ilvl w:val="1"/>
          <w:numId w:val="47"/>
        </w:numPr>
        <w:shd w:val="clear" w:color="auto" w:fill="FFFFFF"/>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ochrony praw lokatorów i dodatków mieszkaniowych;</w:t>
      </w:r>
    </w:p>
    <w:p w14:paraId="4FAE7840" w14:textId="77777777" w:rsidR="001D0F9A" w:rsidRPr="00357465" w:rsidRDefault="001D0F9A" w:rsidP="001D0F9A">
      <w:pPr>
        <w:widowControl w:val="0"/>
        <w:numPr>
          <w:ilvl w:val="1"/>
          <w:numId w:val="47"/>
        </w:numPr>
        <w:shd w:val="clear" w:color="auto" w:fill="FFFFFF"/>
        <w:suppressAutoHyphens/>
        <w:autoSpaceDE w:val="0"/>
        <w:spacing w:after="60" w:line="360" w:lineRule="auto"/>
        <w:ind w:left="1276" w:hanging="142"/>
        <w:jc w:val="both"/>
        <w:rPr>
          <w:rFonts w:ascii="Calibri" w:hAnsi="Calibri" w:cs="Calibri"/>
          <w:strike/>
          <w:kern w:val="24"/>
          <w:sz w:val="22"/>
          <w:szCs w:val="22"/>
        </w:rPr>
      </w:pPr>
      <w:r w:rsidRPr="00357465">
        <w:rPr>
          <w:rFonts w:ascii="Calibri" w:hAnsi="Calibri" w:cs="Calibri"/>
          <w:sz w:val="22"/>
          <w:szCs w:val="22"/>
        </w:rPr>
        <w:lastRenderedPageBreak/>
        <w:t>działalności kulturalnej;</w:t>
      </w:r>
    </w:p>
    <w:p w14:paraId="734811C7"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ochrony środowiska, ochrony zwierząt i gospodarki wodnej, w tym gospodarki wodami opadowymi i roztopowymi;</w:t>
      </w:r>
    </w:p>
    <w:p w14:paraId="2EDEFA07"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dróg publicznych, z wyłączeniem dróg przekazanych innym podmiotom, a także transportu drogowego, ruchu drogowego i przewozów;</w:t>
      </w:r>
    </w:p>
    <w:p w14:paraId="3B2AA666"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architektury i budownictwa;</w:t>
      </w:r>
    </w:p>
    <w:p w14:paraId="6E3E784F"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pobierania podatków i opłat lokalnych oraz opłaty skarbowej, podatku rolnego i leśnego, a także ubezpieczenia społecznego rolników;</w:t>
      </w:r>
    </w:p>
    <w:p w14:paraId="6D9A660F"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vertAlign w:val="superscript"/>
        </w:rPr>
        <w:t xml:space="preserve"> </w:t>
      </w:r>
      <w:r w:rsidRPr="00357465">
        <w:rPr>
          <w:rFonts w:ascii="Calibri" w:hAnsi="Calibri" w:cs="Calibri"/>
          <w:sz w:val="22"/>
          <w:szCs w:val="22"/>
        </w:rPr>
        <w:t>promocji Dzielnicy;</w:t>
      </w:r>
    </w:p>
    <w:p w14:paraId="574A34ED" w14:textId="77777777" w:rsidR="001D0F9A" w:rsidRPr="00357465" w:rsidRDefault="001D0F9A" w:rsidP="001D0F9A">
      <w:pPr>
        <w:widowControl w:val="0"/>
        <w:numPr>
          <w:ilvl w:val="1"/>
          <w:numId w:val="47"/>
        </w:numPr>
        <w:shd w:val="clear" w:color="auto" w:fill="FFFFFF"/>
        <w:tabs>
          <w:tab w:val="num" w:pos="567"/>
        </w:tabs>
        <w:suppressAutoHyphens/>
        <w:autoSpaceDE w:val="0"/>
        <w:spacing w:after="60" w:line="360" w:lineRule="auto"/>
        <w:ind w:left="1276" w:hanging="142"/>
        <w:jc w:val="both"/>
        <w:rPr>
          <w:rFonts w:ascii="Calibri" w:hAnsi="Calibri" w:cs="Calibri"/>
          <w:sz w:val="22"/>
          <w:szCs w:val="22"/>
        </w:rPr>
      </w:pPr>
      <w:r w:rsidRPr="00357465">
        <w:rPr>
          <w:rFonts w:ascii="Calibri" w:hAnsi="Calibri" w:cs="Calibri"/>
          <w:sz w:val="22"/>
          <w:szCs w:val="22"/>
        </w:rPr>
        <w:t>miejsc pamięci narodowej;</w:t>
      </w:r>
    </w:p>
    <w:p w14:paraId="54DD3C17" w14:textId="77777777" w:rsidR="001D0F9A" w:rsidRPr="00357465" w:rsidRDefault="001D0F9A" w:rsidP="001D0F9A">
      <w:pPr>
        <w:pStyle w:val="NormalnyWeb"/>
        <w:numPr>
          <w:ilvl w:val="1"/>
          <w:numId w:val="47"/>
        </w:numPr>
        <w:spacing w:before="0" w:after="60" w:line="360" w:lineRule="auto"/>
        <w:ind w:left="1276" w:hanging="142"/>
        <w:jc w:val="both"/>
        <w:rPr>
          <w:rFonts w:ascii="Calibri" w:hAnsi="Calibri" w:cs="Calibri"/>
          <w:sz w:val="22"/>
          <w:szCs w:val="22"/>
        </w:rPr>
      </w:pPr>
      <w:r w:rsidRPr="00357465">
        <w:rPr>
          <w:rFonts w:ascii="Calibri" w:hAnsi="Calibri" w:cs="Calibri"/>
          <w:sz w:val="22"/>
          <w:szCs w:val="22"/>
        </w:rPr>
        <w:t>współpracy z podmiotami prowadzącymi działalność pożytku publicznego;</w:t>
      </w:r>
    </w:p>
    <w:p w14:paraId="46572FF2" w14:textId="77777777" w:rsidR="001D0F9A" w:rsidRPr="00357465" w:rsidRDefault="001D0F9A" w:rsidP="001D0F9A">
      <w:pPr>
        <w:pStyle w:val="NormalnyWeb"/>
        <w:widowControl w:val="0"/>
        <w:numPr>
          <w:ilvl w:val="1"/>
          <w:numId w:val="47"/>
        </w:numPr>
        <w:suppressAutoHyphens/>
        <w:spacing w:before="0" w:beforeAutospacing="0" w:after="60" w:afterAutospacing="0" w:line="360" w:lineRule="auto"/>
        <w:ind w:left="1276" w:hanging="142"/>
        <w:jc w:val="both"/>
        <w:rPr>
          <w:rFonts w:ascii="Calibri" w:hAnsi="Calibri" w:cs="Calibri"/>
          <w:sz w:val="22"/>
          <w:szCs w:val="22"/>
        </w:rPr>
      </w:pPr>
      <w:r w:rsidRPr="00357465">
        <w:rPr>
          <w:rFonts w:ascii="Calibri" w:hAnsi="Calibri" w:cs="Calibri"/>
          <w:sz w:val="22"/>
          <w:szCs w:val="22"/>
        </w:rPr>
        <w:t>innych spraw przekazanych Dzielnicy uchwałą Rady Miasta.</w:t>
      </w:r>
    </w:p>
    <w:p w14:paraId="19D73ED8" w14:textId="77777777" w:rsidR="001D0F9A" w:rsidRPr="00357465" w:rsidRDefault="001D0F9A" w:rsidP="001D0F9A">
      <w:pPr>
        <w:pStyle w:val="NormalnyWeb"/>
        <w:widowControl w:val="0"/>
        <w:suppressAutoHyphens/>
        <w:spacing w:before="0" w:beforeAutospacing="0" w:after="0" w:afterAutospacing="0" w:line="360" w:lineRule="auto"/>
        <w:ind w:left="1276" w:hanging="142"/>
        <w:jc w:val="both"/>
        <w:rPr>
          <w:rFonts w:ascii="Calibri" w:hAnsi="Calibri" w:cs="Calibri"/>
          <w:sz w:val="22"/>
          <w:szCs w:val="22"/>
        </w:rPr>
      </w:pPr>
      <w:r w:rsidRPr="00357465">
        <w:rPr>
          <w:rFonts w:ascii="Calibri" w:hAnsi="Calibri" w:cs="Calibri"/>
          <w:sz w:val="22"/>
          <w:szCs w:val="22"/>
        </w:rPr>
        <w:t>Dzielnicy mogą być również przekazywane inne zadania należące do Miasta.</w:t>
      </w:r>
    </w:p>
    <w:p w14:paraId="1C95DD91" w14:textId="77777777" w:rsidR="001D0F9A" w:rsidRPr="00357465" w:rsidRDefault="001D0F9A" w:rsidP="00124D92">
      <w:pPr>
        <w:pStyle w:val="Nagwek2"/>
        <w:widowControl w:val="0"/>
        <w:numPr>
          <w:ilvl w:val="0"/>
          <w:numId w:val="6"/>
        </w:numPr>
        <w:tabs>
          <w:tab w:val="clear" w:pos="720"/>
          <w:tab w:val="left" w:pos="567"/>
          <w:tab w:val="num" w:pos="927"/>
        </w:tabs>
        <w:adjustRightInd w:val="0"/>
        <w:spacing w:before="480"/>
        <w:ind w:left="851" w:hanging="709"/>
        <w:jc w:val="both"/>
        <w:textAlignment w:val="baseline"/>
        <w:rPr>
          <w:rFonts w:ascii="Calibri" w:hAnsi="Calibri" w:cs="Calibri"/>
          <w:sz w:val="22"/>
          <w:szCs w:val="22"/>
          <w:lang w:val="pl-PL"/>
        </w:rPr>
      </w:pPr>
      <w:r w:rsidRPr="00357465">
        <w:rPr>
          <w:rFonts w:ascii="Calibri" w:hAnsi="Calibri" w:cs="Calibri"/>
          <w:sz w:val="22"/>
          <w:szCs w:val="22"/>
          <w:lang w:val="pl-PL"/>
        </w:rPr>
        <w:t>Wskazanie okresu objętego sprawozdaniem</w:t>
      </w:r>
    </w:p>
    <w:p w14:paraId="0EEF5FFC" w14:textId="77777777" w:rsidR="001D0F9A" w:rsidRPr="00357465" w:rsidRDefault="001D0F9A" w:rsidP="00D7046B">
      <w:pPr>
        <w:keepLines/>
        <w:spacing w:before="240" w:line="360" w:lineRule="auto"/>
        <w:ind w:left="567"/>
        <w:jc w:val="both"/>
        <w:rPr>
          <w:rFonts w:ascii="Calibri" w:hAnsi="Calibri" w:cs="Calibri"/>
          <w:color w:val="000000"/>
          <w:sz w:val="22"/>
          <w:szCs w:val="22"/>
        </w:rPr>
      </w:pPr>
      <w:r w:rsidRPr="00357465">
        <w:rPr>
          <w:rFonts w:ascii="Calibri" w:hAnsi="Calibri" w:cs="Calibri"/>
          <w:color w:val="000000"/>
          <w:sz w:val="22"/>
          <w:szCs w:val="22"/>
        </w:rPr>
        <w:t>Sprawozdanie finansowe Urzędu Dzielnicy Rembertów m.st. Warszawy obejmuje rok obrotowy trwający od 1 stycznia 2021 r. do 31 grudnia 2021 r.</w:t>
      </w:r>
    </w:p>
    <w:p w14:paraId="10420856" w14:textId="77777777" w:rsidR="001D0F9A" w:rsidRPr="00357465" w:rsidRDefault="001D0F9A" w:rsidP="001D0F9A">
      <w:pPr>
        <w:widowControl w:val="0"/>
        <w:autoSpaceDE w:val="0"/>
        <w:autoSpaceDN w:val="0"/>
        <w:adjustRightInd w:val="0"/>
        <w:spacing w:line="360" w:lineRule="auto"/>
        <w:ind w:left="567"/>
        <w:jc w:val="both"/>
        <w:textAlignment w:val="baseline"/>
        <w:rPr>
          <w:rFonts w:ascii="Calibri" w:hAnsi="Calibri" w:cs="Calibri"/>
          <w:sz w:val="22"/>
          <w:szCs w:val="22"/>
        </w:rPr>
      </w:pPr>
      <w:r w:rsidRPr="00357465">
        <w:rPr>
          <w:rFonts w:ascii="Calibri" w:hAnsi="Calibri" w:cs="Calibri"/>
          <w:sz w:val="22"/>
          <w:szCs w:val="22"/>
        </w:rPr>
        <w:t xml:space="preserve">Dane w bilansie prezentowane są na dzień 1 stycznia 2021 r. i 31 grudnia 2021 r.  </w:t>
      </w:r>
    </w:p>
    <w:p w14:paraId="50469126" w14:textId="77777777" w:rsidR="001D0F9A" w:rsidRPr="00357465" w:rsidRDefault="001D0F9A" w:rsidP="001D0F9A">
      <w:pPr>
        <w:widowControl w:val="0"/>
        <w:autoSpaceDE w:val="0"/>
        <w:autoSpaceDN w:val="0"/>
        <w:adjustRightInd w:val="0"/>
        <w:spacing w:line="360" w:lineRule="auto"/>
        <w:ind w:left="567"/>
        <w:jc w:val="both"/>
        <w:textAlignment w:val="baseline"/>
        <w:rPr>
          <w:rFonts w:ascii="Calibri" w:hAnsi="Calibri" w:cs="Calibri"/>
          <w:sz w:val="22"/>
          <w:szCs w:val="22"/>
        </w:rPr>
      </w:pPr>
      <w:r w:rsidRPr="00357465">
        <w:rPr>
          <w:rFonts w:ascii="Calibri" w:hAnsi="Calibri" w:cs="Calibri"/>
          <w:sz w:val="22"/>
          <w:szCs w:val="22"/>
        </w:rPr>
        <w:t>Dane w rachunku zysków i strat oraz w zestawieniu zmian w funduszu prezentowane są za okres obrotowy 2020 r. i 2021 r.</w:t>
      </w:r>
    </w:p>
    <w:p w14:paraId="586CBFB0" w14:textId="77777777" w:rsidR="001D0F9A" w:rsidRPr="00357465" w:rsidRDefault="001D0F9A" w:rsidP="00D7046B">
      <w:pPr>
        <w:pStyle w:val="Nagwek2"/>
        <w:widowControl w:val="0"/>
        <w:numPr>
          <w:ilvl w:val="0"/>
          <w:numId w:val="6"/>
        </w:numPr>
        <w:tabs>
          <w:tab w:val="clear" w:pos="720"/>
          <w:tab w:val="left" w:pos="567"/>
          <w:tab w:val="num" w:pos="927"/>
        </w:tabs>
        <w:adjustRightInd w:val="0"/>
        <w:spacing w:before="720"/>
        <w:ind w:left="1276" w:hanging="992"/>
        <w:jc w:val="both"/>
        <w:textAlignment w:val="baseline"/>
        <w:rPr>
          <w:rFonts w:ascii="Calibri" w:hAnsi="Calibri" w:cs="Calibri"/>
          <w:sz w:val="22"/>
          <w:szCs w:val="22"/>
          <w:lang w:val="pl-PL"/>
        </w:rPr>
      </w:pPr>
      <w:r w:rsidRPr="00357465">
        <w:rPr>
          <w:rFonts w:ascii="Calibri" w:hAnsi="Calibri" w:cs="Calibri"/>
          <w:sz w:val="22"/>
          <w:szCs w:val="22"/>
          <w:lang w:val="pl-PL"/>
        </w:rPr>
        <w:t>Wskazanie, że sprawozdanie zawiera dane łączne</w:t>
      </w:r>
    </w:p>
    <w:p w14:paraId="05338E37" w14:textId="77777777" w:rsidR="001D0F9A" w:rsidRPr="00357465" w:rsidRDefault="001D0F9A" w:rsidP="00D7046B">
      <w:pPr>
        <w:tabs>
          <w:tab w:val="left" w:pos="567"/>
          <w:tab w:val="left" w:pos="709"/>
          <w:tab w:val="left" w:pos="1134"/>
        </w:tabs>
        <w:spacing w:before="240"/>
        <w:ind w:left="1276" w:hanging="567"/>
        <w:jc w:val="both"/>
        <w:rPr>
          <w:rFonts w:ascii="Calibri" w:hAnsi="Calibri" w:cs="Calibri"/>
          <w:sz w:val="22"/>
          <w:szCs w:val="22"/>
        </w:rPr>
      </w:pPr>
      <w:r w:rsidRPr="00357465">
        <w:rPr>
          <w:rFonts w:ascii="Calibri" w:hAnsi="Calibri" w:cs="Calibri"/>
          <w:sz w:val="22"/>
          <w:szCs w:val="22"/>
        </w:rPr>
        <w:t>Nie dotyczy Urzędu Dzielnicy Rembertów m.st. Warszawy</w:t>
      </w:r>
    </w:p>
    <w:p w14:paraId="24E5F179" w14:textId="77777777" w:rsidR="001D0F9A" w:rsidRPr="00357465" w:rsidRDefault="001D0F9A" w:rsidP="00D7046B">
      <w:pPr>
        <w:pStyle w:val="Nagwek2"/>
        <w:widowControl w:val="0"/>
        <w:numPr>
          <w:ilvl w:val="0"/>
          <w:numId w:val="6"/>
        </w:numPr>
        <w:tabs>
          <w:tab w:val="clear" w:pos="720"/>
          <w:tab w:val="left" w:pos="567"/>
          <w:tab w:val="num" w:pos="927"/>
        </w:tabs>
        <w:adjustRightInd w:val="0"/>
        <w:spacing w:before="480"/>
        <w:ind w:left="1276" w:hanging="992"/>
        <w:jc w:val="both"/>
        <w:textAlignment w:val="baseline"/>
        <w:rPr>
          <w:rFonts w:ascii="Calibri" w:hAnsi="Calibri" w:cs="Calibri"/>
          <w:sz w:val="22"/>
          <w:szCs w:val="22"/>
          <w:lang w:val="pl-PL"/>
        </w:rPr>
      </w:pPr>
      <w:r w:rsidRPr="00357465">
        <w:rPr>
          <w:rFonts w:ascii="Calibri" w:hAnsi="Calibri" w:cs="Calibri"/>
          <w:sz w:val="22"/>
          <w:szCs w:val="22"/>
          <w:lang w:val="pl-PL"/>
        </w:rPr>
        <w:t xml:space="preserve">Przyjęte zasady (polityki) rachunkowości, w tym metody wyceny aktywów i pasywów </w:t>
      </w:r>
    </w:p>
    <w:p w14:paraId="1600EFFF" w14:textId="77777777" w:rsidR="001D0F9A" w:rsidRPr="00357465" w:rsidRDefault="001D0F9A" w:rsidP="00D7046B">
      <w:pPr>
        <w:keepNext/>
        <w:keepLines/>
        <w:widowControl w:val="0"/>
        <w:numPr>
          <w:ilvl w:val="0"/>
          <w:numId w:val="13"/>
        </w:numPr>
        <w:tabs>
          <w:tab w:val="clear" w:pos="360"/>
          <w:tab w:val="left" w:pos="709"/>
          <w:tab w:val="left" w:pos="1134"/>
        </w:tabs>
        <w:adjustRightInd w:val="0"/>
        <w:spacing w:before="240"/>
        <w:ind w:left="1276" w:hanging="709"/>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Wartości niematerialne i prawne</w:t>
      </w:r>
    </w:p>
    <w:p w14:paraId="3D03BFA9" w14:textId="77777777" w:rsidR="001D0F9A" w:rsidRPr="00357465" w:rsidRDefault="001D0F9A" w:rsidP="000E6BD9">
      <w:pPr>
        <w:spacing w:after="120"/>
        <w:rPr>
          <w:rFonts w:ascii="Calibri" w:hAnsi="Calibri" w:cs="Calibri"/>
          <w:sz w:val="22"/>
          <w:szCs w:val="22"/>
        </w:rPr>
      </w:pPr>
    </w:p>
    <w:p w14:paraId="53DC8ECF" w14:textId="77777777" w:rsidR="001D0F9A" w:rsidRPr="00357465" w:rsidRDefault="001D0F9A" w:rsidP="00D7046B">
      <w:pPr>
        <w:keepNext/>
        <w:keepLines/>
        <w:tabs>
          <w:tab w:val="left" w:pos="709"/>
        </w:tabs>
        <w:spacing w:before="240"/>
        <w:ind w:left="1134"/>
        <w:jc w:val="both"/>
        <w:outlineLvl w:val="2"/>
        <w:rPr>
          <w:rFonts w:ascii="Calibri" w:hAnsi="Calibri" w:cs="Calibri"/>
          <w:sz w:val="22"/>
          <w:szCs w:val="22"/>
          <w:lang w:val="x-none"/>
        </w:rPr>
      </w:pPr>
      <w:r w:rsidRPr="00357465">
        <w:rPr>
          <w:rFonts w:ascii="Calibri" w:hAnsi="Calibri" w:cs="Calibri"/>
          <w:sz w:val="22"/>
          <w:szCs w:val="22"/>
          <w:lang w:val="x-none"/>
        </w:rPr>
        <w:lastRenderedPageBreak/>
        <w:t xml:space="preserve">Wartości niematerialne i prawne są wyceniane według cen nabycia lub kosztu wytworzenia pomniejszonych o odpisy umorzeniowe i odpisy z tytułu trwałej utraty wartości. </w:t>
      </w:r>
    </w:p>
    <w:p w14:paraId="4F5F81ED" w14:textId="77777777" w:rsidR="001D0F9A" w:rsidRPr="00357465" w:rsidRDefault="001D0F9A" w:rsidP="001D0F9A">
      <w:pPr>
        <w:keepNext/>
        <w:keepLines/>
        <w:tabs>
          <w:tab w:val="left" w:pos="709"/>
        </w:tabs>
        <w:ind w:left="1134"/>
        <w:jc w:val="both"/>
        <w:outlineLvl w:val="2"/>
        <w:rPr>
          <w:rFonts w:ascii="Calibri" w:hAnsi="Calibri" w:cs="Calibri"/>
          <w:sz w:val="22"/>
          <w:szCs w:val="22"/>
          <w:lang w:val="x-none"/>
        </w:rPr>
      </w:pPr>
      <w:r w:rsidRPr="00357465">
        <w:rPr>
          <w:rFonts w:ascii="Calibri" w:hAnsi="Calibri" w:cs="Calibri"/>
          <w:sz w:val="22"/>
          <w:szCs w:val="22"/>
          <w:lang w:val="x-none"/>
        </w:rPr>
        <w:t xml:space="preserve">Wartości niematerialne i prawne o wartości do </w:t>
      </w:r>
      <w:r w:rsidRPr="00357465">
        <w:rPr>
          <w:rFonts w:ascii="Calibri" w:hAnsi="Calibri" w:cs="Calibri"/>
          <w:sz w:val="22"/>
          <w:szCs w:val="22"/>
        </w:rPr>
        <w:t>10</w:t>
      </w:r>
      <w:r w:rsidRPr="00357465">
        <w:rPr>
          <w:rFonts w:ascii="Calibri" w:hAnsi="Calibri" w:cs="Calibri"/>
          <w:sz w:val="22"/>
          <w:szCs w:val="22"/>
          <w:lang w:val="x-none"/>
        </w:rPr>
        <w:t>.</w:t>
      </w:r>
      <w:r w:rsidRPr="00357465">
        <w:rPr>
          <w:rFonts w:ascii="Calibri" w:hAnsi="Calibri" w:cs="Calibri"/>
          <w:sz w:val="22"/>
          <w:szCs w:val="22"/>
        </w:rPr>
        <w:t>0</w:t>
      </w:r>
      <w:r w:rsidRPr="00357465">
        <w:rPr>
          <w:rFonts w:ascii="Calibri" w:hAnsi="Calibri" w:cs="Calibri"/>
          <w:sz w:val="22"/>
          <w:szCs w:val="22"/>
          <w:lang w:val="x-none"/>
        </w:rPr>
        <w:t xml:space="preserve">00 zł i okresie używania dłuższym niż 1 rok  podlegają umorzeniu w pełnej wartości w miesiącu wydania do używania. Wartości niematerialne i prawne,  o wartości jednostkowej powyżej </w:t>
      </w:r>
      <w:r w:rsidRPr="00357465">
        <w:rPr>
          <w:rFonts w:ascii="Calibri" w:hAnsi="Calibri" w:cs="Calibri"/>
          <w:sz w:val="22"/>
          <w:szCs w:val="22"/>
        </w:rPr>
        <w:t>10</w:t>
      </w:r>
      <w:r w:rsidRPr="00357465">
        <w:rPr>
          <w:rFonts w:ascii="Calibri" w:hAnsi="Calibri" w:cs="Calibri"/>
          <w:sz w:val="22"/>
          <w:szCs w:val="22"/>
          <w:lang w:val="x-none"/>
        </w:rPr>
        <w:t>.</w:t>
      </w:r>
      <w:r w:rsidRPr="00357465">
        <w:rPr>
          <w:rFonts w:ascii="Calibri" w:hAnsi="Calibri" w:cs="Calibri"/>
          <w:sz w:val="22"/>
          <w:szCs w:val="22"/>
        </w:rPr>
        <w:t>0</w:t>
      </w:r>
      <w:r w:rsidRPr="00357465">
        <w:rPr>
          <w:rFonts w:ascii="Calibri" w:hAnsi="Calibri" w:cs="Calibri"/>
          <w:sz w:val="22"/>
          <w:szCs w:val="22"/>
          <w:lang w:val="x-none"/>
        </w:rPr>
        <w:t>00 zł i okresie używania dłuższym niż rok podlegają umorzeniu nie rzadziej niż raz w roku, według następujących stawek umorzeniowych:</w:t>
      </w:r>
    </w:p>
    <w:p w14:paraId="1E083C10" w14:textId="77777777" w:rsidR="001D0F9A" w:rsidRPr="00357465" w:rsidRDefault="001D0F9A" w:rsidP="001D0F9A">
      <w:pPr>
        <w:widowControl w:val="0"/>
        <w:numPr>
          <w:ilvl w:val="0"/>
          <w:numId w:val="50"/>
        </w:numPr>
        <w:tabs>
          <w:tab w:val="left" w:pos="993"/>
        </w:tabs>
        <w:ind w:left="1134" w:firstLine="0"/>
        <w:jc w:val="both"/>
        <w:rPr>
          <w:rFonts w:ascii="Calibri" w:hAnsi="Calibri" w:cs="Calibri"/>
          <w:sz w:val="22"/>
          <w:szCs w:val="22"/>
          <w:lang w:val="x-none" w:eastAsia="x-none"/>
        </w:rPr>
      </w:pPr>
      <w:r w:rsidRPr="00357465">
        <w:rPr>
          <w:rFonts w:ascii="Calibri" w:hAnsi="Calibri" w:cs="Calibri"/>
          <w:sz w:val="22"/>
          <w:szCs w:val="22"/>
          <w:lang w:val="x-none" w:eastAsia="x-none"/>
        </w:rPr>
        <w:t>20%</w:t>
      </w:r>
      <w:r w:rsidRPr="00357465">
        <w:rPr>
          <w:rFonts w:ascii="Calibri" w:hAnsi="Calibri" w:cs="Calibri"/>
          <w:sz w:val="22"/>
          <w:szCs w:val="22"/>
          <w:lang w:eastAsia="x-none"/>
        </w:rPr>
        <w:t xml:space="preserve"> </w:t>
      </w:r>
      <w:r w:rsidRPr="00357465">
        <w:rPr>
          <w:rFonts w:ascii="Calibri" w:hAnsi="Calibri" w:cs="Calibri"/>
          <w:sz w:val="22"/>
          <w:szCs w:val="22"/>
          <w:lang w:val="x-none" w:eastAsia="x-none"/>
        </w:rPr>
        <w:t xml:space="preserve"> dla wartości niematerialnych i prawnych, których jednostkowa wartość początkowa jest równa bądź większa 100.000,00 zł nabytych na czas:</w:t>
      </w:r>
    </w:p>
    <w:p w14:paraId="3CF4F8EC" w14:textId="77777777" w:rsidR="001D0F9A" w:rsidRPr="00357465" w:rsidRDefault="001D0F9A" w:rsidP="001D0F9A">
      <w:pPr>
        <w:widowControl w:val="0"/>
        <w:numPr>
          <w:ilvl w:val="1"/>
          <w:numId w:val="49"/>
        </w:numPr>
        <w:tabs>
          <w:tab w:val="left" w:pos="814"/>
        </w:tabs>
        <w:ind w:left="1134" w:firstLine="0"/>
        <w:jc w:val="both"/>
        <w:rPr>
          <w:rFonts w:ascii="Calibri" w:hAnsi="Calibri" w:cs="Calibri"/>
          <w:sz w:val="22"/>
          <w:szCs w:val="22"/>
          <w:lang w:val="x-none" w:eastAsia="x-none"/>
        </w:rPr>
      </w:pPr>
      <w:r w:rsidRPr="00357465">
        <w:rPr>
          <w:rFonts w:ascii="Calibri" w:hAnsi="Calibri" w:cs="Calibri"/>
          <w:sz w:val="22"/>
          <w:szCs w:val="22"/>
          <w:lang w:val="x-none" w:eastAsia="x-none"/>
        </w:rPr>
        <w:t>nieokreślony,</w:t>
      </w:r>
    </w:p>
    <w:p w14:paraId="1CFE37AC" w14:textId="77777777" w:rsidR="001D0F9A" w:rsidRPr="00357465" w:rsidRDefault="001D0F9A" w:rsidP="001D0F9A">
      <w:pPr>
        <w:widowControl w:val="0"/>
        <w:numPr>
          <w:ilvl w:val="1"/>
          <w:numId w:val="49"/>
        </w:numPr>
        <w:tabs>
          <w:tab w:val="left" w:pos="814"/>
        </w:tabs>
        <w:ind w:hanging="1247"/>
        <w:jc w:val="both"/>
        <w:rPr>
          <w:rFonts w:ascii="Calibri" w:hAnsi="Calibri" w:cs="Calibri"/>
          <w:sz w:val="22"/>
          <w:szCs w:val="22"/>
          <w:lang w:val="x-none" w:eastAsia="x-none"/>
        </w:rPr>
      </w:pPr>
      <w:r w:rsidRPr="00357465">
        <w:rPr>
          <w:rFonts w:ascii="Calibri" w:hAnsi="Calibri" w:cs="Calibri"/>
          <w:sz w:val="22"/>
          <w:szCs w:val="22"/>
          <w:lang w:val="x-none" w:eastAsia="x-none"/>
        </w:rPr>
        <w:t>określony: powyżej lub równy 5 lat,</w:t>
      </w:r>
    </w:p>
    <w:p w14:paraId="5FAA9554" w14:textId="77777777" w:rsidR="001D0F9A" w:rsidRPr="00357465" w:rsidRDefault="001D0F9A" w:rsidP="001D0F9A">
      <w:pPr>
        <w:widowControl w:val="0"/>
        <w:numPr>
          <w:ilvl w:val="0"/>
          <w:numId w:val="50"/>
        </w:numPr>
        <w:tabs>
          <w:tab w:val="left" w:pos="993"/>
        </w:tabs>
        <w:ind w:left="993" w:hanging="426"/>
        <w:jc w:val="both"/>
        <w:rPr>
          <w:rFonts w:ascii="Calibri" w:hAnsi="Calibri" w:cs="Calibri"/>
          <w:sz w:val="22"/>
          <w:szCs w:val="22"/>
          <w:lang w:val="x-none" w:eastAsia="x-none"/>
        </w:rPr>
      </w:pPr>
      <w:r w:rsidRPr="00357465">
        <w:rPr>
          <w:rFonts w:ascii="Calibri" w:hAnsi="Calibri" w:cs="Calibri"/>
          <w:sz w:val="22"/>
          <w:szCs w:val="22"/>
          <w:lang w:val="x-none" w:eastAsia="x-none"/>
        </w:rPr>
        <w:t xml:space="preserve">50% </w:t>
      </w:r>
      <w:r w:rsidRPr="00357465">
        <w:rPr>
          <w:rFonts w:ascii="Calibri" w:hAnsi="Calibri" w:cs="Calibri"/>
          <w:sz w:val="22"/>
          <w:szCs w:val="22"/>
          <w:lang w:eastAsia="x-none"/>
        </w:rPr>
        <w:t xml:space="preserve"> </w:t>
      </w:r>
      <w:r w:rsidRPr="00357465">
        <w:rPr>
          <w:rFonts w:ascii="Calibri" w:hAnsi="Calibri" w:cs="Calibri"/>
          <w:sz w:val="22"/>
          <w:szCs w:val="22"/>
          <w:lang w:val="x-none" w:eastAsia="x-none"/>
        </w:rPr>
        <w:t xml:space="preserve">dla wartości niematerialnych i prawnych, których jednostkowa wartość początkowa zawiera się w przedziale kwotowym powyżej </w:t>
      </w:r>
      <w:r w:rsidRPr="00357465">
        <w:rPr>
          <w:rFonts w:ascii="Calibri" w:hAnsi="Calibri" w:cs="Calibri"/>
          <w:sz w:val="22"/>
          <w:szCs w:val="22"/>
          <w:lang w:eastAsia="x-none"/>
        </w:rPr>
        <w:t>10</w:t>
      </w:r>
      <w:r w:rsidRPr="00357465">
        <w:rPr>
          <w:rFonts w:ascii="Calibri" w:hAnsi="Calibri" w:cs="Calibri"/>
          <w:sz w:val="22"/>
          <w:szCs w:val="22"/>
          <w:lang w:val="x-none" w:eastAsia="x-none"/>
        </w:rPr>
        <w:t>.</w:t>
      </w:r>
      <w:r w:rsidRPr="00357465">
        <w:rPr>
          <w:rFonts w:ascii="Calibri" w:hAnsi="Calibri" w:cs="Calibri"/>
          <w:sz w:val="22"/>
          <w:szCs w:val="22"/>
          <w:lang w:eastAsia="x-none"/>
        </w:rPr>
        <w:t>0</w:t>
      </w:r>
      <w:r w:rsidRPr="00357465">
        <w:rPr>
          <w:rFonts w:ascii="Calibri" w:hAnsi="Calibri" w:cs="Calibri"/>
          <w:sz w:val="22"/>
          <w:szCs w:val="22"/>
          <w:lang w:val="x-none" w:eastAsia="x-none"/>
        </w:rPr>
        <w:t>00,00 zł i nie większym niż 100.000,00 zł nabytych na czas:</w:t>
      </w:r>
    </w:p>
    <w:p w14:paraId="2E2F9B2C" w14:textId="77777777" w:rsidR="001D0F9A" w:rsidRPr="00357465" w:rsidRDefault="001D0F9A" w:rsidP="001D0F9A">
      <w:pPr>
        <w:widowControl w:val="0"/>
        <w:numPr>
          <w:ilvl w:val="1"/>
          <w:numId w:val="49"/>
        </w:numPr>
        <w:tabs>
          <w:tab w:val="left" w:pos="814"/>
        </w:tabs>
        <w:ind w:hanging="1247"/>
        <w:jc w:val="both"/>
        <w:rPr>
          <w:rFonts w:ascii="Calibri" w:hAnsi="Calibri" w:cs="Calibri"/>
          <w:sz w:val="22"/>
          <w:szCs w:val="22"/>
          <w:lang w:val="x-none" w:eastAsia="x-none"/>
        </w:rPr>
      </w:pPr>
      <w:r w:rsidRPr="00357465">
        <w:rPr>
          <w:rFonts w:ascii="Calibri" w:hAnsi="Calibri" w:cs="Calibri"/>
          <w:sz w:val="22"/>
          <w:szCs w:val="22"/>
          <w:lang w:val="x-none" w:eastAsia="x-none"/>
        </w:rPr>
        <w:t>nieokreślony,</w:t>
      </w:r>
    </w:p>
    <w:p w14:paraId="7360B0C9" w14:textId="77777777" w:rsidR="001D0F9A" w:rsidRPr="00357465" w:rsidRDefault="001D0F9A" w:rsidP="001D0F9A">
      <w:pPr>
        <w:widowControl w:val="0"/>
        <w:numPr>
          <w:ilvl w:val="1"/>
          <w:numId w:val="49"/>
        </w:numPr>
        <w:tabs>
          <w:tab w:val="left" w:pos="814"/>
        </w:tabs>
        <w:ind w:hanging="1247"/>
        <w:jc w:val="both"/>
        <w:rPr>
          <w:rFonts w:ascii="Calibri" w:hAnsi="Calibri" w:cs="Calibri"/>
          <w:sz w:val="22"/>
          <w:szCs w:val="22"/>
          <w:lang w:val="x-none" w:eastAsia="x-none"/>
        </w:rPr>
      </w:pPr>
      <w:r w:rsidRPr="00357465">
        <w:rPr>
          <w:rFonts w:ascii="Calibri" w:hAnsi="Calibri" w:cs="Calibri"/>
          <w:sz w:val="22"/>
          <w:szCs w:val="22"/>
          <w:lang w:val="x-none" w:eastAsia="x-none"/>
        </w:rPr>
        <w:t>określony: powyżej 1 roku,</w:t>
      </w:r>
    </w:p>
    <w:p w14:paraId="5F6B0C00" w14:textId="77777777" w:rsidR="001D0F9A" w:rsidRPr="00357465" w:rsidRDefault="001D0F9A" w:rsidP="001D0F9A">
      <w:pPr>
        <w:widowControl w:val="0"/>
        <w:numPr>
          <w:ilvl w:val="0"/>
          <w:numId w:val="50"/>
        </w:numPr>
        <w:tabs>
          <w:tab w:val="left" w:pos="993"/>
        </w:tabs>
        <w:ind w:left="993" w:hanging="426"/>
        <w:jc w:val="both"/>
        <w:rPr>
          <w:rFonts w:ascii="Calibri" w:hAnsi="Calibri" w:cs="Calibri"/>
          <w:sz w:val="22"/>
          <w:szCs w:val="22"/>
          <w:lang w:val="x-none" w:eastAsia="x-none"/>
        </w:rPr>
      </w:pPr>
      <w:r w:rsidRPr="00357465">
        <w:rPr>
          <w:rFonts w:ascii="Calibri" w:hAnsi="Calibri" w:cs="Calibri"/>
          <w:sz w:val="22"/>
          <w:szCs w:val="22"/>
          <w:lang w:val="x-none" w:eastAsia="x-none"/>
        </w:rPr>
        <w:t xml:space="preserve">50% </w:t>
      </w:r>
      <w:r w:rsidRPr="00357465">
        <w:rPr>
          <w:rFonts w:ascii="Calibri" w:hAnsi="Calibri" w:cs="Calibri"/>
          <w:sz w:val="22"/>
          <w:szCs w:val="22"/>
          <w:lang w:eastAsia="x-none"/>
        </w:rPr>
        <w:t xml:space="preserve"> </w:t>
      </w:r>
      <w:r w:rsidRPr="00357465">
        <w:rPr>
          <w:rFonts w:ascii="Calibri" w:hAnsi="Calibri" w:cs="Calibri"/>
          <w:sz w:val="22"/>
          <w:szCs w:val="22"/>
          <w:lang w:val="x-none" w:eastAsia="x-none"/>
        </w:rPr>
        <w:t>dla wartości niematerialnych i prawnych, których jednostkowa wartość początkowa jest równa bądź większa 100.000,00 zł nabytych na czas:</w:t>
      </w:r>
    </w:p>
    <w:p w14:paraId="28B834F1" w14:textId="77777777" w:rsidR="001D0F9A" w:rsidRPr="00357465" w:rsidRDefault="001D0F9A" w:rsidP="001D0F9A">
      <w:pPr>
        <w:widowControl w:val="0"/>
        <w:numPr>
          <w:ilvl w:val="1"/>
          <w:numId w:val="49"/>
        </w:numPr>
        <w:tabs>
          <w:tab w:val="left" w:pos="814"/>
        </w:tabs>
        <w:ind w:hanging="1247"/>
        <w:jc w:val="both"/>
        <w:rPr>
          <w:rFonts w:ascii="Calibri" w:hAnsi="Calibri" w:cs="Calibri"/>
          <w:sz w:val="22"/>
          <w:szCs w:val="22"/>
          <w:lang w:val="x-none" w:eastAsia="x-none"/>
        </w:rPr>
      </w:pPr>
      <w:r w:rsidRPr="00357465">
        <w:rPr>
          <w:rFonts w:ascii="Calibri" w:hAnsi="Calibri" w:cs="Calibri"/>
          <w:sz w:val="22"/>
          <w:szCs w:val="22"/>
          <w:lang w:val="x-none" w:eastAsia="x-none"/>
        </w:rPr>
        <w:t>określony: powyżej 1 roku i nie dłużej niż 5 lat.</w:t>
      </w:r>
    </w:p>
    <w:p w14:paraId="01529700" w14:textId="77777777" w:rsidR="001D0F9A" w:rsidRPr="00357465" w:rsidRDefault="001D0F9A" w:rsidP="00315396">
      <w:pPr>
        <w:keepNext/>
        <w:keepLines/>
        <w:widowControl w:val="0"/>
        <w:numPr>
          <w:ilvl w:val="0"/>
          <w:numId w:val="13"/>
        </w:numPr>
        <w:tabs>
          <w:tab w:val="left" w:pos="709"/>
          <w:tab w:val="left" w:pos="1134"/>
        </w:tabs>
        <w:adjustRightInd w:val="0"/>
        <w:spacing w:before="240"/>
        <w:ind w:left="357" w:hanging="215"/>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Środki trwałe</w:t>
      </w:r>
    </w:p>
    <w:p w14:paraId="7B37ABCC" w14:textId="77777777" w:rsidR="001D0F9A" w:rsidRPr="00357465" w:rsidRDefault="001D0F9A" w:rsidP="00315396">
      <w:pPr>
        <w:autoSpaceDE w:val="0"/>
        <w:autoSpaceDN w:val="0"/>
        <w:adjustRightInd w:val="0"/>
        <w:spacing w:before="240"/>
        <w:ind w:left="539"/>
        <w:jc w:val="both"/>
        <w:rPr>
          <w:rFonts w:ascii="Calibri" w:hAnsi="Calibri" w:cs="Calibri"/>
          <w:sz w:val="22"/>
          <w:szCs w:val="22"/>
          <w:lang w:eastAsia="pl-PL"/>
        </w:rPr>
      </w:pPr>
      <w:r w:rsidRPr="00357465">
        <w:rPr>
          <w:rFonts w:ascii="Calibri" w:hAnsi="Calibri" w:cs="Calibri"/>
          <w:sz w:val="22"/>
          <w:szCs w:val="22"/>
          <w:lang w:eastAsia="pl-PL"/>
        </w:rPr>
        <w:t>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 przypadku, gdy w decyzji nie została określona wartość - według ceny sprzedaży takiego samego środka trwałego lub podobnego.</w:t>
      </w:r>
    </w:p>
    <w:p w14:paraId="5B00C4AD" w14:textId="77777777" w:rsidR="001D0F9A" w:rsidRPr="00357465" w:rsidRDefault="001D0F9A" w:rsidP="00315396">
      <w:pPr>
        <w:keepNext/>
        <w:tabs>
          <w:tab w:val="left" w:pos="709"/>
        </w:tabs>
        <w:spacing w:before="240"/>
        <w:ind w:left="567"/>
        <w:jc w:val="both"/>
        <w:outlineLvl w:val="2"/>
        <w:rPr>
          <w:rFonts w:ascii="Calibri" w:hAnsi="Calibri" w:cs="Calibri"/>
          <w:sz w:val="22"/>
          <w:szCs w:val="22"/>
          <w:lang w:val="x-none"/>
        </w:rPr>
      </w:pPr>
      <w:r w:rsidRPr="00357465">
        <w:rPr>
          <w:rFonts w:ascii="Calibri" w:hAnsi="Calibri" w:cs="Calibri"/>
          <w:sz w:val="22"/>
          <w:szCs w:val="22"/>
          <w:lang w:val="x-none"/>
        </w:rPr>
        <w:t xml:space="preserve">Cena nabycia i koszt wytworzenia środków trwałych obejmują również koszt obsługi zobowiązań zaciągniętych i wykorzystanych w celu ich finansowania za okres budowy, montażu i przystosowania. </w:t>
      </w:r>
    </w:p>
    <w:p w14:paraId="7A989BFA" w14:textId="77777777" w:rsidR="001D0F9A" w:rsidRPr="00357465" w:rsidRDefault="001D0F9A" w:rsidP="00315396">
      <w:pPr>
        <w:tabs>
          <w:tab w:val="num" w:pos="567"/>
        </w:tabs>
        <w:spacing w:before="240"/>
        <w:ind w:left="567"/>
        <w:jc w:val="both"/>
        <w:rPr>
          <w:rFonts w:ascii="Calibri" w:hAnsi="Calibri" w:cs="Calibri"/>
          <w:snapToGrid w:val="0"/>
          <w:sz w:val="22"/>
          <w:szCs w:val="22"/>
        </w:rPr>
      </w:pPr>
      <w:r w:rsidRPr="00357465">
        <w:rPr>
          <w:rFonts w:ascii="Calibri" w:hAnsi="Calibri" w:cs="Calibri"/>
          <w:snapToGrid w:val="0"/>
          <w:sz w:val="22"/>
          <w:szCs w:val="22"/>
        </w:rPr>
        <w:t>Cenę nabycia lub koszt wytworzenia środka trwałego powiększają koszty jego ulepszenia.</w:t>
      </w:r>
    </w:p>
    <w:p w14:paraId="094B1D01" w14:textId="77777777" w:rsidR="001D0F9A" w:rsidRPr="00357465" w:rsidRDefault="001D0F9A" w:rsidP="00315396">
      <w:pPr>
        <w:tabs>
          <w:tab w:val="num" w:pos="567"/>
        </w:tabs>
        <w:spacing w:before="240"/>
        <w:ind w:left="567"/>
        <w:jc w:val="both"/>
        <w:rPr>
          <w:rFonts w:ascii="Calibri" w:hAnsi="Calibri" w:cs="Calibri"/>
          <w:snapToGrid w:val="0"/>
          <w:sz w:val="22"/>
          <w:szCs w:val="22"/>
        </w:rPr>
      </w:pPr>
      <w:r w:rsidRPr="00357465">
        <w:rPr>
          <w:rFonts w:ascii="Calibri" w:hAnsi="Calibri" w:cs="Calibri"/>
          <w:snapToGrid w:val="0"/>
          <w:sz w:val="22"/>
          <w:szCs w:val="22"/>
        </w:rPr>
        <w:t>Środki 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14:paraId="3BAFB56C" w14:textId="77777777" w:rsidR="001D0F9A" w:rsidRPr="00357465" w:rsidRDefault="001D0F9A" w:rsidP="000E6BD9">
      <w:pPr>
        <w:autoSpaceDE w:val="0"/>
        <w:autoSpaceDN w:val="0"/>
        <w:spacing w:before="360"/>
        <w:ind w:firstLine="567"/>
        <w:rPr>
          <w:rFonts w:ascii="Calibri" w:hAnsi="Calibri" w:cs="Calibri"/>
          <w:snapToGrid w:val="0"/>
          <w:sz w:val="22"/>
          <w:szCs w:val="22"/>
        </w:rPr>
      </w:pPr>
      <w:r w:rsidRPr="00357465">
        <w:rPr>
          <w:rFonts w:ascii="Calibri" w:hAnsi="Calibri" w:cs="Calibri"/>
          <w:snapToGrid w:val="0"/>
          <w:sz w:val="22"/>
          <w:szCs w:val="22"/>
        </w:rPr>
        <w:t>Podstawowe stawki amortyzacji stosowane przez Dzielnicę:</w:t>
      </w:r>
    </w:p>
    <w:p w14:paraId="64E6E84E" w14:textId="77777777" w:rsidR="001D0F9A" w:rsidRPr="00357465" w:rsidRDefault="001D0F9A" w:rsidP="00315396">
      <w:pPr>
        <w:tabs>
          <w:tab w:val="center" w:pos="7513"/>
          <w:tab w:val="left" w:pos="7938"/>
        </w:tabs>
        <w:autoSpaceDE w:val="0"/>
        <w:autoSpaceDN w:val="0"/>
        <w:spacing w:before="240"/>
        <w:ind w:left="567"/>
        <w:rPr>
          <w:rFonts w:ascii="Calibri" w:hAnsi="Calibri" w:cs="Calibri"/>
          <w:snapToGrid w:val="0"/>
          <w:sz w:val="22"/>
          <w:szCs w:val="22"/>
        </w:rPr>
      </w:pPr>
      <w:r w:rsidRPr="00357465">
        <w:rPr>
          <w:rFonts w:ascii="Calibri" w:hAnsi="Calibri" w:cs="Calibri"/>
          <w:snapToGrid w:val="0"/>
          <w:sz w:val="22"/>
          <w:szCs w:val="22"/>
        </w:rPr>
        <w:t xml:space="preserve">Budynki, lokale i obiekty inżynierii lądowej i wodnej                       </w:t>
      </w:r>
      <w:r w:rsidRPr="00357465">
        <w:rPr>
          <w:rFonts w:ascii="Calibri" w:hAnsi="Calibri" w:cs="Calibri"/>
          <w:snapToGrid w:val="0"/>
          <w:sz w:val="22"/>
          <w:szCs w:val="22"/>
        </w:rPr>
        <w:tab/>
        <w:t>1,5%  ÷   10%</w:t>
      </w:r>
    </w:p>
    <w:p w14:paraId="096AE330" w14:textId="77777777" w:rsidR="001D0F9A" w:rsidRPr="00357465" w:rsidRDefault="001D0F9A" w:rsidP="001D0F9A">
      <w:pPr>
        <w:tabs>
          <w:tab w:val="center" w:pos="7513"/>
          <w:tab w:val="left" w:pos="7938"/>
        </w:tabs>
        <w:autoSpaceDE w:val="0"/>
        <w:autoSpaceDN w:val="0"/>
        <w:ind w:left="567"/>
        <w:rPr>
          <w:rFonts w:ascii="Calibri" w:hAnsi="Calibri" w:cs="Calibri"/>
          <w:snapToGrid w:val="0"/>
          <w:sz w:val="22"/>
          <w:szCs w:val="22"/>
        </w:rPr>
      </w:pPr>
      <w:r w:rsidRPr="00357465">
        <w:rPr>
          <w:rFonts w:ascii="Calibri" w:hAnsi="Calibri" w:cs="Calibri"/>
          <w:snapToGrid w:val="0"/>
          <w:sz w:val="22"/>
          <w:szCs w:val="22"/>
        </w:rPr>
        <w:t xml:space="preserve">Urządzenia techniczne i maszyny </w:t>
      </w:r>
      <w:r w:rsidRPr="00357465">
        <w:rPr>
          <w:rFonts w:ascii="Calibri" w:hAnsi="Calibri" w:cs="Calibri"/>
          <w:snapToGrid w:val="0"/>
          <w:sz w:val="22"/>
          <w:szCs w:val="22"/>
        </w:rPr>
        <w:tab/>
        <w:t>4,5%  ÷   30%</w:t>
      </w:r>
    </w:p>
    <w:p w14:paraId="649A5CA9" w14:textId="77777777" w:rsidR="001D0F9A" w:rsidRPr="00357465" w:rsidRDefault="001D0F9A" w:rsidP="001D0F9A">
      <w:pPr>
        <w:tabs>
          <w:tab w:val="center" w:pos="7513"/>
          <w:tab w:val="left" w:pos="7938"/>
        </w:tabs>
        <w:autoSpaceDE w:val="0"/>
        <w:autoSpaceDN w:val="0"/>
        <w:ind w:left="567"/>
        <w:rPr>
          <w:rFonts w:ascii="Calibri" w:hAnsi="Calibri" w:cs="Calibri"/>
          <w:snapToGrid w:val="0"/>
          <w:sz w:val="22"/>
          <w:szCs w:val="22"/>
        </w:rPr>
      </w:pPr>
      <w:r w:rsidRPr="00357465">
        <w:rPr>
          <w:rFonts w:ascii="Calibri" w:hAnsi="Calibri" w:cs="Calibri"/>
          <w:snapToGrid w:val="0"/>
          <w:sz w:val="22"/>
          <w:szCs w:val="22"/>
        </w:rPr>
        <w:t xml:space="preserve">Środki transportu </w:t>
      </w:r>
      <w:r w:rsidRPr="00357465">
        <w:rPr>
          <w:rFonts w:ascii="Calibri" w:hAnsi="Calibri" w:cs="Calibri"/>
          <w:snapToGrid w:val="0"/>
          <w:sz w:val="22"/>
          <w:szCs w:val="22"/>
        </w:rPr>
        <w:tab/>
        <w:t xml:space="preserve">   7%  ÷   20%</w:t>
      </w:r>
    </w:p>
    <w:p w14:paraId="10E1B064" w14:textId="77777777" w:rsidR="001D0F9A" w:rsidRPr="00357465" w:rsidRDefault="001D0F9A" w:rsidP="001D0F9A">
      <w:pPr>
        <w:tabs>
          <w:tab w:val="center" w:pos="7513"/>
          <w:tab w:val="left" w:pos="7938"/>
        </w:tabs>
        <w:autoSpaceDE w:val="0"/>
        <w:autoSpaceDN w:val="0"/>
        <w:ind w:left="567"/>
        <w:rPr>
          <w:rFonts w:ascii="Calibri" w:hAnsi="Calibri" w:cs="Calibri"/>
          <w:snapToGrid w:val="0"/>
          <w:sz w:val="22"/>
          <w:szCs w:val="22"/>
        </w:rPr>
      </w:pPr>
      <w:r w:rsidRPr="00357465">
        <w:rPr>
          <w:rFonts w:ascii="Calibri" w:hAnsi="Calibri" w:cs="Calibri"/>
          <w:snapToGrid w:val="0"/>
          <w:sz w:val="22"/>
          <w:szCs w:val="22"/>
        </w:rPr>
        <w:lastRenderedPageBreak/>
        <w:t xml:space="preserve">Inne środki trwałe </w:t>
      </w:r>
      <w:r w:rsidRPr="00357465">
        <w:rPr>
          <w:rFonts w:ascii="Calibri" w:hAnsi="Calibri" w:cs="Calibri"/>
          <w:snapToGrid w:val="0"/>
          <w:sz w:val="22"/>
          <w:szCs w:val="22"/>
        </w:rPr>
        <w:tab/>
        <w:t xml:space="preserve"> 10%  ÷   20%</w:t>
      </w:r>
    </w:p>
    <w:p w14:paraId="3D389C82" w14:textId="77777777" w:rsidR="001D0F9A" w:rsidRPr="00357465" w:rsidRDefault="001D0F9A" w:rsidP="001D0F9A">
      <w:pPr>
        <w:tabs>
          <w:tab w:val="center" w:pos="7629"/>
          <w:tab w:val="left" w:pos="7657"/>
        </w:tabs>
        <w:autoSpaceDE w:val="0"/>
        <w:autoSpaceDN w:val="0"/>
        <w:ind w:left="567"/>
        <w:rPr>
          <w:rFonts w:ascii="Calibri" w:hAnsi="Calibri" w:cs="Calibri"/>
          <w:snapToGrid w:val="0"/>
          <w:sz w:val="22"/>
          <w:szCs w:val="22"/>
        </w:rPr>
      </w:pPr>
      <w:r w:rsidRPr="00357465">
        <w:rPr>
          <w:rFonts w:ascii="Calibri" w:hAnsi="Calibri" w:cs="Calibri"/>
          <w:snapToGrid w:val="0"/>
          <w:sz w:val="22"/>
          <w:szCs w:val="22"/>
        </w:rPr>
        <w:t xml:space="preserve">Prawo wieczystego użytkowania gruntu </w:t>
      </w:r>
      <w:r w:rsidRPr="00357465">
        <w:rPr>
          <w:rFonts w:ascii="Calibri" w:hAnsi="Calibri" w:cs="Calibri"/>
          <w:snapToGrid w:val="0"/>
          <w:sz w:val="22"/>
          <w:szCs w:val="22"/>
        </w:rPr>
        <w:tab/>
        <w:t xml:space="preserve">           2,5%</w:t>
      </w:r>
    </w:p>
    <w:p w14:paraId="01DCE86E" w14:textId="77777777" w:rsidR="001D0F9A" w:rsidRPr="00357465" w:rsidRDefault="001D0F9A" w:rsidP="00BD3E81">
      <w:pPr>
        <w:autoSpaceDE w:val="0"/>
        <w:autoSpaceDN w:val="0"/>
        <w:spacing w:before="240"/>
        <w:ind w:left="567"/>
        <w:rPr>
          <w:rFonts w:ascii="Calibri" w:hAnsi="Calibri" w:cs="Calibri"/>
          <w:snapToGrid w:val="0"/>
          <w:sz w:val="22"/>
          <w:szCs w:val="22"/>
        </w:rPr>
      </w:pPr>
      <w:r w:rsidRPr="00357465">
        <w:rPr>
          <w:rFonts w:ascii="Calibri" w:hAnsi="Calibri" w:cs="Calibri"/>
          <w:snapToGrid w:val="0"/>
          <w:sz w:val="22"/>
          <w:szCs w:val="22"/>
        </w:rPr>
        <w:t>Środki trwałe o niskiej jednostkowej wartości początkowej, tj. do 10.000 złotych,  umarza się jednorazowo w miesiącu przekazania ich do użytkowania.</w:t>
      </w:r>
    </w:p>
    <w:p w14:paraId="1A93C5D6" w14:textId="77777777" w:rsidR="001D0F9A" w:rsidRPr="00357465" w:rsidRDefault="001D0F9A" w:rsidP="000E6BD9">
      <w:pPr>
        <w:keepNext/>
        <w:keepLines/>
        <w:widowControl w:val="0"/>
        <w:numPr>
          <w:ilvl w:val="0"/>
          <w:numId w:val="13"/>
        </w:numPr>
        <w:tabs>
          <w:tab w:val="left" w:pos="709"/>
          <w:tab w:val="left" w:pos="1134"/>
        </w:tabs>
        <w:adjustRightInd w:val="0"/>
        <w:spacing w:before="48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Środki trwałe w budowie</w:t>
      </w:r>
    </w:p>
    <w:p w14:paraId="321974F1" w14:textId="77777777" w:rsidR="001D0F9A" w:rsidRPr="00357465" w:rsidRDefault="001D0F9A" w:rsidP="001D0F9A">
      <w:pPr>
        <w:rPr>
          <w:rFonts w:ascii="Calibri" w:hAnsi="Calibri" w:cs="Calibri"/>
          <w:sz w:val="22"/>
          <w:szCs w:val="22"/>
        </w:rPr>
      </w:pPr>
    </w:p>
    <w:p w14:paraId="15A7FEFF" w14:textId="77777777" w:rsidR="001D0F9A" w:rsidRPr="00357465" w:rsidRDefault="001D0F9A" w:rsidP="001D0F9A">
      <w:pPr>
        <w:tabs>
          <w:tab w:val="left" w:pos="567"/>
        </w:tabs>
        <w:autoSpaceDE w:val="0"/>
        <w:autoSpaceDN w:val="0"/>
        <w:ind w:left="567"/>
        <w:jc w:val="both"/>
        <w:rPr>
          <w:rFonts w:ascii="Calibri" w:hAnsi="Calibri" w:cs="Calibri"/>
          <w:sz w:val="22"/>
          <w:szCs w:val="22"/>
        </w:rPr>
      </w:pPr>
      <w:r w:rsidRPr="00357465">
        <w:rPr>
          <w:rFonts w:ascii="Calibri" w:hAnsi="Calibri" w:cs="Calibri"/>
          <w:sz w:val="22"/>
          <w:szCs w:val="22"/>
        </w:rPr>
        <w:t>Środki trwałe w budowie są wyceniane wg kosztów związanych bezpośrednio z nabyciem lub wytworzeniem danego środka trwałego.</w:t>
      </w:r>
    </w:p>
    <w:p w14:paraId="14681DD5" w14:textId="77777777" w:rsidR="001D0F9A" w:rsidRPr="00357465" w:rsidRDefault="001D0F9A" w:rsidP="004A1B99">
      <w:pPr>
        <w:tabs>
          <w:tab w:val="left" w:pos="567"/>
        </w:tabs>
        <w:autoSpaceDE w:val="0"/>
        <w:autoSpaceDN w:val="0"/>
        <w:spacing w:before="240"/>
        <w:ind w:left="567"/>
        <w:jc w:val="both"/>
        <w:rPr>
          <w:rFonts w:ascii="Calibri" w:hAnsi="Calibri" w:cs="Calibri"/>
          <w:sz w:val="22"/>
          <w:szCs w:val="22"/>
        </w:rPr>
      </w:pPr>
      <w:r w:rsidRPr="00357465">
        <w:rPr>
          <w:rFonts w:ascii="Calibri" w:hAnsi="Calibri" w:cs="Calibri"/>
          <w:sz w:val="22"/>
          <w:szCs w:val="22"/>
        </w:rPr>
        <w:t xml:space="preserve">Cena nabycia i koszt wytworzenia środków trwałych w budowie obejmują również koszt obsługi zobowiązań zaciągniętych i wykorzystanych w celu ich finansowania za okres budowy, montażu i przystosowania. </w:t>
      </w:r>
    </w:p>
    <w:p w14:paraId="794D27B4" w14:textId="77777777" w:rsidR="001D0F9A" w:rsidRPr="00357465" w:rsidRDefault="001D0F9A" w:rsidP="001D0F9A">
      <w:pPr>
        <w:tabs>
          <w:tab w:val="left" w:pos="567"/>
        </w:tabs>
        <w:autoSpaceDE w:val="0"/>
        <w:autoSpaceDN w:val="0"/>
        <w:ind w:left="567"/>
        <w:jc w:val="both"/>
        <w:rPr>
          <w:rFonts w:ascii="Calibri" w:hAnsi="Calibri" w:cs="Calibri"/>
          <w:sz w:val="22"/>
          <w:szCs w:val="22"/>
        </w:rPr>
      </w:pPr>
      <w:r w:rsidRPr="00357465">
        <w:rPr>
          <w:rFonts w:ascii="Calibri" w:hAnsi="Calibri" w:cs="Calibri"/>
          <w:sz w:val="22"/>
          <w:szCs w:val="22"/>
        </w:rPr>
        <w:t>Środki trwałe w budowie nie są amortyzowane do momentu zakończenia budowy i oddania do użytkowania.</w:t>
      </w:r>
    </w:p>
    <w:p w14:paraId="12BA7A7A" w14:textId="77777777" w:rsidR="001D0F9A" w:rsidRPr="00357465" w:rsidRDefault="001D0F9A" w:rsidP="004A1B99">
      <w:pPr>
        <w:keepNext/>
        <w:keepLines/>
        <w:widowControl w:val="0"/>
        <w:numPr>
          <w:ilvl w:val="0"/>
          <w:numId w:val="13"/>
        </w:numPr>
        <w:tabs>
          <w:tab w:val="left" w:pos="709"/>
          <w:tab w:val="left" w:pos="1134"/>
        </w:tabs>
        <w:adjustRightInd w:val="0"/>
        <w:spacing w:before="48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Dobra kultury</w:t>
      </w:r>
    </w:p>
    <w:p w14:paraId="741C28EF" w14:textId="77777777" w:rsidR="001D0F9A" w:rsidRPr="00357465" w:rsidRDefault="001D0F9A" w:rsidP="004A1B99">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 xml:space="preserve">Dobra kultury to przedmioty ruchome lub nieruchome, dawne lub współczesne, mające znaczenie dla dziedzictwa i rozwoju kulturalnego ze względu na ich wartość historyczną, naukową lub artystyczną. </w:t>
      </w:r>
    </w:p>
    <w:p w14:paraId="775B5C52" w14:textId="77777777" w:rsidR="001D0F9A" w:rsidRPr="00357465" w:rsidRDefault="001D0F9A" w:rsidP="001D0F9A">
      <w:pPr>
        <w:autoSpaceDE w:val="0"/>
        <w:autoSpaceDN w:val="0"/>
        <w:ind w:left="567"/>
        <w:jc w:val="both"/>
        <w:rPr>
          <w:rFonts w:ascii="Calibri" w:hAnsi="Calibri" w:cs="Calibri"/>
          <w:sz w:val="22"/>
          <w:szCs w:val="22"/>
        </w:rPr>
      </w:pPr>
      <w:r w:rsidRPr="00357465">
        <w:rPr>
          <w:rFonts w:ascii="Calibri" w:hAnsi="Calibri" w:cs="Calibri"/>
          <w:sz w:val="22"/>
          <w:szCs w:val="22"/>
        </w:rPr>
        <w:t>Dobra kultury nie podlegają umorzeniu.</w:t>
      </w:r>
    </w:p>
    <w:p w14:paraId="009DB182" w14:textId="77777777" w:rsidR="001D0F9A" w:rsidRPr="00357465" w:rsidRDefault="001D0F9A" w:rsidP="004A1B99">
      <w:pPr>
        <w:keepNext/>
        <w:keepLines/>
        <w:widowControl w:val="0"/>
        <w:numPr>
          <w:ilvl w:val="0"/>
          <w:numId w:val="13"/>
        </w:numPr>
        <w:tabs>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Należności  krótko- i długoterminowe</w:t>
      </w:r>
    </w:p>
    <w:p w14:paraId="34518CBE" w14:textId="77777777" w:rsidR="001D0F9A" w:rsidRPr="00357465" w:rsidRDefault="001D0F9A" w:rsidP="004A1B99">
      <w:pPr>
        <w:keepLines/>
        <w:spacing w:before="240"/>
        <w:ind w:left="567"/>
        <w:jc w:val="both"/>
        <w:rPr>
          <w:rFonts w:ascii="Calibri" w:hAnsi="Calibri" w:cs="Calibri"/>
          <w:color w:val="000000"/>
          <w:sz w:val="22"/>
          <w:szCs w:val="22"/>
        </w:rPr>
      </w:pPr>
      <w:r w:rsidRPr="00357465">
        <w:rPr>
          <w:rFonts w:ascii="Calibri" w:hAnsi="Calibri" w:cs="Calibri"/>
          <w:color w:val="000000"/>
          <w:sz w:val="22"/>
          <w:szCs w:val="22"/>
        </w:rPr>
        <w:t>Należności wycenia się w kwocie wymaganej zapłaty, z zachowaniem zasady ostrożnej wyceny i wykazuje w wartości netto (po pomniejszeniu o odpisy aktualizujące).</w:t>
      </w:r>
    </w:p>
    <w:p w14:paraId="37913768" w14:textId="77777777" w:rsidR="001D0F9A" w:rsidRPr="00357465" w:rsidRDefault="001D0F9A" w:rsidP="001D0F9A">
      <w:pPr>
        <w:keepLines/>
        <w:ind w:left="567"/>
        <w:jc w:val="both"/>
        <w:rPr>
          <w:rFonts w:ascii="Calibri" w:hAnsi="Calibri" w:cs="Calibri"/>
          <w:color w:val="000000"/>
          <w:sz w:val="22"/>
          <w:szCs w:val="22"/>
        </w:rPr>
      </w:pPr>
      <w:r w:rsidRPr="00357465">
        <w:rPr>
          <w:rFonts w:ascii="Calibri" w:hAnsi="Calibri" w:cs="Calibri"/>
          <w:color w:val="000000"/>
          <w:sz w:val="22"/>
          <w:szCs w:val="22"/>
        </w:rPr>
        <w:t xml:space="preserve">Wartość należności podlega aktualizacji wyceny przy uwzględnieniu stopnia prawdopodobieństwa zapłaty poprzez dokonanie odpisu aktualizującego. </w:t>
      </w:r>
    </w:p>
    <w:p w14:paraId="59075736" w14:textId="77777777" w:rsidR="001D0F9A" w:rsidRPr="00357465" w:rsidRDefault="001D0F9A" w:rsidP="001D0F9A">
      <w:pPr>
        <w:autoSpaceDE w:val="0"/>
        <w:autoSpaceDN w:val="0"/>
        <w:ind w:left="567"/>
        <w:jc w:val="both"/>
        <w:rPr>
          <w:rFonts w:ascii="Calibri" w:hAnsi="Calibri" w:cs="Calibri"/>
          <w:sz w:val="22"/>
          <w:szCs w:val="22"/>
        </w:rPr>
      </w:pPr>
      <w:r w:rsidRPr="00357465">
        <w:rPr>
          <w:rFonts w:ascii="Calibri" w:hAnsi="Calibri" w:cs="Calibri"/>
          <w:sz w:val="22"/>
          <w:szCs w:val="22"/>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 208 poz. 1375), dla których dokonuje się jako pomniejszenie przychodów z tytułu dochodów budżetowych.</w:t>
      </w:r>
    </w:p>
    <w:p w14:paraId="09A9A8EF" w14:textId="77777777" w:rsidR="001D0F9A" w:rsidRPr="00357465" w:rsidRDefault="001D0F9A" w:rsidP="001D0F9A">
      <w:pPr>
        <w:keepLines/>
        <w:tabs>
          <w:tab w:val="left" w:pos="567"/>
          <w:tab w:val="left" w:pos="1134"/>
        </w:tabs>
        <w:ind w:left="567"/>
        <w:jc w:val="both"/>
        <w:rPr>
          <w:rFonts w:ascii="Calibri" w:hAnsi="Calibri" w:cs="Calibri"/>
          <w:color w:val="000000"/>
          <w:sz w:val="22"/>
          <w:szCs w:val="22"/>
        </w:rPr>
      </w:pPr>
      <w:r w:rsidRPr="00357465">
        <w:rPr>
          <w:rFonts w:ascii="Calibri" w:hAnsi="Calibri" w:cs="Calibri"/>
          <w:color w:val="000000"/>
          <w:sz w:val="22"/>
          <w:szCs w:val="22"/>
        </w:rPr>
        <w:lastRenderedPageBreak/>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 </w:t>
      </w:r>
    </w:p>
    <w:p w14:paraId="5D766430" w14:textId="77777777" w:rsidR="001D0F9A" w:rsidRPr="00357465" w:rsidRDefault="001D0F9A" w:rsidP="008B6EEB">
      <w:pPr>
        <w:keepNext/>
        <w:keepLines/>
        <w:widowControl w:val="0"/>
        <w:numPr>
          <w:ilvl w:val="0"/>
          <w:numId w:val="13"/>
        </w:numPr>
        <w:tabs>
          <w:tab w:val="left" w:pos="709"/>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Środki pieniężne</w:t>
      </w:r>
    </w:p>
    <w:p w14:paraId="5322BD6F" w14:textId="77777777" w:rsidR="001D0F9A" w:rsidRPr="00357465" w:rsidRDefault="001D0F9A" w:rsidP="008B6EEB">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Środki pieniężne w banku i w kasie wyceniane są według wartości nominalnej.</w:t>
      </w:r>
    </w:p>
    <w:p w14:paraId="47170A5D" w14:textId="77777777" w:rsidR="001D0F9A" w:rsidRPr="00357465" w:rsidRDefault="001D0F9A" w:rsidP="008B6EEB">
      <w:pPr>
        <w:keepNext/>
        <w:keepLines/>
        <w:widowControl w:val="0"/>
        <w:numPr>
          <w:ilvl w:val="0"/>
          <w:numId w:val="13"/>
        </w:numPr>
        <w:tabs>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Rozliczenia międzyokresowe kosztów</w:t>
      </w:r>
    </w:p>
    <w:p w14:paraId="39C3CD0D" w14:textId="77777777" w:rsidR="001D0F9A" w:rsidRPr="00357465" w:rsidRDefault="001D0F9A" w:rsidP="008B6EEB">
      <w:pPr>
        <w:keepNext/>
        <w:keepLines/>
        <w:autoSpaceDE w:val="0"/>
        <w:autoSpaceDN w:val="0"/>
        <w:spacing w:before="240"/>
        <w:ind w:left="567"/>
        <w:jc w:val="both"/>
        <w:rPr>
          <w:rFonts w:ascii="Calibri" w:hAnsi="Calibri" w:cs="Calibri"/>
          <w:color w:val="000000"/>
          <w:sz w:val="22"/>
          <w:szCs w:val="22"/>
        </w:rPr>
      </w:pPr>
      <w:r w:rsidRPr="00357465">
        <w:rPr>
          <w:rFonts w:ascii="Calibri" w:hAnsi="Calibri" w:cs="Calibri"/>
          <w:color w:val="000000"/>
          <w:sz w:val="22"/>
          <w:szCs w:val="22"/>
        </w:rPr>
        <w:t xml:space="preserve">Czynne rozliczenia międzyokresowe kosztów obejmują poniesione koszty przyszłych okresów sprawozdawczych. </w:t>
      </w:r>
    </w:p>
    <w:p w14:paraId="08800B32" w14:textId="0C518AC8" w:rsidR="001D0F9A" w:rsidRPr="00BD3E81" w:rsidRDefault="001D0F9A" w:rsidP="008B6EEB">
      <w:pPr>
        <w:keepNext/>
        <w:keepLines/>
        <w:widowControl w:val="0"/>
        <w:numPr>
          <w:ilvl w:val="0"/>
          <w:numId w:val="13"/>
        </w:numPr>
        <w:tabs>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BD3E81">
        <w:rPr>
          <w:rFonts w:ascii="Calibri" w:hAnsi="Calibri" w:cs="Calibri"/>
          <w:b/>
          <w:color w:val="000000"/>
          <w:sz w:val="22"/>
          <w:szCs w:val="22"/>
          <w:lang w:val="x-none"/>
        </w:rPr>
        <w:t>Fundusz jednostki</w:t>
      </w:r>
    </w:p>
    <w:p w14:paraId="333A34B0" w14:textId="77777777" w:rsidR="001D0F9A" w:rsidRPr="00357465" w:rsidRDefault="001D0F9A" w:rsidP="00BD3E81">
      <w:pPr>
        <w:keepNext/>
        <w:spacing w:after="240"/>
        <w:ind w:left="567"/>
        <w:jc w:val="both"/>
        <w:outlineLvl w:val="4"/>
        <w:rPr>
          <w:rFonts w:ascii="Calibri" w:hAnsi="Calibri" w:cs="Calibri"/>
          <w:sz w:val="22"/>
          <w:szCs w:val="22"/>
        </w:rPr>
      </w:pPr>
      <w:r w:rsidRPr="00357465">
        <w:rPr>
          <w:rFonts w:ascii="Calibri" w:hAnsi="Calibri" w:cs="Calibri"/>
          <w:sz w:val="22"/>
          <w:szCs w:val="22"/>
        </w:rPr>
        <w:t xml:space="preserve">Fundusz Urzędu stanowi równowartość aktywów trwałych i obrotowych pomniejszonych </w:t>
      </w:r>
      <w:r w:rsidRPr="00357465">
        <w:rPr>
          <w:rFonts w:ascii="Calibri" w:hAnsi="Calibri" w:cs="Calibri"/>
          <w:sz w:val="22"/>
          <w:szCs w:val="22"/>
        </w:rPr>
        <w:br/>
        <w:t>o zobowiązania.</w:t>
      </w:r>
    </w:p>
    <w:p w14:paraId="45A427BC" w14:textId="77777777" w:rsidR="001D0F9A" w:rsidRPr="00357465" w:rsidRDefault="001D0F9A" w:rsidP="001D0F9A">
      <w:pPr>
        <w:autoSpaceDE w:val="0"/>
        <w:autoSpaceDN w:val="0"/>
        <w:ind w:left="567"/>
        <w:rPr>
          <w:rFonts w:ascii="Calibri" w:hAnsi="Calibri" w:cs="Calibri"/>
          <w:sz w:val="22"/>
          <w:szCs w:val="22"/>
        </w:rPr>
      </w:pPr>
      <w:r w:rsidRPr="00357465">
        <w:rPr>
          <w:rFonts w:ascii="Calibri" w:hAnsi="Calibri" w:cs="Calibri"/>
          <w:sz w:val="22"/>
          <w:szCs w:val="22"/>
        </w:rPr>
        <w:t>Na zwiększenie funduszu wpływają m.in.:</w:t>
      </w:r>
    </w:p>
    <w:p w14:paraId="459539C1"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dodatnie wyniki finansowe roku obrotowego (zyski bilansowe), zrealizowane wydatki budżetowe za rok obrotowy, korekty wyniku lat ubiegłych, wartość otrzymanych nieodpłatnie składników majątku obrotowego od jednostek budżetowych,  samorządowych zakładów budżetowych oraz innych jednostek,</w:t>
      </w:r>
    </w:p>
    <w:p w14:paraId="08D56E85"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wartość otrzymanych nieodpłatnie środków trwałych i inwestycji (środków trwałych w budowie), zwiększenie dotychczasowej wartości brutto środków trwałych na skutek zarządzonej aktualizacji,</w:t>
      </w:r>
    </w:p>
    <w:p w14:paraId="7EFD89C7" w14:textId="77777777" w:rsidR="001D0F9A" w:rsidRPr="00357465" w:rsidRDefault="001D0F9A" w:rsidP="001D0F9A">
      <w:pPr>
        <w:widowControl w:val="0"/>
        <w:numPr>
          <w:ilvl w:val="0"/>
          <w:numId w:val="8"/>
        </w:numPr>
        <w:tabs>
          <w:tab w:val="num" w:pos="540"/>
          <w:tab w:val="num" w:pos="1100"/>
        </w:tabs>
        <w:autoSpaceDE w:val="0"/>
        <w:autoSpaceDN w:val="0"/>
        <w:adjustRightInd w:val="0"/>
        <w:ind w:left="1701" w:hanging="1101"/>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środki budżetowe wykorzystane na inwestycje.</w:t>
      </w:r>
    </w:p>
    <w:p w14:paraId="6E0740C7" w14:textId="77777777" w:rsidR="001D0F9A" w:rsidRPr="00357465" w:rsidRDefault="001D0F9A" w:rsidP="008B6EEB">
      <w:pPr>
        <w:autoSpaceDE w:val="0"/>
        <w:autoSpaceDN w:val="0"/>
        <w:spacing w:before="240"/>
        <w:ind w:left="567"/>
        <w:rPr>
          <w:rFonts w:ascii="Calibri" w:hAnsi="Calibri" w:cs="Calibri"/>
          <w:sz w:val="22"/>
          <w:szCs w:val="22"/>
        </w:rPr>
      </w:pPr>
      <w:r w:rsidRPr="00357465">
        <w:rPr>
          <w:rFonts w:ascii="Calibri" w:hAnsi="Calibri" w:cs="Calibri"/>
          <w:sz w:val="22"/>
          <w:szCs w:val="22"/>
        </w:rPr>
        <w:t>Na zmniejszenie funduszu wpływają m.in.:</w:t>
      </w:r>
    </w:p>
    <w:p w14:paraId="274D1485"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ujemny wynik finansowy roku obrotowego (straty bilansowe),</w:t>
      </w:r>
    </w:p>
    <w:p w14:paraId="53190077"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zrealizowane dochody budżetowe za rok obrotowy,</w:t>
      </w:r>
    </w:p>
    <w:p w14:paraId="0133C062"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nieumorzona wartość rozchodowanych środków trwałych na skutek zużycia, przekazania nieodpłatnego lub sprzedaży, koszty dotyczące sprzedanych lub przekazanych nieodpłatnie inwestycji (środków trwałych w budowie),</w:t>
      </w:r>
    </w:p>
    <w:p w14:paraId="39681956"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 xml:space="preserve">wartość składników majątku obrotowego przekazanego nieodpłatnie jednostkom budżetowym </w:t>
      </w:r>
      <w:r w:rsidRPr="00357465">
        <w:rPr>
          <w:rFonts w:ascii="Calibri" w:hAnsi="Calibri" w:cs="Calibri"/>
          <w:snapToGrid w:val="0"/>
          <w:color w:val="000000"/>
          <w:sz w:val="22"/>
          <w:szCs w:val="22"/>
        </w:rPr>
        <w:br/>
        <w:t xml:space="preserve">lub innym jednostkom na podstawie decyzji kompetentnych władz lub obowiązujących przepisów, </w:t>
      </w:r>
    </w:p>
    <w:p w14:paraId="69A0D8C0"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dotacje z budżetu i środki budżetowe wykorzystane na inwestycje,</w:t>
      </w:r>
    </w:p>
    <w:p w14:paraId="5AA82141" w14:textId="77777777" w:rsidR="001D0F9A" w:rsidRPr="00357465" w:rsidRDefault="001D0F9A" w:rsidP="001D0F9A">
      <w:pPr>
        <w:widowControl w:val="0"/>
        <w:numPr>
          <w:ilvl w:val="0"/>
          <w:numId w:val="8"/>
        </w:numPr>
        <w:tabs>
          <w:tab w:val="num" w:pos="1100"/>
        </w:tabs>
        <w:autoSpaceDE w:val="0"/>
        <w:autoSpaceDN w:val="0"/>
        <w:adjustRightInd w:val="0"/>
        <w:ind w:left="1100" w:hanging="500"/>
        <w:jc w:val="both"/>
        <w:textAlignment w:val="baseline"/>
        <w:rPr>
          <w:rFonts w:ascii="Calibri" w:hAnsi="Calibri" w:cs="Calibri"/>
          <w:snapToGrid w:val="0"/>
          <w:color w:val="000000"/>
          <w:sz w:val="22"/>
          <w:szCs w:val="22"/>
        </w:rPr>
      </w:pPr>
      <w:r w:rsidRPr="00357465">
        <w:rPr>
          <w:rFonts w:ascii="Calibri" w:hAnsi="Calibri" w:cs="Calibri"/>
          <w:snapToGrid w:val="0"/>
          <w:color w:val="000000"/>
          <w:sz w:val="22"/>
          <w:szCs w:val="22"/>
        </w:rPr>
        <w:t>wartość dotacji przekazanych z budżetu w części uznanej za wykorzystane lub rozliczone,</w:t>
      </w:r>
    </w:p>
    <w:p w14:paraId="1CCD13DC" w14:textId="77777777" w:rsidR="001D0F9A" w:rsidRPr="00357465" w:rsidRDefault="001D0F9A" w:rsidP="008B6EEB">
      <w:pPr>
        <w:keepNext/>
        <w:keepLines/>
        <w:widowControl w:val="0"/>
        <w:numPr>
          <w:ilvl w:val="0"/>
          <w:numId w:val="13"/>
        </w:numPr>
        <w:tabs>
          <w:tab w:val="left" w:pos="709"/>
          <w:tab w:val="left" w:pos="1148"/>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lastRenderedPageBreak/>
        <w:t>Rezerwy</w:t>
      </w:r>
    </w:p>
    <w:p w14:paraId="74033A82" w14:textId="77777777" w:rsidR="001D0F9A" w:rsidRPr="00357465" w:rsidRDefault="001D0F9A" w:rsidP="008B6EEB">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Rezerwy są tworzone, jeśli na Urzędzie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14:paraId="03A99EB1" w14:textId="77777777" w:rsidR="001D0F9A" w:rsidRPr="00357465" w:rsidRDefault="001D0F9A" w:rsidP="008B6EEB">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Urząd tworzy rezerwy m.in.:</w:t>
      </w:r>
    </w:p>
    <w:p w14:paraId="4893715E" w14:textId="77777777" w:rsidR="001D0F9A" w:rsidRPr="00357465" w:rsidRDefault="001D0F9A" w:rsidP="008B6EEB">
      <w:pPr>
        <w:widowControl w:val="0"/>
        <w:numPr>
          <w:ilvl w:val="0"/>
          <w:numId w:val="4"/>
        </w:numPr>
        <w:tabs>
          <w:tab w:val="num" w:pos="1134"/>
        </w:tabs>
        <w:autoSpaceDE w:val="0"/>
        <w:autoSpaceDN w:val="0"/>
        <w:adjustRightInd w:val="0"/>
        <w:spacing w:before="240"/>
        <w:ind w:left="1134" w:hanging="533"/>
        <w:jc w:val="both"/>
        <w:textAlignment w:val="baseline"/>
        <w:rPr>
          <w:rFonts w:ascii="Calibri" w:hAnsi="Calibri" w:cs="Calibri"/>
          <w:sz w:val="22"/>
          <w:szCs w:val="22"/>
        </w:rPr>
      </w:pPr>
      <w:r w:rsidRPr="00357465">
        <w:rPr>
          <w:rFonts w:ascii="Calibri" w:hAnsi="Calibri" w:cs="Calibri"/>
          <w:sz w:val="22"/>
          <w:szCs w:val="22"/>
        </w:rPr>
        <w:t>na sprawy sądowe, których prawdopodobieństwo wyroku niekorzystnego dla jednostki jest większe niż prawdopodobieństwo wyroku korzystnego;</w:t>
      </w:r>
    </w:p>
    <w:p w14:paraId="5B70FEDC"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t>na odszkodowania z tytułów: wywłaszczenia nieruchomości, zajęcia pasa pod drogi, bezumownego korzystania z nieruchomości oraz uchwalenia planu miejscowego zagospodarowania przestrzennego.</w:t>
      </w:r>
    </w:p>
    <w:p w14:paraId="18EE245A" w14:textId="77777777" w:rsidR="001D0F9A" w:rsidRPr="00357465" w:rsidRDefault="001D0F9A" w:rsidP="001D0F9A">
      <w:pPr>
        <w:autoSpaceDE w:val="0"/>
        <w:autoSpaceDN w:val="0"/>
        <w:ind w:left="567"/>
        <w:jc w:val="both"/>
        <w:rPr>
          <w:rFonts w:ascii="Calibri" w:hAnsi="Calibri" w:cs="Calibri"/>
          <w:sz w:val="22"/>
          <w:szCs w:val="22"/>
        </w:rPr>
      </w:pPr>
      <w:r w:rsidRPr="00357465">
        <w:rPr>
          <w:rFonts w:ascii="Calibri" w:hAnsi="Calibri" w:cs="Calibri"/>
          <w:sz w:val="22"/>
          <w:szCs w:val="22"/>
        </w:rPr>
        <w:t xml:space="preserve">W sprawach sądowych oceny prawdopodobieństwa niekorzystnego wyroku dla </w:t>
      </w:r>
      <w:proofErr w:type="spellStart"/>
      <w:r w:rsidRPr="00357465">
        <w:rPr>
          <w:rFonts w:ascii="Calibri" w:hAnsi="Calibri" w:cs="Calibri"/>
          <w:sz w:val="22"/>
          <w:szCs w:val="22"/>
        </w:rPr>
        <w:t>Urzedu</w:t>
      </w:r>
      <w:proofErr w:type="spellEnd"/>
      <w:r w:rsidRPr="00357465">
        <w:rPr>
          <w:rFonts w:ascii="Calibri" w:hAnsi="Calibri" w:cs="Calibri"/>
          <w:sz w:val="22"/>
          <w:szCs w:val="22"/>
        </w:rPr>
        <w:t xml:space="preserve"> dokonują prawnicy zatrudnieni,  określając rokowania co do wyniku sprawy w wartościach oszacowanych: bardzo prawdopodobne – 100%, prawdopodobne – 50%.</w:t>
      </w:r>
    </w:p>
    <w:p w14:paraId="02F54FCA" w14:textId="77777777" w:rsidR="001D0F9A" w:rsidRPr="00357465" w:rsidRDefault="001D0F9A" w:rsidP="001D0F9A">
      <w:pPr>
        <w:autoSpaceDE w:val="0"/>
        <w:autoSpaceDN w:val="0"/>
        <w:ind w:left="567"/>
        <w:jc w:val="both"/>
        <w:rPr>
          <w:rFonts w:ascii="Calibri" w:hAnsi="Calibri" w:cs="Calibri"/>
          <w:sz w:val="22"/>
          <w:szCs w:val="22"/>
        </w:rPr>
      </w:pPr>
      <w:r w:rsidRPr="00357465">
        <w:rPr>
          <w:rFonts w:ascii="Calibri" w:hAnsi="Calibri" w:cs="Calibri"/>
          <w:sz w:val="22"/>
          <w:szCs w:val="22"/>
        </w:rPr>
        <w:t>Rezerwy na zobowiązania na dzień bilansowy zostały wycenione w uzasadnionej i wiarygodnie oszacowanej wartości wraz z oszacowaną kwotą odsetek naliczonych od momentu, od którego powstaje roszczenie o odsetki.</w:t>
      </w:r>
    </w:p>
    <w:p w14:paraId="3931AC7A" w14:textId="77777777" w:rsidR="001D0F9A" w:rsidRPr="00357465" w:rsidRDefault="001D0F9A" w:rsidP="008B6EEB">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Zobowiązania warunkowe ujmowane są w ewidencji pozabilansowej.</w:t>
      </w:r>
    </w:p>
    <w:p w14:paraId="7B53891C" w14:textId="0311E698" w:rsidR="001D0F9A" w:rsidRPr="00357465" w:rsidRDefault="001D0F9A" w:rsidP="000B087E">
      <w:pPr>
        <w:autoSpaceDE w:val="0"/>
        <w:autoSpaceDN w:val="0"/>
        <w:spacing w:before="240" w:after="120"/>
        <w:ind w:left="567"/>
        <w:jc w:val="both"/>
        <w:rPr>
          <w:rFonts w:ascii="Calibri" w:hAnsi="Calibri" w:cs="Calibri"/>
          <w:sz w:val="22"/>
          <w:szCs w:val="22"/>
        </w:rPr>
      </w:pPr>
      <w:r w:rsidRPr="00357465">
        <w:rPr>
          <w:rFonts w:ascii="Calibri" w:hAnsi="Calibri" w:cs="Calibri"/>
          <w:sz w:val="22"/>
          <w:szCs w:val="22"/>
        </w:rPr>
        <w:t xml:space="preserve"> Rezerwy tworzone są w ciężar pozostałych kosztów operacyjnych. </w:t>
      </w:r>
      <w:bookmarkStart w:id="0" w:name="_GoBack"/>
      <w:bookmarkEnd w:id="0"/>
    </w:p>
    <w:p w14:paraId="321AF6BC" w14:textId="77777777" w:rsidR="001D0F9A" w:rsidRPr="00357465" w:rsidRDefault="001D0F9A" w:rsidP="001D0F9A">
      <w:pPr>
        <w:keepNext/>
        <w:keepLines/>
        <w:widowControl w:val="0"/>
        <w:numPr>
          <w:ilvl w:val="0"/>
          <w:numId w:val="13"/>
        </w:numPr>
        <w:tabs>
          <w:tab w:val="clear" w:pos="360"/>
          <w:tab w:val="left" w:pos="709"/>
          <w:tab w:val="num" w:pos="851"/>
          <w:tab w:val="left" w:pos="1148"/>
        </w:tabs>
        <w:adjustRightInd w:val="0"/>
        <w:ind w:firstLine="66"/>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Rozliczenia międzyokresowe przychodów</w:t>
      </w:r>
    </w:p>
    <w:p w14:paraId="55FD2309" w14:textId="77777777" w:rsidR="001D0F9A" w:rsidRPr="00357465" w:rsidRDefault="001D0F9A" w:rsidP="008B6EEB">
      <w:pPr>
        <w:autoSpaceDE w:val="0"/>
        <w:autoSpaceDN w:val="0"/>
        <w:spacing w:before="240"/>
        <w:ind w:left="567"/>
        <w:jc w:val="both"/>
        <w:rPr>
          <w:rFonts w:ascii="Calibri" w:hAnsi="Calibri" w:cs="Calibri"/>
          <w:color w:val="000000"/>
          <w:sz w:val="22"/>
          <w:szCs w:val="22"/>
        </w:rPr>
      </w:pPr>
      <w:r w:rsidRPr="00357465">
        <w:rPr>
          <w:rFonts w:ascii="Calibri" w:hAnsi="Calibri" w:cs="Calibri"/>
          <w:color w:val="000000"/>
          <w:sz w:val="22"/>
          <w:szCs w:val="22"/>
        </w:rPr>
        <w:t>Rozliczenia międzyokresowe przychodów dokonywane są z zachowaniem zasady ostrożnej wyceny i obejmują w szczególności r</w:t>
      </w:r>
      <w:r w:rsidRPr="00357465">
        <w:rPr>
          <w:rFonts w:ascii="Calibri" w:hAnsi="Calibri" w:cs="Calibri"/>
          <w:snapToGrid w:val="0"/>
          <w:color w:val="000000"/>
          <w:sz w:val="22"/>
          <w:szCs w:val="22"/>
        </w:rPr>
        <w:t>ównowartość</w:t>
      </w:r>
      <w:r w:rsidRPr="00357465">
        <w:rPr>
          <w:rFonts w:ascii="Calibri" w:hAnsi="Calibri" w:cs="Calibri"/>
          <w:color w:val="000000"/>
          <w:sz w:val="22"/>
          <w:szCs w:val="22"/>
        </w:rPr>
        <w:t xml:space="preserve"> otrzymanych lub należnych od kontrahentów środków z tytułu świadczeń, w tym m.in.: za zajęcie pasa drogowego, z tytułu przekształcenia prawa użytkowania wieczystego w prawo własności.</w:t>
      </w:r>
    </w:p>
    <w:p w14:paraId="6B35FB44" w14:textId="77777777" w:rsidR="001D0F9A" w:rsidRPr="00357465" w:rsidRDefault="001D0F9A" w:rsidP="001D0F9A">
      <w:pPr>
        <w:keepLines/>
        <w:tabs>
          <w:tab w:val="left" w:pos="284"/>
          <w:tab w:val="left" w:pos="720"/>
          <w:tab w:val="left" w:pos="1440"/>
          <w:tab w:val="left" w:pos="2160"/>
          <w:tab w:val="left" w:pos="2880"/>
          <w:tab w:val="left" w:pos="3600"/>
          <w:tab w:val="left" w:pos="4320"/>
        </w:tabs>
        <w:autoSpaceDE w:val="0"/>
        <w:autoSpaceDN w:val="0"/>
        <w:ind w:left="567" w:hanging="141"/>
        <w:jc w:val="both"/>
        <w:rPr>
          <w:rFonts w:ascii="Calibri" w:hAnsi="Calibri" w:cs="Calibri"/>
          <w:color w:val="000000"/>
          <w:sz w:val="22"/>
          <w:szCs w:val="22"/>
        </w:rPr>
      </w:pPr>
      <w:r w:rsidRPr="00357465">
        <w:rPr>
          <w:rFonts w:ascii="Calibri" w:hAnsi="Calibri" w:cs="Calibri"/>
          <w:color w:val="000000"/>
          <w:sz w:val="22"/>
          <w:szCs w:val="22"/>
        </w:rPr>
        <w:t xml:space="preserve">   Rozliczenia w czasie tych przychodów dokonuje się w celu zaliczenia odpowiednich kwot przychodów do tych okresów sprawozdawczych, których one dotyczą.</w:t>
      </w:r>
    </w:p>
    <w:p w14:paraId="2CE0C1E5" w14:textId="77777777" w:rsidR="001D0F9A" w:rsidRPr="00357465" w:rsidRDefault="001D0F9A" w:rsidP="008B6EEB">
      <w:pPr>
        <w:keepNext/>
        <w:keepLines/>
        <w:widowControl w:val="0"/>
        <w:numPr>
          <w:ilvl w:val="0"/>
          <w:numId w:val="13"/>
        </w:numPr>
        <w:tabs>
          <w:tab w:val="left" w:pos="709"/>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 xml:space="preserve">Zasady ujmowania przychodów </w:t>
      </w:r>
    </w:p>
    <w:p w14:paraId="2630C4F3" w14:textId="77777777" w:rsidR="001D0F9A" w:rsidRPr="00357465" w:rsidRDefault="001D0F9A" w:rsidP="009D5569">
      <w:pPr>
        <w:autoSpaceDE w:val="0"/>
        <w:autoSpaceDN w:val="0"/>
        <w:spacing w:before="240"/>
        <w:ind w:left="567"/>
        <w:jc w:val="both"/>
        <w:rPr>
          <w:rFonts w:ascii="Calibri" w:hAnsi="Calibri" w:cs="Calibri"/>
          <w:sz w:val="22"/>
          <w:szCs w:val="22"/>
        </w:rPr>
      </w:pPr>
      <w:r w:rsidRPr="00357465">
        <w:rPr>
          <w:rFonts w:ascii="Calibri" w:hAnsi="Calibri" w:cs="Calibri"/>
          <w:sz w:val="22"/>
          <w:szCs w:val="22"/>
        </w:rPr>
        <w:t xml:space="preserve">Według ustawy z dnia 13 listopada 2003 r. o  dochodach jednostek samorządu terytorialnego (Dz. U. z 2020 r. poz. 23 z </w:t>
      </w:r>
      <w:proofErr w:type="spellStart"/>
      <w:r w:rsidRPr="00357465">
        <w:rPr>
          <w:rFonts w:ascii="Calibri" w:hAnsi="Calibri" w:cs="Calibri"/>
          <w:sz w:val="22"/>
          <w:szCs w:val="22"/>
        </w:rPr>
        <w:t>późn</w:t>
      </w:r>
      <w:proofErr w:type="spellEnd"/>
      <w:r w:rsidRPr="00357465">
        <w:rPr>
          <w:rFonts w:ascii="Calibri" w:hAnsi="Calibri" w:cs="Calibri"/>
          <w:sz w:val="22"/>
          <w:szCs w:val="22"/>
        </w:rPr>
        <w:t>. zm.) oraz rozporządzenia w sprawie zasad rachunkowości z 2017 r. do przychodów urzędu jednostki samorządu terytorialnego zalicza się dochody budżetu jednostki samorządu terytorialnego nieujęte w planach finansowych innych samorządowych jednostek budżetowych.</w:t>
      </w:r>
    </w:p>
    <w:p w14:paraId="030A5FB9" w14:textId="77777777" w:rsidR="001D0F9A" w:rsidRPr="00357465" w:rsidRDefault="001D0F9A" w:rsidP="008B6EEB">
      <w:pPr>
        <w:autoSpaceDE w:val="0"/>
        <w:autoSpaceDN w:val="0"/>
        <w:spacing w:before="120"/>
        <w:ind w:left="567"/>
        <w:jc w:val="both"/>
        <w:rPr>
          <w:rFonts w:ascii="Calibri" w:hAnsi="Calibri" w:cs="Calibri"/>
          <w:sz w:val="22"/>
          <w:szCs w:val="22"/>
        </w:rPr>
      </w:pPr>
      <w:r w:rsidRPr="00357465">
        <w:rPr>
          <w:rFonts w:ascii="Calibri" w:hAnsi="Calibri" w:cs="Calibri"/>
          <w:sz w:val="22"/>
          <w:szCs w:val="22"/>
        </w:rPr>
        <w:t>Główne przychody stanowią:</w:t>
      </w:r>
    </w:p>
    <w:p w14:paraId="4006F800"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t xml:space="preserve">dochody z tytułu opłat za wieczyste użytkowanie - przychody są ujmowane w kwocie naliczenia opłaty za rok obrotowy; </w:t>
      </w:r>
    </w:p>
    <w:p w14:paraId="6664EFE4"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14:paraId="4953F124"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lastRenderedPageBreak/>
        <w:t>dochody z tytułu najmu i dzierżawy - przychody są ujmowane w kwocie naliczenia czynszów za okres najmu bądź dzierżawy w roku obrotowym;</w:t>
      </w:r>
    </w:p>
    <w:p w14:paraId="3456E0D3"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t>dochody z tytułu kar pieniężnych i grzywien - przychody są ujmowane w kwocie naliczonych kar pieniężnych i grzywien w roku obrotowym;</w:t>
      </w:r>
    </w:p>
    <w:p w14:paraId="03FBC3F7" w14:textId="77777777" w:rsidR="001D0F9A" w:rsidRPr="00357465" w:rsidRDefault="001D0F9A" w:rsidP="001D0F9A">
      <w:pPr>
        <w:widowControl w:val="0"/>
        <w:numPr>
          <w:ilvl w:val="0"/>
          <w:numId w:val="4"/>
        </w:numPr>
        <w:tabs>
          <w:tab w:val="num" w:pos="1134"/>
        </w:tabs>
        <w:autoSpaceDE w:val="0"/>
        <w:autoSpaceDN w:val="0"/>
        <w:adjustRightInd w:val="0"/>
        <w:ind w:left="1134" w:hanging="534"/>
        <w:jc w:val="both"/>
        <w:textAlignment w:val="baseline"/>
        <w:rPr>
          <w:rFonts w:ascii="Calibri" w:hAnsi="Calibri" w:cs="Calibri"/>
          <w:sz w:val="22"/>
          <w:szCs w:val="22"/>
        </w:rPr>
      </w:pPr>
      <w:r w:rsidRPr="00357465">
        <w:rPr>
          <w:rFonts w:ascii="Calibri" w:hAnsi="Calibri" w:cs="Calibri"/>
          <w:sz w:val="22"/>
          <w:szCs w:val="22"/>
        </w:rPr>
        <w:t>przychody z tytułu odsetek - przychody są ujmowane w momencie ich naliczenia w kwocie naliczenia zgodnie z przepisami prawa;</w:t>
      </w:r>
    </w:p>
    <w:p w14:paraId="5A0B37C3" w14:textId="77777777" w:rsidR="001D0F9A" w:rsidRPr="00357465" w:rsidRDefault="001D0F9A" w:rsidP="00302471">
      <w:pPr>
        <w:keepNext/>
        <w:keepLines/>
        <w:widowControl w:val="0"/>
        <w:numPr>
          <w:ilvl w:val="0"/>
          <w:numId w:val="13"/>
        </w:numPr>
        <w:tabs>
          <w:tab w:val="left" w:pos="709"/>
          <w:tab w:val="left" w:pos="1134"/>
        </w:tabs>
        <w:adjustRightInd w:val="0"/>
        <w:spacing w:before="240"/>
        <w:ind w:left="357" w:firstLine="210"/>
        <w:jc w:val="both"/>
        <w:textAlignment w:val="baseline"/>
        <w:outlineLvl w:val="2"/>
        <w:rPr>
          <w:rFonts w:ascii="Calibri" w:hAnsi="Calibri" w:cs="Calibri"/>
          <w:b/>
          <w:color w:val="000000"/>
          <w:sz w:val="22"/>
          <w:szCs w:val="22"/>
          <w:lang w:val="x-none"/>
        </w:rPr>
      </w:pPr>
      <w:r w:rsidRPr="00357465">
        <w:rPr>
          <w:rFonts w:ascii="Calibri" w:hAnsi="Calibri" w:cs="Calibri"/>
          <w:b/>
          <w:color w:val="000000"/>
          <w:sz w:val="22"/>
          <w:szCs w:val="22"/>
          <w:lang w:val="x-none"/>
        </w:rPr>
        <w:tab/>
        <w:t>Prezentacja przychodów w rachunku zysków i strat</w:t>
      </w:r>
    </w:p>
    <w:p w14:paraId="3BA71C55" w14:textId="77777777" w:rsidR="001D0F9A" w:rsidRPr="00357465" w:rsidRDefault="001D0F9A" w:rsidP="009D5569">
      <w:pPr>
        <w:widowControl w:val="0"/>
        <w:autoSpaceDE w:val="0"/>
        <w:autoSpaceDN w:val="0"/>
        <w:adjustRightInd w:val="0"/>
        <w:spacing w:before="240"/>
        <w:ind w:left="567"/>
        <w:jc w:val="both"/>
        <w:textAlignment w:val="baseline"/>
        <w:rPr>
          <w:rFonts w:ascii="Calibri" w:hAnsi="Calibri" w:cs="Calibri"/>
          <w:sz w:val="22"/>
          <w:szCs w:val="22"/>
        </w:rPr>
      </w:pPr>
      <w:r w:rsidRPr="00357465">
        <w:rPr>
          <w:rFonts w:ascii="Calibri" w:hAnsi="Calibri" w:cs="Calibri"/>
          <w:sz w:val="22"/>
          <w:szCs w:val="22"/>
        </w:rPr>
        <w:t>Do przychodów z podstawowej działalności operacyjnej zalicza się przychody z następujących tytułów:, opłaty za zarząd i użytkowanie wieczyste, najem i dzierżawa mienia, sprzedaż usług, sprzedaż towarów i materiałów, dotacje na finansowanie działalności podstawowej,.</w:t>
      </w:r>
    </w:p>
    <w:p w14:paraId="14F6B755" w14:textId="77777777" w:rsidR="001D0F9A" w:rsidRPr="00357465" w:rsidRDefault="001D0F9A" w:rsidP="001D0F9A">
      <w:pPr>
        <w:widowControl w:val="0"/>
        <w:autoSpaceDE w:val="0"/>
        <w:autoSpaceDN w:val="0"/>
        <w:adjustRightInd w:val="0"/>
        <w:ind w:left="567"/>
        <w:jc w:val="both"/>
        <w:textAlignment w:val="baseline"/>
        <w:rPr>
          <w:rFonts w:ascii="Calibri" w:hAnsi="Calibri" w:cs="Calibri"/>
          <w:sz w:val="22"/>
          <w:szCs w:val="22"/>
        </w:rPr>
      </w:pPr>
      <w:r w:rsidRPr="00357465">
        <w:rPr>
          <w:rFonts w:ascii="Calibri" w:hAnsi="Calibri" w:cs="Calibri"/>
          <w:sz w:val="22"/>
          <w:szCs w:val="22"/>
        </w:rPr>
        <w:t>Do przychodów z pozostałej działalności operacyjnej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14:paraId="57E3F22C" w14:textId="77777777" w:rsidR="001D0F9A" w:rsidRPr="00357465" w:rsidRDefault="001D0F9A" w:rsidP="001D0F9A">
      <w:pPr>
        <w:widowControl w:val="0"/>
        <w:autoSpaceDE w:val="0"/>
        <w:autoSpaceDN w:val="0"/>
        <w:adjustRightInd w:val="0"/>
        <w:ind w:left="567"/>
        <w:jc w:val="both"/>
        <w:textAlignment w:val="baseline"/>
        <w:rPr>
          <w:rFonts w:ascii="Calibri" w:hAnsi="Calibri" w:cs="Calibri"/>
          <w:b/>
          <w:sz w:val="22"/>
          <w:szCs w:val="22"/>
        </w:rPr>
      </w:pPr>
      <w:r w:rsidRPr="00357465">
        <w:rPr>
          <w:rFonts w:ascii="Calibri" w:hAnsi="Calibri" w:cs="Calibri"/>
          <w:sz w:val="22"/>
          <w:szCs w:val="22"/>
        </w:rPr>
        <w:t>Do przychodów finansowych zalicza się przychody z następujących tytułów: odsetki za zwłokę w zapłacie należności, rozwiązanie odpisów aktualizujących wartość długoterminowych aktywów finansowych.</w:t>
      </w:r>
    </w:p>
    <w:p w14:paraId="09A16ED5" w14:textId="77777777" w:rsidR="001D0F9A" w:rsidRPr="00357465" w:rsidRDefault="001D0F9A" w:rsidP="00302471">
      <w:pPr>
        <w:pStyle w:val="Nagwek2"/>
        <w:widowControl w:val="0"/>
        <w:numPr>
          <w:ilvl w:val="0"/>
          <w:numId w:val="6"/>
        </w:numPr>
        <w:tabs>
          <w:tab w:val="clear" w:pos="720"/>
          <w:tab w:val="left" w:pos="567"/>
          <w:tab w:val="num" w:pos="927"/>
        </w:tabs>
        <w:adjustRightInd w:val="0"/>
        <w:spacing w:before="480"/>
        <w:ind w:left="924" w:hanging="357"/>
        <w:jc w:val="both"/>
        <w:textAlignment w:val="baseline"/>
        <w:rPr>
          <w:rFonts w:ascii="Calibri" w:hAnsi="Calibri" w:cs="Calibri"/>
          <w:sz w:val="22"/>
          <w:szCs w:val="22"/>
          <w:lang w:val="pl-PL"/>
        </w:rPr>
      </w:pPr>
      <w:r w:rsidRPr="00357465">
        <w:rPr>
          <w:rFonts w:ascii="Calibri" w:hAnsi="Calibri" w:cs="Calibri"/>
          <w:sz w:val="22"/>
          <w:szCs w:val="22"/>
          <w:lang w:val="pl-PL"/>
        </w:rPr>
        <w:t>Inne informacje</w:t>
      </w:r>
    </w:p>
    <w:p w14:paraId="6B6774BC" w14:textId="77777777" w:rsidR="001D0F9A" w:rsidRPr="00357465" w:rsidRDefault="001D0F9A" w:rsidP="00302471">
      <w:pPr>
        <w:spacing w:before="240"/>
        <w:rPr>
          <w:rFonts w:ascii="Calibri" w:hAnsi="Calibri" w:cs="Calibri"/>
          <w:sz w:val="22"/>
          <w:szCs w:val="22"/>
        </w:rPr>
      </w:pPr>
      <w:r w:rsidRPr="00357465">
        <w:rPr>
          <w:rFonts w:ascii="Calibri" w:hAnsi="Calibri" w:cs="Calibri"/>
          <w:sz w:val="22"/>
          <w:szCs w:val="22"/>
        </w:rPr>
        <w:t>Nie dotyczy</w:t>
      </w:r>
    </w:p>
    <w:sectPr w:rsidR="001D0F9A" w:rsidRPr="00357465"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E39A" w14:textId="77777777" w:rsidR="009F58EC" w:rsidRDefault="009F58EC">
      <w:r>
        <w:separator/>
      </w:r>
    </w:p>
  </w:endnote>
  <w:endnote w:type="continuationSeparator" w:id="0">
    <w:p w14:paraId="725366C6" w14:textId="77777777" w:rsidR="009F58EC" w:rsidRDefault="009F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E7A85" w14:textId="77777777" w:rsidR="009F58EC" w:rsidRDefault="009F58EC">
      <w:r>
        <w:separator/>
      </w:r>
    </w:p>
  </w:footnote>
  <w:footnote w:type="continuationSeparator" w:id="0">
    <w:p w14:paraId="52ECBD7D" w14:textId="77777777" w:rsidR="009F58EC" w:rsidRDefault="009F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77777777" w:rsidR="00A905BD" w:rsidRPr="00A841BB" w:rsidRDefault="001C1428" w:rsidP="009D1313">
    <w:pPr>
      <w:pStyle w:val="Nagwek"/>
      <w:tabs>
        <w:tab w:val="clear" w:pos="8306"/>
      </w:tabs>
      <w:ind w:right="360"/>
      <w:rPr>
        <w:rFonts w:ascii="Calibri" w:hAnsi="Calibri" w:cs="Calibri"/>
        <w:b/>
        <w:sz w:val="28"/>
        <w:lang w:val="pl-PL"/>
      </w:rPr>
    </w:pPr>
    <w:r w:rsidRPr="00A841BB">
      <w:rPr>
        <w:rFonts w:ascii="Calibri" w:hAnsi="Calibri" w:cs="Calibri"/>
        <w:b/>
        <w:color w:val="000000"/>
        <w:sz w:val="28"/>
        <w:lang w:val="pl-PL"/>
      </w:rPr>
      <w:t>&lt;Nazwa jednostki&gt;</w:t>
    </w:r>
  </w:p>
  <w:p w14:paraId="065E7C7A" w14:textId="4C82E094"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1D0F9A">
      <w:rPr>
        <w:rFonts w:ascii="Calibri" w:hAnsi="Calibri" w:cs="Calibri"/>
        <w:b/>
        <w:sz w:val="24"/>
        <w:lang w:val="pl-PL"/>
      </w:rPr>
      <w:t>21</w:t>
    </w:r>
    <w:r w:rsidR="00A905BD" w:rsidRPr="00A841BB">
      <w:rPr>
        <w:rFonts w:ascii="Calibri" w:hAnsi="Calibri" w:cs="Calibri"/>
        <w:b/>
        <w:sz w:val="24"/>
        <w:lang w:val="pl-PL"/>
      </w:rPr>
      <w:t xml:space="preserve"> r.</w:t>
    </w:r>
  </w:p>
  <w:p w14:paraId="71D9F67C" w14:textId="77777777" w:rsidR="00CF5F24" w:rsidRPr="00A841BB" w:rsidRDefault="00CF5F24" w:rsidP="00CF5F24">
    <w:pPr>
      <w:pStyle w:val="Nagwek"/>
      <w:numPr>
        <w:ilvl w:val="0"/>
        <w:numId w:val="46"/>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476"/>
    <w:multiLevelType w:val="multilevel"/>
    <w:tmpl w:val="98A2E3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B68D8"/>
    <w:multiLevelType w:val="hybridMultilevel"/>
    <w:tmpl w:val="3B42A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7C10"/>
    <w:multiLevelType w:val="hybridMultilevel"/>
    <w:tmpl w:val="D2F2311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 w15:restartNumberingAfterBreak="0">
    <w:nsid w:val="09AE0122"/>
    <w:multiLevelType w:val="hybridMultilevel"/>
    <w:tmpl w:val="46466F0E"/>
    <w:lvl w:ilvl="0" w:tplc="06C29268">
      <w:start w:val="3"/>
      <w:numFmt w:val="decimal"/>
      <w:lvlText w:val="%1."/>
      <w:lvlJc w:val="left"/>
      <w:pPr>
        <w:tabs>
          <w:tab w:val="num" w:pos="855"/>
        </w:tabs>
        <w:ind w:left="85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8D371D"/>
    <w:multiLevelType w:val="hybridMultilevel"/>
    <w:tmpl w:val="E946CFF8"/>
    <w:lvl w:ilvl="0" w:tplc="A4C81CAA">
      <w:start w:val="36"/>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7"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C274B1E"/>
    <w:multiLevelType w:val="multilevel"/>
    <w:tmpl w:val="FD30A1C2"/>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7578D9"/>
    <w:multiLevelType w:val="hybridMultilevel"/>
    <w:tmpl w:val="771CD5FA"/>
    <w:lvl w:ilvl="0" w:tplc="36C240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03A79"/>
    <w:multiLevelType w:val="hybridMultilevel"/>
    <w:tmpl w:val="DE26E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06F9A"/>
    <w:multiLevelType w:val="hybridMultilevel"/>
    <w:tmpl w:val="E09A1678"/>
    <w:lvl w:ilvl="0" w:tplc="0C090017">
      <w:start w:val="1"/>
      <w:numFmt w:val="lowerLetter"/>
      <w:lvlText w:val="%1)"/>
      <w:lvlJc w:val="left"/>
      <w:pPr>
        <w:tabs>
          <w:tab w:val="num" w:pos="360"/>
        </w:tabs>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40D80458">
      <w:start w:val="1"/>
      <w:numFmt w:val="decimal"/>
      <w:lvlText w:val="%3)"/>
      <w:lvlJc w:val="left"/>
      <w:pPr>
        <w:tabs>
          <w:tab w:val="num" w:pos="2340"/>
        </w:tabs>
        <w:ind w:left="2340" w:hanging="360"/>
      </w:pPr>
      <w:rPr>
        <w:rFonts w:cs="Times New Roman" w:hint="default"/>
      </w:rPr>
    </w:lvl>
    <w:lvl w:ilvl="3" w:tplc="74BE2EF2">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0E681D"/>
    <w:multiLevelType w:val="hybridMultilevel"/>
    <w:tmpl w:val="8454EA0A"/>
    <w:lvl w:ilvl="0" w:tplc="CDACC118">
      <w:start w:val="36"/>
      <w:numFmt w:val="decimal"/>
      <w:lvlText w:val="%1."/>
      <w:lvlJc w:val="left"/>
      <w:pPr>
        <w:tabs>
          <w:tab w:val="num" w:pos="560"/>
        </w:tabs>
        <w:ind w:left="560" w:hanging="360"/>
      </w:pPr>
      <w:rPr>
        <w:rFonts w:hint="default"/>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14" w15:restartNumberingAfterBreak="0">
    <w:nsid w:val="296825C2"/>
    <w:multiLevelType w:val="multilevel"/>
    <w:tmpl w:val="542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21E3"/>
    <w:multiLevelType w:val="hybridMultilevel"/>
    <w:tmpl w:val="76A6531C"/>
    <w:lvl w:ilvl="0" w:tplc="CDACC118">
      <w:start w:val="33"/>
      <w:numFmt w:val="decimal"/>
      <w:lvlText w:val="%1."/>
      <w:lvlJc w:val="left"/>
      <w:pPr>
        <w:tabs>
          <w:tab w:val="num" w:pos="560"/>
        </w:tabs>
        <w:ind w:left="560" w:hanging="360"/>
      </w:pPr>
      <w:rPr>
        <w:rFonts w:hint="default"/>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16" w15:restartNumberingAfterBreak="0">
    <w:nsid w:val="2E90085E"/>
    <w:multiLevelType w:val="multilevel"/>
    <w:tmpl w:val="3F6A103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8533E"/>
    <w:multiLevelType w:val="multilevel"/>
    <w:tmpl w:val="4F3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633879"/>
    <w:multiLevelType w:val="hybridMultilevel"/>
    <w:tmpl w:val="519AF21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A10BF9"/>
    <w:multiLevelType w:val="multilevel"/>
    <w:tmpl w:val="EBFCA912"/>
    <w:lvl w:ilvl="0">
      <w:start w:val="7"/>
      <w:numFmt w:val="decimal"/>
      <w:lvlText w:val="%1.0"/>
      <w:lvlJc w:val="left"/>
      <w:pPr>
        <w:ind w:left="1125" w:hanging="405"/>
      </w:pPr>
      <w:rPr>
        <w:rFonts w:hint="default"/>
      </w:rPr>
    </w:lvl>
    <w:lvl w:ilvl="1">
      <w:start w:val="1"/>
      <w:numFmt w:val="decimalZero"/>
      <w:lvlText w:val="%1.%2"/>
      <w:lvlJc w:val="left"/>
      <w:pPr>
        <w:ind w:left="1834" w:hanging="405"/>
      </w:pPr>
      <w:rPr>
        <w:rFonts w:hint="default"/>
      </w:rPr>
    </w:lvl>
    <w:lvl w:ilvl="2">
      <w:start w:val="1"/>
      <w:numFmt w:val="decimal"/>
      <w:lvlText w:val="%1.%2.%3"/>
      <w:lvlJc w:val="left"/>
      <w:pPr>
        <w:ind w:left="2543" w:hanging="405"/>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276" w:hanging="72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054" w:hanging="1080"/>
      </w:pPr>
      <w:rPr>
        <w:rFonts w:hint="default"/>
      </w:rPr>
    </w:lvl>
    <w:lvl w:ilvl="7">
      <w:start w:val="1"/>
      <w:numFmt w:val="decimal"/>
      <w:lvlText w:val="%1.%2.%3.%4.%5.%6.%7.%8"/>
      <w:lvlJc w:val="left"/>
      <w:pPr>
        <w:ind w:left="6763" w:hanging="1080"/>
      </w:pPr>
      <w:rPr>
        <w:rFonts w:hint="default"/>
      </w:rPr>
    </w:lvl>
    <w:lvl w:ilvl="8">
      <w:start w:val="1"/>
      <w:numFmt w:val="decimal"/>
      <w:lvlText w:val="%1.%2.%3.%4.%5.%6.%7.%8.%9"/>
      <w:lvlJc w:val="left"/>
      <w:pPr>
        <w:ind w:left="7832" w:hanging="1440"/>
      </w:pPr>
      <w:rPr>
        <w:rFonts w:hint="default"/>
      </w:rPr>
    </w:lvl>
  </w:abstractNum>
  <w:abstractNum w:abstractNumId="23" w15:restartNumberingAfterBreak="0">
    <w:nsid w:val="41C86184"/>
    <w:multiLevelType w:val="singleLevel"/>
    <w:tmpl w:val="0C090017"/>
    <w:lvl w:ilvl="0">
      <w:start w:val="1"/>
      <w:numFmt w:val="lowerLetter"/>
      <w:lvlText w:val="%1)"/>
      <w:lvlJc w:val="left"/>
      <w:pPr>
        <w:tabs>
          <w:tab w:val="num" w:pos="928"/>
        </w:tabs>
        <w:ind w:left="928" w:hanging="360"/>
      </w:pPr>
      <w:rPr>
        <w:rFonts w:cs="Times New Roman"/>
      </w:rPr>
    </w:lvl>
  </w:abstractNum>
  <w:abstractNum w:abstractNumId="24" w15:restartNumberingAfterBreak="0">
    <w:nsid w:val="42BB4316"/>
    <w:multiLevelType w:val="multilevel"/>
    <w:tmpl w:val="C27E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D3F18"/>
    <w:multiLevelType w:val="hybridMultilevel"/>
    <w:tmpl w:val="824E8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7"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E1B99"/>
    <w:multiLevelType w:val="hybridMultilevel"/>
    <w:tmpl w:val="2E201234"/>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31" w15:restartNumberingAfterBreak="0">
    <w:nsid w:val="50713BA5"/>
    <w:multiLevelType w:val="hybridMultilevel"/>
    <w:tmpl w:val="0586618C"/>
    <w:lvl w:ilvl="0" w:tplc="000039C8">
      <w:start w:val="39"/>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2" w15:restartNumberingAfterBreak="0">
    <w:nsid w:val="524A1C21"/>
    <w:multiLevelType w:val="hybridMultilevel"/>
    <w:tmpl w:val="CEFE7566"/>
    <w:lvl w:ilvl="0" w:tplc="896C9968">
      <w:start w:val="38"/>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5322263"/>
    <w:multiLevelType w:val="hybridMultilevel"/>
    <w:tmpl w:val="CC5C8560"/>
    <w:lvl w:ilvl="0" w:tplc="0415000F">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34" w15:restartNumberingAfterBreak="0">
    <w:nsid w:val="553E6D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0222BF"/>
    <w:multiLevelType w:val="hybridMultilevel"/>
    <w:tmpl w:val="A5E0FA58"/>
    <w:lvl w:ilvl="0" w:tplc="419C8F02">
      <w:start w:val="4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6"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512842"/>
    <w:multiLevelType w:val="multilevel"/>
    <w:tmpl w:val="98A2E3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A768EF"/>
    <w:multiLevelType w:val="hybridMultilevel"/>
    <w:tmpl w:val="DA964A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40" w15:restartNumberingAfterBreak="0">
    <w:nsid w:val="5DBE181D"/>
    <w:multiLevelType w:val="hybridMultilevel"/>
    <w:tmpl w:val="170EBE6E"/>
    <w:lvl w:ilvl="0" w:tplc="EAC4063A">
      <w:start w:val="37"/>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1" w15:restartNumberingAfterBreak="0">
    <w:nsid w:val="60C07512"/>
    <w:multiLevelType w:val="hybridMultilevel"/>
    <w:tmpl w:val="6DC4697A"/>
    <w:lvl w:ilvl="0" w:tplc="7A4078C4">
      <w:start w:val="38"/>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2" w15:restartNumberingAfterBreak="0">
    <w:nsid w:val="64270383"/>
    <w:multiLevelType w:val="hybridMultilevel"/>
    <w:tmpl w:val="82E88C0A"/>
    <w:lvl w:ilvl="0" w:tplc="203028DA">
      <w:start w:val="35"/>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3" w15:restartNumberingAfterBreak="0">
    <w:nsid w:val="66187A32"/>
    <w:multiLevelType w:val="hybridMultilevel"/>
    <w:tmpl w:val="506CD9B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CA1462"/>
    <w:multiLevelType w:val="hybridMultilevel"/>
    <w:tmpl w:val="2CE47C3A"/>
    <w:lvl w:ilvl="0" w:tplc="0FB036AE">
      <w:start w:val="42"/>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5"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46"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7CDA0D3E"/>
    <w:multiLevelType w:val="hybridMultilevel"/>
    <w:tmpl w:val="AE5C96A4"/>
    <w:lvl w:ilvl="0" w:tplc="A90A6D3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abstractNumId w:val="39"/>
  </w:num>
  <w:num w:numId="2">
    <w:abstractNumId w:val="45"/>
  </w:num>
  <w:num w:numId="3">
    <w:abstractNumId w:val="18"/>
  </w:num>
  <w:num w:numId="4">
    <w:abstractNumId w:val="19"/>
  </w:num>
  <w:num w:numId="5">
    <w:abstractNumId w:val="16"/>
  </w:num>
  <w:num w:numId="6">
    <w:abstractNumId w:val="1"/>
  </w:num>
  <w:num w:numId="7">
    <w:abstractNumId w:val="46"/>
  </w:num>
  <w:num w:numId="8">
    <w:abstractNumId w:val="7"/>
  </w:num>
  <w:num w:numId="9">
    <w:abstractNumId w:val="23"/>
  </w:num>
  <w:num w:numId="10">
    <w:abstractNumId w:val="34"/>
  </w:num>
  <w:num w:numId="11">
    <w:abstractNumId w:val="12"/>
  </w:num>
  <w:num w:numId="12">
    <w:abstractNumId w:val="8"/>
  </w:num>
  <w:num w:numId="13">
    <w:abstractNumId w:val="29"/>
  </w:num>
  <w:num w:numId="14">
    <w:abstractNumId w:val="14"/>
  </w:num>
  <w:num w:numId="15">
    <w:abstractNumId w:val="24"/>
  </w:num>
  <w:num w:numId="16">
    <w:abstractNumId w:val="9"/>
  </w:num>
  <w:num w:numId="17">
    <w:abstractNumId w:val="17"/>
  </w:num>
  <w:num w:numId="18">
    <w:abstractNumId w:val="27"/>
  </w:num>
  <w:num w:numId="19">
    <w:abstractNumId w:val="28"/>
  </w:num>
  <w:num w:numId="20">
    <w:abstractNumId w:val="47"/>
  </w:num>
  <w:num w:numId="21">
    <w:abstractNumId w:val="4"/>
  </w:num>
  <w:num w:numId="22">
    <w:abstractNumId w:val="15"/>
  </w:num>
  <w:num w:numId="23">
    <w:abstractNumId w:val="13"/>
  </w:num>
  <w:num w:numId="24">
    <w:abstractNumId w:val="42"/>
  </w:num>
  <w:num w:numId="25">
    <w:abstractNumId w:val="41"/>
  </w:num>
  <w:num w:numId="26">
    <w:abstractNumId w:val="6"/>
  </w:num>
  <w:num w:numId="27">
    <w:abstractNumId w:val="35"/>
  </w:num>
  <w:num w:numId="28">
    <w:abstractNumId w:val="2"/>
  </w:num>
  <w:num w:numId="29">
    <w:abstractNumId w:val="40"/>
  </w:num>
  <w:num w:numId="30">
    <w:abstractNumId w:val="44"/>
  </w:num>
  <w:num w:numId="31">
    <w:abstractNumId w:val="31"/>
  </w:num>
  <w:num w:numId="32">
    <w:abstractNumId w:val="32"/>
  </w:num>
  <w:num w:numId="33">
    <w:abstractNumId w:val="3"/>
  </w:num>
  <w:num w:numId="34">
    <w:abstractNumId w:val="25"/>
  </w:num>
  <w:num w:numId="35">
    <w:abstractNumId w:val="43"/>
  </w:num>
  <w:num w:numId="36">
    <w:abstractNumId w:val="22"/>
  </w:num>
  <w:num w:numId="37">
    <w:abstractNumId w:val="38"/>
  </w:num>
  <w:num w:numId="38">
    <w:abstractNumId w:val="10"/>
  </w:num>
  <w:num w:numId="39">
    <w:abstractNumId w:val="20"/>
  </w:num>
  <w:num w:numId="40">
    <w:abstractNumId w:val="11"/>
  </w:num>
  <w:num w:numId="41">
    <w:abstractNumId w:val="26"/>
  </w:num>
  <w:num w:numId="42">
    <w:abstractNumId w:val="18"/>
  </w:num>
  <w:num w:numId="43">
    <w:abstractNumId w:val="33"/>
  </w:num>
  <w:num w:numId="44">
    <w:abstractNumId w:val="18"/>
  </w:num>
  <w:num w:numId="45">
    <w:abstractNumId w:val="5"/>
  </w:num>
  <w:num w:numId="46">
    <w:abstractNumId w:val="36"/>
  </w:num>
  <w:num w:numId="47">
    <w:abstractNumId w:val="37"/>
  </w:num>
  <w:num w:numId="48">
    <w:abstractNumId w:val="0"/>
  </w:num>
  <w:num w:numId="49">
    <w:abstractNumId w:val="30"/>
  </w:num>
  <w:num w:numId="5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7E"/>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BD9"/>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D92"/>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0EA"/>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0F9A"/>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9D7"/>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B1"/>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512"/>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71"/>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396"/>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B99"/>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0D66"/>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78E"/>
    <w:rsid w:val="00565CC9"/>
    <w:rsid w:val="00565D45"/>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2836"/>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55"/>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6EE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569"/>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58EC"/>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B5"/>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3E81"/>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3FE"/>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6B77"/>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15AC"/>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46B"/>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2BB3"/>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3D35-220C-4FB4-9C0A-222F9325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1948</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Wełnicka Dorota</cp:lastModifiedBy>
  <cp:revision>25</cp:revision>
  <cp:lastPrinted>2022-01-21T13:44:00Z</cp:lastPrinted>
  <dcterms:created xsi:type="dcterms:W3CDTF">2022-01-21T13:44:00Z</dcterms:created>
  <dcterms:modified xsi:type="dcterms:W3CDTF">2022-06-02T07:29:00Z</dcterms:modified>
</cp:coreProperties>
</file>