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1362" w14:textId="77777777" w:rsidR="00B10EAD" w:rsidRPr="007E7521" w:rsidRDefault="009909C4" w:rsidP="00A16921">
      <w:pPr>
        <w:pStyle w:val="Nagwek2"/>
        <w:widowControl w:val="0"/>
        <w:numPr>
          <w:ilvl w:val="0"/>
          <w:numId w:val="6"/>
        </w:numPr>
        <w:tabs>
          <w:tab w:val="left" w:pos="567"/>
        </w:tabs>
        <w:adjustRightInd w:val="0"/>
        <w:jc w:val="both"/>
        <w:textAlignment w:val="baseline"/>
        <w:rPr>
          <w:rFonts w:asciiTheme="minorHAnsi" w:hAnsiTheme="minorHAnsi"/>
          <w:sz w:val="22"/>
          <w:szCs w:val="22"/>
          <w:lang w:val="pl-PL"/>
        </w:rPr>
      </w:pPr>
      <w:r w:rsidRPr="007E7521">
        <w:rPr>
          <w:rFonts w:asciiTheme="minorHAnsi" w:hAnsiTheme="minorHAnsi"/>
          <w:sz w:val="22"/>
          <w:szCs w:val="22"/>
          <w:lang w:val="pl-PL"/>
        </w:rPr>
        <w:t xml:space="preserve">Informacje </w:t>
      </w:r>
    </w:p>
    <w:p w14:paraId="641EDE1B" w14:textId="496179A2" w:rsidR="00B10EAD" w:rsidRPr="007E7521" w:rsidRDefault="002B7FB2" w:rsidP="00A16921">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Nazwa jednostki</w:t>
      </w:r>
      <w:r w:rsidR="00B10EAD" w:rsidRPr="007E7521">
        <w:rPr>
          <w:rFonts w:asciiTheme="minorHAnsi" w:hAnsiTheme="minorHAnsi"/>
          <w:sz w:val="22"/>
          <w:szCs w:val="22"/>
          <w:lang w:val="pl-PL" w:bidi="ar-TN"/>
        </w:rPr>
        <w:br/>
      </w:r>
      <w:r w:rsidR="009909C4" w:rsidRPr="007E7521">
        <w:rPr>
          <w:rFonts w:asciiTheme="minorHAnsi" w:hAnsiTheme="minorHAnsi"/>
          <w:sz w:val="22"/>
          <w:szCs w:val="22"/>
          <w:lang w:val="pl-PL" w:bidi="ar-TN"/>
        </w:rPr>
        <w:t>Urząd Dzielnicy Wawer</w:t>
      </w:r>
      <w:r w:rsidR="001A3E63" w:rsidRPr="007E7521">
        <w:rPr>
          <w:rFonts w:asciiTheme="minorHAnsi" w:hAnsiTheme="minorHAnsi"/>
          <w:sz w:val="22"/>
          <w:szCs w:val="22"/>
          <w:lang w:val="pl-PL" w:bidi="ar-TN"/>
        </w:rPr>
        <w:t xml:space="preserve"> m.st. Warszawy</w:t>
      </w:r>
    </w:p>
    <w:p w14:paraId="1810E78B" w14:textId="5335D082" w:rsidR="00B10EAD" w:rsidRPr="007E7521" w:rsidRDefault="002B7FB2" w:rsidP="00A16921">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Siedziba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295E9F70" w14:textId="0555EB28" w:rsidR="00B10EAD" w:rsidRPr="007E7521" w:rsidRDefault="002B7FB2" w:rsidP="00A16921">
      <w:pPr>
        <w:pStyle w:val="Nagwek2"/>
        <w:widowControl w:val="0"/>
        <w:numPr>
          <w:ilvl w:val="1"/>
          <w:numId w:val="6"/>
        </w:numPr>
        <w:tabs>
          <w:tab w:val="left" w:pos="567"/>
        </w:tabs>
        <w:adjustRightInd w:val="0"/>
        <w:textAlignment w:val="baseline"/>
        <w:rPr>
          <w:rFonts w:asciiTheme="minorHAnsi" w:hAnsiTheme="minorHAnsi"/>
          <w:sz w:val="22"/>
          <w:szCs w:val="22"/>
          <w:lang w:val="pl-PL"/>
        </w:rPr>
      </w:pPr>
      <w:r w:rsidRPr="007E7521">
        <w:rPr>
          <w:rFonts w:asciiTheme="minorHAnsi" w:hAnsiTheme="minorHAnsi"/>
          <w:sz w:val="22"/>
          <w:szCs w:val="22"/>
          <w:lang w:val="pl-PL"/>
        </w:rPr>
        <w:t>Adres jednostki</w:t>
      </w:r>
      <w:r w:rsidR="00B10EAD" w:rsidRPr="007E7521">
        <w:rPr>
          <w:rFonts w:asciiTheme="minorHAnsi" w:hAnsiTheme="minorHAnsi"/>
          <w:sz w:val="22"/>
          <w:szCs w:val="22"/>
          <w:lang w:val="pl-PL"/>
        </w:rPr>
        <w:br/>
      </w:r>
      <w:r w:rsidR="009909C4" w:rsidRPr="007E7521">
        <w:rPr>
          <w:rFonts w:asciiTheme="minorHAnsi" w:hAnsiTheme="minorHAnsi"/>
          <w:sz w:val="22"/>
          <w:szCs w:val="22"/>
          <w:lang w:val="pl-PL"/>
        </w:rPr>
        <w:t>ul. Żegańska 1, 04-713 Warszawa</w:t>
      </w:r>
    </w:p>
    <w:p w14:paraId="5ABB4412" w14:textId="092AF908" w:rsidR="007E7521" w:rsidRPr="007E7521" w:rsidRDefault="002B7FB2" w:rsidP="007E7521">
      <w:pPr>
        <w:pStyle w:val="Nagwek2"/>
        <w:widowControl w:val="0"/>
        <w:numPr>
          <w:ilvl w:val="1"/>
          <w:numId w:val="6"/>
        </w:numPr>
        <w:tabs>
          <w:tab w:val="left" w:pos="567"/>
        </w:tabs>
        <w:adjustRightInd w:val="0"/>
        <w:spacing w:after="100" w:afterAutospacing="1"/>
        <w:textAlignment w:val="baseline"/>
        <w:rPr>
          <w:rFonts w:asciiTheme="minorHAnsi" w:hAnsiTheme="minorHAnsi"/>
          <w:sz w:val="22"/>
          <w:szCs w:val="22"/>
          <w:lang w:val="pl-PL"/>
        </w:rPr>
      </w:pPr>
      <w:r w:rsidRPr="007E7521">
        <w:rPr>
          <w:rFonts w:asciiTheme="minorHAnsi" w:hAnsiTheme="minorHAnsi"/>
          <w:sz w:val="22"/>
          <w:szCs w:val="22"/>
          <w:lang w:val="pl-PL"/>
        </w:rPr>
        <w:t>Podstawowy przedmiot działalności jednostki</w:t>
      </w:r>
    </w:p>
    <w:p w14:paraId="5C3A6457" w14:textId="77777777" w:rsidR="005D550D" w:rsidRPr="007E7521" w:rsidRDefault="009B0F70" w:rsidP="00A16921">
      <w:pPr>
        <w:widowControl w:val="0"/>
        <w:numPr>
          <w:ilvl w:val="0"/>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hAnsiTheme="minorHAnsi"/>
          <w:color w:val="000000"/>
          <w:sz w:val="22"/>
          <w:szCs w:val="22"/>
        </w:rPr>
        <w:t xml:space="preserve">Dzielnica </w:t>
      </w:r>
      <w:r w:rsidRPr="007E7521">
        <w:rPr>
          <w:rFonts w:asciiTheme="minorHAnsi" w:hAnsiTheme="minorHAnsi"/>
          <w:sz w:val="22"/>
          <w:szCs w:val="22"/>
        </w:rPr>
        <w:t>Wawer jest jednostką pomocniczą miasta stołecznego Warszawy.</w:t>
      </w:r>
      <w:r w:rsidRPr="007E7521">
        <w:rPr>
          <w:rFonts w:asciiTheme="minorHAnsi" w:eastAsia="Lucida Sans Unicode" w:hAnsiTheme="minorHAnsi"/>
          <w:kern w:val="1"/>
          <w:sz w:val="22"/>
          <w:szCs w:val="22"/>
          <w:lang w:eastAsia="ar-SA"/>
        </w:rPr>
        <w:t xml:space="preserve"> Dzielnica wykonuje zadania działając na podstawie ustaw, Statutu m.st. Warszawy, Statutu dzielnicy </w:t>
      </w:r>
      <w:r w:rsidRPr="007E7521">
        <w:rPr>
          <w:rFonts w:asciiTheme="minorHAnsi" w:hAnsiTheme="minorHAnsi"/>
          <w:sz w:val="22"/>
          <w:szCs w:val="22"/>
        </w:rPr>
        <w:t>i innych uchwał Rady Miasta</w:t>
      </w:r>
      <w:r w:rsidR="00281550" w:rsidRPr="007E7521">
        <w:rPr>
          <w:rFonts w:asciiTheme="minorHAnsi" w:hAnsiTheme="minorHAnsi"/>
          <w:sz w:val="22"/>
          <w:szCs w:val="22"/>
        </w:rPr>
        <w:t xml:space="preserve"> st. Warszawy.</w:t>
      </w:r>
      <w:r w:rsidRPr="007E7521">
        <w:rPr>
          <w:rFonts w:asciiTheme="minorHAnsi" w:eastAsia="Lucida Sans Unicode" w:hAnsiTheme="minorHAnsi"/>
          <w:kern w:val="1"/>
          <w:sz w:val="22"/>
          <w:szCs w:val="22"/>
          <w:lang w:eastAsia="ar-SA"/>
        </w:rPr>
        <w:t xml:space="preserve"> Do zakresu działania Dzielnicy należą, niezastrzeżone dla organów Miasta, sprawy lokalne o zasięgu dzielnicowym:</w:t>
      </w:r>
    </w:p>
    <w:p w14:paraId="6DDDEE27" w14:textId="77777777" w:rsidR="005D550D" w:rsidRPr="007E7521"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inwestycji;</w:t>
      </w:r>
    </w:p>
    <w:p w14:paraId="67AB2D36" w14:textId="77777777" w:rsidR="005D550D" w:rsidRPr="007E7521"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gminnych zasobów lokalowych położonych na obszarze Dzielnicy;</w:t>
      </w:r>
    </w:p>
    <w:p w14:paraId="2F104838" w14:textId="77777777" w:rsidR="005D550D" w:rsidRPr="007E7521"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nieruchomości Miasta położonych na obszarze Dzielnicy;</w:t>
      </w:r>
    </w:p>
    <w:p w14:paraId="45E06BEA" w14:textId="77777777" w:rsidR="005D550D" w:rsidRPr="007E7521"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nabywania i zbywania nieruchomości Miasta, położony</w:t>
      </w:r>
      <w:r w:rsidR="005F5C28" w:rsidRPr="007E7521">
        <w:rPr>
          <w:rFonts w:asciiTheme="minorHAnsi" w:eastAsia="Lucida Sans Unicode" w:hAnsiTheme="minorHAnsi"/>
          <w:kern w:val="1"/>
          <w:sz w:val="22"/>
          <w:szCs w:val="22"/>
          <w:lang w:eastAsia="ar-SA"/>
        </w:rPr>
        <w:t xml:space="preserve">ch na obszarze </w:t>
      </w:r>
      <w:r w:rsidRPr="007E7521">
        <w:rPr>
          <w:rFonts w:asciiTheme="minorHAnsi" w:eastAsia="Lucida Sans Unicode" w:hAnsiTheme="minorHAnsi"/>
          <w:kern w:val="1"/>
          <w:sz w:val="22"/>
          <w:szCs w:val="22"/>
          <w:lang w:eastAsia="ar-SA"/>
        </w:rPr>
        <w:t>Dzielnicy, w zakresie i trybie określonym zarządzeniem Prezydenta;</w:t>
      </w:r>
    </w:p>
    <w:p w14:paraId="00F8FF31" w14:textId="5EA39D8F" w:rsidR="009B0F70" w:rsidRPr="007E7521" w:rsidRDefault="009B0F70" w:rsidP="00A16921">
      <w:pPr>
        <w:widowControl w:val="0"/>
        <w:numPr>
          <w:ilvl w:val="1"/>
          <w:numId w:val="5"/>
        </w:numPr>
        <w:shd w:val="clear" w:color="auto" w:fill="FFFFFF"/>
        <w:tabs>
          <w:tab w:val="left" w:pos="360"/>
        </w:tabs>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położonych na obszarze Dzielnicy i niezaliczonych do podmiotów o znaczeniu ponad</w:t>
      </w:r>
      <w:r w:rsidR="005F5C28" w:rsidRPr="007E7521">
        <w:rPr>
          <w:rFonts w:asciiTheme="minorHAnsi" w:eastAsia="Lucida Sans Unicode" w:hAnsiTheme="minorHAnsi"/>
          <w:kern w:val="1"/>
          <w:sz w:val="22"/>
          <w:szCs w:val="22"/>
          <w:lang w:eastAsia="ar-SA"/>
        </w:rPr>
        <w:t xml:space="preserve"> </w:t>
      </w:r>
      <w:r w:rsidRPr="007E7521">
        <w:rPr>
          <w:rFonts w:asciiTheme="minorHAnsi" w:eastAsia="Lucida Sans Unicode" w:hAnsiTheme="minorHAnsi"/>
          <w:kern w:val="1"/>
          <w:sz w:val="22"/>
          <w:szCs w:val="22"/>
          <w:lang w:eastAsia="ar-SA"/>
        </w:rPr>
        <w:t>dzielnicowym uchwałą Rady Miasta:</w:t>
      </w:r>
    </w:p>
    <w:p w14:paraId="40A13B40"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placówek oświaty i wychowania,</w:t>
      </w:r>
    </w:p>
    <w:p w14:paraId="56E338CF"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których działalność statutowa dotyczy obsługi finansowej w zakresie oświaty,</w:t>
      </w:r>
    </w:p>
    <w:p w14:paraId="49AF0E68"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żłobków,</w:t>
      </w:r>
    </w:p>
    <w:p w14:paraId="28D567F7"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pomocy społecznej,</w:t>
      </w:r>
    </w:p>
    <w:p w14:paraId="48EF0993"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domów kultury, </w:t>
      </w:r>
    </w:p>
    <w:p w14:paraId="6D272E5B"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bibliotek,</w:t>
      </w:r>
    </w:p>
    <w:p w14:paraId="4BF459FD"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ośrodków sportu i rekreacji,</w:t>
      </w:r>
    </w:p>
    <w:p w14:paraId="1A607E76"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organizacyjnych Miasta, których działalność statutowa dotyczy zarządu zasobem mieszkaniowym,</w:t>
      </w:r>
    </w:p>
    <w:p w14:paraId="5C59158E" w14:textId="77777777" w:rsidR="005D550D" w:rsidRPr="007E7521" w:rsidRDefault="009B0F70" w:rsidP="00A16921">
      <w:pPr>
        <w:widowControl w:val="0"/>
        <w:numPr>
          <w:ilvl w:val="2"/>
          <w:numId w:val="7"/>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jednostek określonych w uchwale Rady Miasta;</w:t>
      </w:r>
    </w:p>
    <w:p w14:paraId="38CFE8D8"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zieleni oraz dróg wewnętrznych będących własnością Miasta, z wyłączeniem terenów zielonych i dróg przekazanych w zarząd innym podmiotom;</w:t>
      </w:r>
    </w:p>
    <w:p w14:paraId="72A9E697"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dzielnicowych obiektów administracyjnych;</w:t>
      </w:r>
    </w:p>
    <w:p w14:paraId="29D1F0A7"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jednostek niższego rzędu utworzonych na obszarze Dzielnicy;</w:t>
      </w:r>
    </w:p>
    <w:p w14:paraId="15F62C98"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geodezji i kartografii;</w:t>
      </w:r>
    </w:p>
    <w:p w14:paraId="792055E3"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ochrony praw lokatorów i dodatków mieszkaniowych;</w:t>
      </w:r>
    </w:p>
    <w:p w14:paraId="53E3529F"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działalności kulturalnej;</w:t>
      </w:r>
    </w:p>
    <w:p w14:paraId="7542246C" w14:textId="77777777" w:rsidR="005D550D"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ochrony środowiska, odpadów i wód; </w:t>
      </w:r>
    </w:p>
    <w:p w14:paraId="7C4AD3AC" w14:textId="29351A64"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dróg publicznych, z wyłączeniem dróg przekazanych innym podmiotom, a także transportu drogowego, ruchu drogowego i przewozów;</w:t>
      </w:r>
    </w:p>
    <w:p w14:paraId="5DA76F55" w14:textId="73AE86D2"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architektury i budownictwa; </w:t>
      </w:r>
    </w:p>
    <w:p w14:paraId="7B6707D6" w14:textId="54E6D49F"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ewidencji działalności gospodarczej;</w:t>
      </w:r>
    </w:p>
    <w:p w14:paraId="3AA49587" w14:textId="36B6970A"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ewidencji ludności i dowodów osobistych; </w:t>
      </w:r>
    </w:p>
    <w:p w14:paraId="57092E63" w14:textId="0AC463E2"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praw jazdy i rejestracji pojazdów;</w:t>
      </w:r>
    </w:p>
    <w:p w14:paraId="16457DB5" w14:textId="3C0F6AC2"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 xml:space="preserve">pobierania podatków i opłat lokalnych oraz opłaty skarbowej, podatku rolnego i leśnego, a także ubezpieczenia społecznego rolników; </w:t>
      </w:r>
    </w:p>
    <w:p w14:paraId="02F45842" w14:textId="72DF3F70"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promocji dzielnicy;</w:t>
      </w:r>
    </w:p>
    <w:p w14:paraId="72EA84BC" w14:textId="6F3B484E"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miejsc pamięci narodowej;</w:t>
      </w:r>
    </w:p>
    <w:p w14:paraId="29F3194F" w14:textId="33F4F113" w:rsidR="009B0F70" w:rsidRPr="007E7521" w:rsidRDefault="009B0F70" w:rsidP="00A16921">
      <w:pPr>
        <w:widowControl w:val="0"/>
        <w:numPr>
          <w:ilvl w:val="1"/>
          <w:numId w:val="8"/>
        </w:numPr>
        <w:shd w:val="clear" w:color="auto" w:fill="FFFFFF"/>
        <w:suppressAutoHyphens/>
        <w:autoSpaceDE w:val="0"/>
        <w:spacing w:after="100" w:afterAutospacing="1"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innych spraw przekazanych Dzielnicy uchwałą Rady Miasta.</w:t>
      </w:r>
    </w:p>
    <w:p w14:paraId="2D42542B" w14:textId="77777777" w:rsidR="009B0F70" w:rsidRPr="007E7521" w:rsidRDefault="009B0F70" w:rsidP="009B0F70">
      <w:pPr>
        <w:widowControl w:val="0"/>
        <w:suppressAutoHyphens/>
        <w:spacing w:line="360" w:lineRule="auto"/>
        <w:jc w:val="both"/>
        <w:rPr>
          <w:rFonts w:asciiTheme="minorHAnsi" w:eastAsia="Lucida Sans Unicode" w:hAnsiTheme="minorHAnsi"/>
          <w:kern w:val="1"/>
          <w:sz w:val="22"/>
          <w:szCs w:val="22"/>
          <w:lang w:eastAsia="ar-SA"/>
        </w:rPr>
      </w:pPr>
      <w:r w:rsidRPr="007E7521">
        <w:rPr>
          <w:rFonts w:asciiTheme="minorHAnsi" w:eastAsia="Lucida Sans Unicode" w:hAnsiTheme="minorHAnsi"/>
          <w:kern w:val="1"/>
          <w:sz w:val="22"/>
          <w:szCs w:val="22"/>
          <w:lang w:eastAsia="ar-SA"/>
        </w:rPr>
        <w:t>Dzielnicy mogą być również przekazywane inne zadania należące do Miasta.</w:t>
      </w:r>
    </w:p>
    <w:p w14:paraId="03DB99A3" w14:textId="6421F43C"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Wskazanie okresu objętego sprawozdaniem</w:t>
      </w:r>
      <w:r w:rsidR="001F6B31" w:rsidRPr="007E7521">
        <w:rPr>
          <w:rFonts w:asciiTheme="minorHAnsi" w:hAnsiTheme="minorHAnsi"/>
          <w:sz w:val="22"/>
          <w:szCs w:val="22"/>
        </w:rPr>
        <w:br/>
      </w:r>
      <w:r w:rsidR="00D64830" w:rsidRPr="007E7521">
        <w:rPr>
          <w:rFonts w:asciiTheme="minorHAnsi" w:hAnsiTheme="minorHAnsi"/>
          <w:sz w:val="22"/>
          <w:szCs w:val="22"/>
        </w:rPr>
        <w:t>Sprawozdanie o</w:t>
      </w:r>
      <w:r w:rsidR="005A06B3" w:rsidRPr="007E7521">
        <w:rPr>
          <w:rFonts w:asciiTheme="minorHAnsi" w:hAnsiTheme="minorHAnsi"/>
          <w:sz w:val="22"/>
          <w:szCs w:val="22"/>
        </w:rPr>
        <w:t xml:space="preserve">bejmuje okres od 1 stycznia </w:t>
      </w:r>
      <w:r w:rsidR="00CC48C2" w:rsidRPr="007E7521">
        <w:rPr>
          <w:rFonts w:asciiTheme="minorHAnsi" w:hAnsiTheme="minorHAnsi"/>
          <w:sz w:val="22"/>
          <w:szCs w:val="22"/>
        </w:rPr>
        <w:t>2022</w:t>
      </w:r>
      <w:r w:rsidR="005A06B3" w:rsidRPr="007E7521">
        <w:rPr>
          <w:rFonts w:asciiTheme="minorHAnsi" w:hAnsiTheme="minorHAnsi"/>
          <w:sz w:val="22"/>
          <w:szCs w:val="22"/>
        </w:rPr>
        <w:t xml:space="preserve"> roku do 31 grudnia </w:t>
      </w:r>
      <w:r w:rsidR="00CC48C2" w:rsidRPr="007E7521">
        <w:rPr>
          <w:rFonts w:asciiTheme="minorHAnsi" w:hAnsiTheme="minorHAnsi"/>
          <w:sz w:val="22"/>
          <w:szCs w:val="22"/>
        </w:rPr>
        <w:t>2022</w:t>
      </w:r>
      <w:r w:rsidR="00D64830" w:rsidRPr="007E7521">
        <w:rPr>
          <w:rFonts w:asciiTheme="minorHAnsi" w:hAnsiTheme="minorHAnsi"/>
          <w:sz w:val="22"/>
          <w:szCs w:val="22"/>
        </w:rPr>
        <w:t xml:space="preserve"> roku.</w:t>
      </w:r>
    </w:p>
    <w:p w14:paraId="53204C1A" w14:textId="77777777" w:rsidR="001F6B31" w:rsidRPr="007E7521" w:rsidRDefault="002B7FB2"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Wskazani</w:t>
      </w:r>
      <w:r w:rsidR="00A11DB8" w:rsidRPr="007E7521">
        <w:rPr>
          <w:rFonts w:asciiTheme="minorHAnsi" w:hAnsiTheme="minorHAnsi"/>
          <w:b/>
          <w:bCs/>
          <w:sz w:val="22"/>
          <w:szCs w:val="22"/>
        </w:rPr>
        <w:t>e, ż</w:t>
      </w:r>
      <w:r w:rsidRPr="007E7521">
        <w:rPr>
          <w:rFonts w:asciiTheme="minorHAnsi" w:hAnsiTheme="minorHAnsi"/>
          <w:b/>
          <w:bCs/>
          <w:sz w:val="22"/>
          <w:szCs w:val="22"/>
        </w:rPr>
        <w:t xml:space="preserve">e </w:t>
      </w:r>
      <w:r w:rsidR="008170C0" w:rsidRPr="007E7521">
        <w:rPr>
          <w:rFonts w:asciiTheme="minorHAnsi" w:hAnsiTheme="minorHAnsi"/>
          <w:b/>
          <w:bCs/>
          <w:sz w:val="22"/>
          <w:szCs w:val="22"/>
        </w:rPr>
        <w:t>sprawozdanie zawiera dane łączne</w:t>
      </w:r>
      <w:r w:rsidR="001F6B31" w:rsidRPr="007E7521">
        <w:rPr>
          <w:rFonts w:asciiTheme="minorHAnsi" w:hAnsiTheme="minorHAnsi"/>
          <w:sz w:val="22"/>
          <w:szCs w:val="22"/>
        </w:rPr>
        <w:br/>
      </w:r>
      <w:r w:rsidR="0003519D" w:rsidRPr="007E7521">
        <w:rPr>
          <w:rFonts w:asciiTheme="minorHAnsi" w:hAnsiTheme="minorHAnsi"/>
          <w:sz w:val="22"/>
          <w:szCs w:val="22"/>
        </w:rPr>
        <w:t>Sprawozdanie nie zawiera danych łącznych</w:t>
      </w:r>
      <w:r w:rsidR="00DD58C0" w:rsidRPr="007E7521">
        <w:rPr>
          <w:rFonts w:asciiTheme="minorHAnsi" w:hAnsiTheme="minorHAnsi"/>
          <w:sz w:val="22"/>
          <w:szCs w:val="22"/>
        </w:rPr>
        <w:t>.</w:t>
      </w:r>
    </w:p>
    <w:p w14:paraId="3E6951E1" w14:textId="77777777" w:rsidR="001F6B31" w:rsidRPr="007E7521" w:rsidRDefault="003007CE"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Przyjęte zasady (polityki) rachunkowości, w tym metody wyceny aktywów i pasywów</w:t>
      </w:r>
      <w:r w:rsidR="008E6924" w:rsidRPr="007E7521">
        <w:rPr>
          <w:rFonts w:asciiTheme="minorHAnsi" w:hAnsiTheme="minorHAnsi"/>
          <w:b/>
          <w:bCs/>
          <w:sz w:val="22"/>
          <w:szCs w:val="22"/>
        </w:rPr>
        <w:t xml:space="preserve"> </w:t>
      </w:r>
    </w:p>
    <w:p w14:paraId="6EA66F2E"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sz w:val="22"/>
          <w:szCs w:val="22"/>
        </w:rPr>
        <w:t>Księgi rachunkowe</w:t>
      </w:r>
      <w:r w:rsidRPr="007E7521">
        <w:rPr>
          <w:rFonts w:asciiTheme="minorHAnsi" w:hAnsiTheme="minorHAnsi"/>
          <w:sz w:val="22"/>
          <w:szCs w:val="22"/>
        </w:rPr>
        <w:t xml:space="preserve"> Urzędu Dzielnicy Wawer</w:t>
      </w:r>
      <w:r w:rsidR="003A363B" w:rsidRPr="007E7521">
        <w:rPr>
          <w:rFonts w:asciiTheme="minorHAnsi" w:hAnsiTheme="minorHAnsi"/>
          <w:sz w:val="22"/>
          <w:szCs w:val="22"/>
        </w:rPr>
        <w:t xml:space="preserve"> m.st. Warszawy prowadzone są </w:t>
      </w:r>
      <w:r w:rsidRPr="007E7521">
        <w:rPr>
          <w:rFonts w:asciiTheme="minorHAnsi" w:hAnsiTheme="minorHAnsi"/>
          <w:sz w:val="22"/>
          <w:szCs w:val="22"/>
        </w:rPr>
        <w:t>w Wydziale Budżetow</w:t>
      </w:r>
      <w:r w:rsidR="0003519D" w:rsidRPr="007E7521">
        <w:rPr>
          <w:rFonts w:asciiTheme="minorHAnsi" w:hAnsiTheme="minorHAnsi"/>
          <w:sz w:val="22"/>
          <w:szCs w:val="22"/>
        </w:rPr>
        <w:t>o-Księgowym dla Dzielnicy Wawer</w:t>
      </w:r>
      <w:r w:rsidRPr="007E7521">
        <w:rPr>
          <w:rFonts w:asciiTheme="minorHAnsi" w:hAnsiTheme="minorHAnsi"/>
          <w:sz w:val="22"/>
          <w:szCs w:val="22"/>
        </w:rPr>
        <w:t xml:space="preserve">. Księgi rachunkowe prowadzone są zgodnie z przepisami ustawy z dnia 29 września 1994r. o rachunkowości (Dz. U. 2019r. poz. 351), </w:t>
      </w:r>
      <w:r w:rsidRPr="007E7521">
        <w:rPr>
          <w:rFonts w:asciiTheme="minorHAnsi" w:hAnsiTheme="minorHAnsi"/>
          <w:color w:val="000000"/>
          <w:sz w:val="22"/>
          <w:szCs w:val="22"/>
        </w:rPr>
        <w:t xml:space="preserve">ustawy z dnia 27 sierpnia 2009r. o finansach publicznych (Dz. U. z 2017r. poz. </w:t>
      </w:r>
      <w:r w:rsidR="00DD58C0" w:rsidRPr="007E7521">
        <w:rPr>
          <w:rFonts w:asciiTheme="minorHAnsi" w:hAnsiTheme="minorHAnsi"/>
          <w:color w:val="000000"/>
          <w:sz w:val="22"/>
          <w:szCs w:val="22"/>
        </w:rPr>
        <w:t xml:space="preserve">2077 </w:t>
      </w:r>
      <w:r w:rsidRPr="007E7521">
        <w:rPr>
          <w:rFonts w:asciiTheme="minorHAnsi" w:hAnsiTheme="minorHAnsi"/>
          <w:color w:val="000000"/>
          <w:sz w:val="22"/>
          <w:szCs w:val="22"/>
        </w:rPr>
        <w:t xml:space="preserve">z </w:t>
      </w:r>
      <w:proofErr w:type="spellStart"/>
      <w:r w:rsidRPr="007E7521">
        <w:rPr>
          <w:rFonts w:asciiTheme="minorHAnsi" w:hAnsiTheme="minorHAnsi"/>
          <w:color w:val="000000"/>
          <w:sz w:val="22"/>
          <w:szCs w:val="22"/>
        </w:rPr>
        <w:t>późn</w:t>
      </w:r>
      <w:proofErr w:type="spellEnd"/>
      <w:r w:rsidRPr="007E7521">
        <w:rPr>
          <w:rFonts w:asciiTheme="minorHAnsi" w:hAnsiTheme="minorHAnsi"/>
          <w:color w:val="000000"/>
          <w:sz w:val="22"/>
          <w:szCs w:val="22"/>
        </w:rPr>
        <w:t>. zm.)</w:t>
      </w:r>
      <w:r w:rsidRPr="007E7521">
        <w:rPr>
          <w:rFonts w:asciiTheme="minorHAnsi" w:hAnsiTheme="minorHAnsi"/>
          <w:sz w:val="22"/>
          <w:szCs w:val="22"/>
        </w:rPr>
        <w:t xml:space="preserve"> oraz wydanych na ich podstawie obowiązującymi rozporządzeniami Ministra Finansów</w:t>
      </w:r>
      <w:r w:rsidRPr="007E7521">
        <w:rPr>
          <w:rFonts w:asciiTheme="minorHAnsi" w:hAnsiTheme="minorHAnsi"/>
          <w:color w:val="000000"/>
          <w:sz w:val="22"/>
          <w:szCs w:val="22"/>
        </w:rPr>
        <w:t>.</w:t>
      </w:r>
      <w:r w:rsidR="0003519D" w:rsidRPr="007E7521">
        <w:rPr>
          <w:rFonts w:asciiTheme="minorHAnsi" w:hAnsiTheme="minorHAnsi"/>
          <w:sz w:val="22"/>
          <w:szCs w:val="22"/>
        </w:rPr>
        <w:t xml:space="preserve"> Przyjęte zasady (politykę) rachunkowości określa Zarządzenie Nr 3222/2012 Prezydenta m.st. Warszawy z dnia 13 sierpnia 2012 roku, z </w:t>
      </w:r>
      <w:r w:rsidR="00C97DF2" w:rsidRPr="007E7521">
        <w:rPr>
          <w:rFonts w:asciiTheme="minorHAnsi" w:hAnsiTheme="minorHAnsi"/>
          <w:sz w:val="22"/>
          <w:szCs w:val="22"/>
        </w:rPr>
        <w:t>p</w:t>
      </w:r>
      <w:r w:rsidR="0003519D" w:rsidRPr="007E7521">
        <w:rPr>
          <w:rFonts w:asciiTheme="minorHAnsi" w:hAnsiTheme="minorHAnsi"/>
          <w:sz w:val="22"/>
          <w:szCs w:val="22"/>
        </w:rPr>
        <w:t>óźn.zm. w sprawie przyjętych zasad rachunkowości w Urzędzie m.st. Warszawy.</w:t>
      </w:r>
    </w:p>
    <w:p w14:paraId="22D68204" w14:textId="77777777" w:rsidR="001F6B31" w:rsidRPr="007E7521" w:rsidRDefault="001A3E6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Urzędzie Dzielnicy Wawer</w:t>
      </w:r>
      <w:r w:rsidR="00D64830" w:rsidRPr="007E7521">
        <w:rPr>
          <w:rFonts w:asciiTheme="minorHAnsi" w:hAnsiTheme="minorHAnsi"/>
          <w:sz w:val="22"/>
          <w:szCs w:val="22"/>
        </w:rPr>
        <w:t xml:space="preserve"> nie jest prowadzona gospodarka magazynowa.</w:t>
      </w:r>
    </w:p>
    <w:p w14:paraId="5106217C"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o wartości powyżej 500 zł do 10 000 zł i okresie używania dłuższym niż 1 rok są:</w:t>
      </w:r>
    </w:p>
    <w:p w14:paraId="28E1145C"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finansowane ze środków obrotowych,</w:t>
      </w:r>
    </w:p>
    <w:p w14:paraId="041A7734"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ewidencjonowane jako pozostałe środki trwałe w używaniu na koncie 013 i</w:t>
      </w:r>
      <w:r w:rsidR="007F3275" w:rsidRPr="007E7521">
        <w:rPr>
          <w:rFonts w:asciiTheme="minorHAnsi" w:hAnsiTheme="minorHAnsi"/>
          <w:sz w:val="22"/>
          <w:szCs w:val="22"/>
        </w:rPr>
        <w:t xml:space="preserve"> </w:t>
      </w:r>
      <w:r w:rsidRPr="007E7521">
        <w:rPr>
          <w:rFonts w:asciiTheme="minorHAnsi" w:hAnsiTheme="minorHAnsi"/>
          <w:sz w:val="22"/>
          <w:szCs w:val="22"/>
        </w:rPr>
        <w:t>wartości niematerialne i prawne na koncie 020 w miesiącu przekazania ich do</w:t>
      </w:r>
      <w:r w:rsidR="00CD0653" w:rsidRPr="007E7521">
        <w:rPr>
          <w:rFonts w:asciiTheme="minorHAnsi" w:hAnsiTheme="minorHAnsi"/>
          <w:sz w:val="22"/>
          <w:szCs w:val="22"/>
        </w:rPr>
        <w:t xml:space="preserve"> </w:t>
      </w:r>
      <w:r w:rsidRPr="007E7521">
        <w:rPr>
          <w:rFonts w:asciiTheme="minorHAnsi" w:hAnsiTheme="minorHAnsi"/>
          <w:sz w:val="22"/>
          <w:szCs w:val="22"/>
        </w:rPr>
        <w:t>używania po zakupie.</w:t>
      </w:r>
    </w:p>
    <w:p w14:paraId="4575E334"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Pozostałe środki trwałe w używaniu o wartości mniejs</w:t>
      </w:r>
      <w:r w:rsidR="00DD58C0" w:rsidRPr="007E7521">
        <w:rPr>
          <w:rFonts w:asciiTheme="minorHAnsi" w:hAnsiTheme="minorHAnsi"/>
          <w:sz w:val="22"/>
          <w:szCs w:val="22"/>
        </w:rPr>
        <w:t xml:space="preserve">zej/równej 500 </w:t>
      </w:r>
      <w:r w:rsidRPr="007E7521">
        <w:rPr>
          <w:rFonts w:asciiTheme="minorHAnsi" w:hAnsiTheme="minorHAnsi"/>
          <w:sz w:val="22"/>
          <w:szCs w:val="22"/>
        </w:rPr>
        <w:t>o charakterze wyposażenia biura:</w:t>
      </w:r>
    </w:p>
    <w:p w14:paraId="5E68D3A7"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kosze, zasłony, firany, karnisze, wykładziny - księgowane są bezpośrednio </w:t>
      </w:r>
      <w:r w:rsidR="00CD0653" w:rsidRPr="007E7521">
        <w:rPr>
          <w:rFonts w:asciiTheme="minorHAnsi" w:hAnsiTheme="minorHAnsi"/>
          <w:sz w:val="22"/>
          <w:szCs w:val="22"/>
        </w:rPr>
        <w:t xml:space="preserve"> </w:t>
      </w:r>
      <w:r w:rsidRPr="007E7521">
        <w:rPr>
          <w:rFonts w:asciiTheme="minorHAnsi" w:hAnsiTheme="minorHAnsi"/>
          <w:sz w:val="22"/>
          <w:szCs w:val="22"/>
        </w:rPr>
        <w:t>w koszty w momencie oddania ich do użytkowania,</w:t>
      </w:r>
    </w:p>
    <w:p w14:paraId="3C3C9742"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np. lampki biurowe, czajniki elektryczne, lustra, tablice korkowe księgowane są w koszty w momencie oddania ich do użytkowania. </w:t>
      </w:r>
    </w:p>
    <w:p w14:paraId="3264A6A9"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drobne akcesoria komputerowe </w:t>
      </w:r>
      <w:r w:rsidRPr="007E7521">
        <w:rPr>
          <w:rFonts w:asciiTheme="minorHAnsi" w:hAnsiTheme="minorHAnsi"/>
          <w:bCs/>
          <w:color w:val="000000"/>
          <w:sz w:val="22"/>
          <w:szCs w:val="22"/>
        </w:rPr>
        <w:t>księgowane są w koszty w momencie oddania ich do użytkowania.</w:t>
      </w:r>
    </w:p>
    <w:p w14:paraId="480CEB56" w14:textId="77777777" w:rsidR="001F6B31"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Pozostałe środki trwałe </w:t>
      </w:r>
      <w:r w:rsidRPr="007E7521">
        <w:rPr>
          <w:rFonts w:asciiTheme="minorHAnsi" w:hAnsiTheme="minorHAnsi"/>
          <w:bCs/>
          <w:color w:val="000000"/>
          <w:sz w:val="22"/>
          <w:szCs w:val="22"/>
        </w:rPr>
        <w:t>w używaniu bez względu na ich wartość początkową i okres użytkowania kupowane są ze środków obrotowych i ewidencjonowane:</w:t>
      </w:r>
    </w:p>
    <w:p w14:paraId="2C2C1E2E"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meble, dywany, telefony, środki dydaktyczne na koncie 013,</w:t>
      </w:r>
    </w:p>
    <w:p w14:paraId="08772661" w14:textId="77777777" w:rsidR="001F6B31"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książki (literatura fachowa) księgowane są bezpośrednio w koszty w momencie ich p</w:t>
      </w:r>
      <w:r w:rsidRPr="007E7521">
        <w:rPr>
          <w:rFonts w:asciiTheme="minorHAnsi" w:hAnsiTheme="minorHAnsi"/>
          <w:bCs/>
          <w:color w:val="000000"/>
          <w:sz w:val="22"/>
          <w:szCs w:val="22"/>
        </w:rPr>
        <w:t>rzekazania do użytkowania. Ponadto  podlegają wpisowi do kart ewidencyjnych wyposażenia pracowników.</w:t>
      </w:r>
    </w:p>
    <w:p w14:paraId="76EFD3C5"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np. licencje na oprogramowanie komputerowe, o wartości jednostkowej powyżej 10 000 zł i okresie używania dłuższym niż rok są kupowane ze środków inwestycyjnych.</w:t>
      </w:r>
      <w:r w:rsidR="002E5BC8" w:rsidRPr="007E7521">
        <w:rPr>
          <w:rFonts w:asciiTheme="minorHAnsi" w:hAnsiTheme="minorHAnsi"/>
          <w:sz w:val="22"/>
          <w:szCs w:val="22"/>
        </w:rPr>
        <w:t xml:space="preserve"> </w:t>
      </w:r>
      <w:r w:rsidR="00F722CD" w:rsidRPr="007E7521">
        <w:rPr>
          <w:rFonts w:asciiTheme="minorHAnsi" w:hAnsiTheme="minorHAnsi"/>
          <w:sz w:val="22"/>
          <w:szCs w:val="22"/>
        </w:rPr>
        <w:t xml:space="preserve">Wartość początkową środków trwałych powiększa się o sumę wydatków poniesionych na ich ulepszenie, jeżeli wydatki te jednorazowo lub suma wydatków w ciągu roku budżetowego </w:t>
      </w:r>
      <w:r w:rsidR="00E40FD5" w:rsidRPr="007E7521">
        <w:rPr>
          <w:rFonts w:asciiTheme="minorHAnsi" w:hAnsiTheme="minorHAnsi"/>
          <w:sz w:val="22"/>
          <w:szCs w:val="22"/>
        </w:rPr>
        <w:t xml:space="preserve">przekraczają kwotę 10 000 zł. </w:t>
      </w:r>
      <w:r w:rsidR="00F722CD" w:rsidRPr="007E7521">
        <w:rPr>
          <w:rFonts w:asciiTheme="minorHAnsi" w:hAnsiTheme="minorHAnsi"/>
          <w:sz w:val="22"/>
          <w:szCs w:val="22"/>
        </w:rPr>
        <w:t>Natomiast wydatki poniesione na przywrócenie pierwotnego stanu technicznego i użytkowego środka trwałego wraz z wymianą zużytych części składowych są wydatkami poniesionymi na remont i nie powiększają wartości środka trwałego.</w:t>
      </w:r>
      <w:r w:rsidR="006F3FE2" w:rsidRPr="007E7521">
        <w:rPr>
          <w:rFonts w:asciiTheme="minorHAnsi" w:hAnsiTheme="minorHAnsi"/>
          <w:sz w:val="22"/>
          <w:szCs w:val="22"/>
        </w:rPr>
        <w:br/>
      </w:r>
      <w:r w:rsidR="003A363B" w:rsidRPr="007E7521">
        <w:rPr>
          <w:rFonts w:asciiTheme="minorHAnsi" w:hAnsiTheme="minorHAnsi"/>
          <w:sz w:val="22"/>
          <w:szCs w:val="22"/>
        </w:rPr>
        <w:t>W przypadku zakupu środka trwałego oraz wartości niematerialnej i prawnej o wartości jednostkowej brutto powyżej 10 000 zł, od których przysługuje Miastu prawo do odliczenia podatku VAT, zakupiony środek trwały oraz wartość niematerialną i prawną ujmuje się w wartości brutto pomniejszonej o kwotę odliczonego podatku VAT pomimo, że wartość tego środka trwałego czy wartości niematerialnej i prawnej po odliczeniu podatku VAT jest mniejsza od kwoty 10 000 zł.</w:t>
      </w:r>
      <w:r w:rsidR="006F3FE2" w:rsidRPr="007E7521">
        <w:rPr>
          <w:rFonts w:asciiTheme="minorHAnsi" w:hAnsiTheme="minorHAnsi"/>
          <w:sz w:val="22"/>
          <w:szCs w:val="22"/>
        </w:rPr>
        <w:br/>
      </w:r>
      <w:r w:rsidR="003A363B" w:rsidRPr="007E7521">
        <w:rPr>
          <w:rFonts w:asciiTheme="minorHAnsi" w:hAnsiTheme="minorHAnsi"/>
          <w:bCs/>
          <w:sz w:val="22"/>
          <w:szCs w:val="22"/>
        </w:rPr>
        <w:t xml:space="preserve">W przypadku nabywania środków trwałych i wartości niematerialnych i prawnych o wartości jednostkowej brutto powyżej 10 000 zł, gdzie dostawa majątku następuje w całości natomiast faktura opiewa na część zamówienia np. na  </w:t>
      </w:r>
      <w:r w:rsidR="003A363B" w:rsidRPr="007E7521">
        <w:rPr>
          <w:rFonts w:asciiTheme="minorHAnsi" w:hAnsiTheme="minorHAnsi"/>
          <w:bCs/>
          <w:sz w:val="22"/>
          <w:szCs w:val="22"/>
          <w:vertAlign w:val="superscript"/>
        </w:rPr>
        <w:t>1</w:t>
      </w:r>
      <w:r w:rsidR="003A363B" w:rsidRPr="007E7521">
        <w:rPr>
          <w:rFonts w:asciiTheme="minorHAnsi" w:hAnsiTheme="minorHAnsi"/>
          <w:bCs/>
          <w:sz w:val="22"/>
          <w:szCs w:val="22"/>
        </w:rPr>
        <w:t>/</w:t>
      </w:r>
      <w:r w:rsidR="003A363B" w:rsidRPr="007E7521">
        <w:rPr>
          <w:rFonts w:asciiTheme="minorHAnsi" w:hAnsiTheme="minorHAnsi"/>
          <w:bCs/>
          <w:sz w:val="22"/>
          <w:szCs w:val="22"/>
          <w:vertAlign w:val="subscript"/>
        </w:rPr>
        <w:t>3</w:t>
      </w:r>
      <w:r w:rsidR="003A363B" w:rsidRPr="007E7521">
        <w:rPr>
          <w:rFonts w:asciiTheme="minorHAnsi" w:hAnsiTheme="minorHAnsi"/>
          <w:bCs/>
          <w:sz w:val="22"/>
          <w:szCs w:val="22"/>
        </w:rPr>
        <w:t xml:space="preserve"> wartości dostawy (dostawa towaru bez faktury), od których przysługuje Miastu prawo do odliczenia podatku VAT, nabywany środek trwały oraz wartość niematerialną i prawną przyjmuje się do ewidencji wg wartości na dzień przyjęcia po odliczeniu naliczonego podatku VAT zgodnie z obowiązującym wskaźnikiem od całej wartości dostawy. Przyjętego majątku na środki trwałe lub na wartości niematerialne i prawne nie koryguje się o zwiększenia lub zmniejszenia wartości z tytułu zmiany wskaźnika naliczonego podatku VAT z uwagi na małą istotność.</w:t>
      </w:r>
    </w:p>
    <w:p w14:paraId="6215252C" w14:textId="77777777" w:rsidR="006F3FE2"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wartości niematerialne i prawne</w:t>
      </w:r>
      <w:r w:rsidR="00F722CD" w:rsidRPr="007E7521">
        <w:rPr>
          <w:rFonts w:asciiTheme="minorHAnsi" w:hAnsiTheme="minorHAnsi"/>
          <w:sz w:val="22"/>
          <w:szCs w:val="22"/>
        </w:rPr>
        <w:t xml:space="preserve"> (z wyjątkiem </w:t>
      </w:r>
      <w:r w:rsidRPr="007E7521">
        <w:rPr>
          <w:rFonts w:asciiTheme="minorHAnsi" w:hAnsiTheme="minorHAnsi"/>
          <w:sz w:val="22"/>
          <w:szCs w:val="22"/>
        </w:rPr>
        <w:t xml:space="preserve">gruntów stanowiących własność m.st. Warszawy i przysługującego m.st. Warszawie prawa użytkowania wieczystego) </w:t>
      </w:r>
      <w:r w:rsidR="00F722CD" w:rsidRPr="007E7521">
        <w:rPr>
          <w:rFonts w:asciiTheme="minorHAnsi" w:hAnsiTheme="minorHAnsi"/>
          <w:sz w:val="22"/>
          <w:szCs w:val="22"/>
        </w:rPr>
        <w:t xml:space="preserve">oraz dobra kultury </w:t>
      </w:r>
      <w:r w:rsidRPr="007E7521">
        <w:rPr>
          <w:rFonts w:asciiTheme="minorHAnsi" w:hAnsiTheme="minorHAnsi"/>
          <w:sz w:val="22"/>
          <w:szCs w:val="22"/>
        </w:rPr>
        <w:t>podlegają ewidencji wartościowej w księgach rachunkowych oraz ewidencji ilościowo-wartościowej w księgach inwentarzowych prowadzo</w:t>
      </w:r>
      <w:r w:rsidR="00F722CD" w:rsidRPr="007E7521">
        <w:rPr>
          <w:rFonts w:asciiTheme="minorHAnsi" w:hAnsiTheme="minorHAnsi"/>
          <w:sz w:val="22"/>
          <w:szCs w:val="22"/>
        </w:rPr>
        <w:t>nych przez wydziały w sprawach : administracyjno-gospodarczych , informatycznych oraz działalności kulturalnej</w:t>
      </w:r>
      <w:r w:rsidRPr="007E7521">
        <w:rPr>
          <w:rFonts w:asciiTheme="minorHAnsi" w:hAnsiTheme="minorHAnsi"/>
          <w:sz w:val="22"/>
          <w:szCs w:val="22"/>
        </w:rPr>
        <w:t>.</w:t>
      </w:r>
    </w:p>
    <w:p w14:paraId="2E8E6F85" w14:textId="77777777" w:rsidR="006F3FE2" w:rsidRPr="007E7521" w:rsidRDefault="003A363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Grunty stanowiące własność m.st. Warszawy (w tym oddane w użytkowanie wieczyste innym podmiotom) podlegają ewidencji syntetycznej i analitycznej.</w:t>
      </w:r>
      <w:r w:rsidR="006F3FE2" w:rsidRPr="007E7521">
        <w:rPr>
          <w:rFonts w:asciiTheme="minorHAnsi" w:hAnsiTheme="minorHAnsi"/>
          <w:sz w:val="22"/>
          <w:szCs w:val="22"/>
        </w:rPr>
        <w:br/>
      </w:r>
      <w:r w:rsidR="00D64830" w:rsidRPr="007E7521">
        <w:rPr>
          <w:rFonts w:asciiTheme="minorHAnsi" w:hAnsiTheme="minorHAnsi"/>
          <w:sz w:val="22"/>
          <w:szCs w:val="22"/>
        </w:rPr>
        <w:t>Ewidencja</w:t>
      </w:r>
      <w:r w:rsidRPr="007E7521">
        <w:rPr>
          <w:rFonts w:asciiTheme="minorHAnsi" w:hAnsiTheme="minorHAnsi"/>
          <w:sz w:val="22"/>
          <w:szCs w:val="22"/>
        </w:rPr>
        <w:t xml:space="preserve"> analityczna tj. </w:t>
      </w:r>
      <w:r w:rsidR="00D64830" w:rsidRPr="007E7521">
        <w:rPr>
          <w:rFonts w:asciiTheme="minorHAnsi" w:hAnsiTheme="minorHAnsi"/>
          <w:sz w:val="22"/>
          <w:szCs w:val="22"/>
        </w:rPr>
        <w:t xml:space="preserve"> ilościowo-wartościowa gruntów stanowiących własność m.st. Warszawy (w tym oddanych w użytkowanie wieczyste innym podmiotom) oraz przysługującego m.st. Warszawie prawa użytkowania wieczystego, prowadzona jest w księgach inwentarzowych przez Wydział Gospodarki Nieruchomościami, czyli wewnętrzną komórkę organizacyjną urzędu dzielnicy właściwą do prowadzenia zasobu nieruchomości m.st. Warszawy</w:t>
      </w:r>
      <w:r w:rsidRPr="007E7521">
        <w:rPr>
          <w:rFonts w:asciiTheme="minorHAnsi" w:hAnsiTheme="minorHAnsi"/>
          <w:sz w:val="22"/>
          <w:szCs w:val="22"/>
        </w:rPr>
        <w:t xml:space="preserve"> </w:t>
      </w:r>
      <w:r w:rsidR="00D64830" w:rsidRPr="007E7521">
        <w:rPr>
          <w:rFonts w:asciiTheme="minorHAnsi" w:hAnsi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Pr="007E7521">
        <w:rPr>
          <w:rFonts w:asciiTheme="minorHAnsi" w:hAnsiTheme="minorHAnsi"/>
          <w:sz w:val="22"/>
          <w:szCs w:val="22"/>
        </w:rPr>
        <w:t xml:space="preserve"> </w:t>
      </w:r>
      <w:r w:rsidR="00D64830" w:rsidRPr="007E7521">
        <w:rPr>
          <w:rFonts w:asciiTheme="minorHAnsi" w:hAnsiTheme="minorHAnsi"/>
          <w:sz w:val="22"/>
          <w:szCs w:val="22"/>
        </w:rPr>
        <w:t>w ramach zadań inwestycyjnych, darowizny).</w:t>
      </w:r>
      <w:r w:rsidR="006F3FE2" w:rsidRPr="007E7521">
        <w:rPr>
          <w:rFonts w:asciiTheme="minorHAnsi" w:hAnsiTheme="minorHAnsi"/>
          <w:sz w:val="22"/>
          <w:szCs w:val="22"/>
        </w:rPr>
        <w:br/>
      </w:r>
      <w:r w:rsidR="00D64830" w:rsidRPr="007E7521">
        <w:rPr>
          <w:rFonts w:asciiTheme="minorHAnsi" w:hAnsiTheme="minorHAnsi"/>
          <w:sz w:val="22"/>
          <w:szCs w:val="22"/>
        </w:rPr>
        <w:t>Ewidencję syntetyczną wartościową w ww. zakresie prowadzi Wydział Budżetowo-Księgowy, w oparciu o dokumenty dosta</w:t>
      </w:r>
      <w:r w:rsidRPr="007E7521">
        <w:rPr>
          <w:rFonts w:asciiTheme="minorHAnsi" w:hAnsiTheme="minorHAnsi"/>
          <w:sz w:val="22"/>
          <w:szCs w:val="22"/>
        </w:rPr>
        <w:t xml:space="preserve">rczane przez Wydział Gospodarki </w:t>
      </w:r>
      <w:r w:rsidR="00D64830" w:rsidRPr="007E7521">
        <w:rPr>
          <w:rFonts w:asciiTheme="minorHAnsi" w:hAnsiTheme="minorHAnsi"/>
          <w:sz w:val="22"/>
          <w:szCs w:val="22"/>
        </w:rPr>
        <w:t xml:space="preserve">Nieruchomościami. </w:t>
      </w:r>
    </w:p>
    <w:p w14:paraId="2B0FDF7A" w14:textId="47AC0D7E"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tym przysługujące m.st. Warszawie prawa użytkowania wieczystego gruntu (z wyłączeniem gruntów stanowiących własność m.st. Warszawy) oraz wartości niematerialne i prawne podlegają amortyzacji i umorzeniu nie rzadziej niż raz w roku, według stawek amortyzacyjnych określonych w załączniku nr 7 do Zarządzenia Nr 3222/2012 Prezydenta m.st. Warszawy z dnia 13 sierpnia 2012 roku, z późn.zm .</w:t>
      </w:r>
    </w:p>
    <w:p w14:paraId="1AFD089D" w14:textId="77777777" w:rsidR="00C97DF2" w:rsidRPr="007E7521" w:rsidRDefault="00C97DF2" w:rsidP="007E7521">
      <w:pPr>
        <w:pStyle w:val="Akapitzlist"/>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i wartości niematerialne i prawne amortyzuje się metodą liniową zwaną metodą równomiernych odpisów</w:t>
      </w:r>
    </w:p>
    <w:p w14:paraId="784038D6" w14:textId="77777777"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Rozpoczęcie amortyzacji następuje w następnym miesiącu po przyjęciu do użytkowania majątku, a jej zakończenie, nie później niż z chwilą zrównania wartości odpisów amortyzacyjnych lub umorzeniowych z wartością początkową ww. majątku lub przeznaczenia go do likwidacji, sprzedaży bądź stwierdzenia jego niedoboru, z ewentualnym uwzględnieniem przewidywanej przy likwidacji ceny sprzedaży netto pozostałości majątku.</w:t>
      </w:r>
    </w:p>
    <w:p w14:paraId="78AFBE95" w14:textId="62DDD91E" w:rsidR="006F3FE2" w:rsidRPr="007E7521" w:rsidRDefault="00BD4A9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Podstawowe stawki amortyzacyjne stosowane przez Miasto :</w:t>
      </w:r>
      <w:r w:rsidR="006F3FE2" w:rsidRPr="007E7521">
        <w:rPr>
          <w:rFonts w:asciiTheme="minorHAnsi" w:hAnsiTheme="minorHAnsi"/>
          <w:sz w:val="22"/>
          <w:szCs w:val="22"/>
        </w:rPr>
        <w:br/>
      </w:r>
      <w:r w:rsidRPr="007E7521">
        <w:rPr>
          <w:rFonts w:asciiTheme="minorHAnsi" w:hAnsiTheme="minorHAnsi"/>
          <w:sz w:val="22"/>
          <w:szCs w:val="22"/>
        </w:rPr>
        <w:t>Budynki , lokale i obiekty inżynierii lądowej i wodnej</w:t>
      </w:r>
      <w:r w:rsidR="006F3FE2" w:rsidRPr="007E7521">
        <w:rPr>
          <w:rFonts w:asciiTheme="minorHAnsi" w:hAnsiTheme="minorHAnsi"/>
          <w:sz w:val="22"/>
          <w:szCs w:val="22"/>
        </w:rPr>
        <w:t xml:space="preserve"> </w:t>
      </w:r>
      <w:r w:rsidRPr="007E7521">
        <w:rPr>
          <w:rFonts w:asciiTheme="minorHAnsi" w:hAnsiTheme="minorHAnsi"/>
          <w:sz w:val="22"/>
          <w:szCs w:val="22"/>
        </w:rPr>
        <w:t>1,5-10%</w:t>
      </w:r>
      <w:r w:rsidR="006F3FE2" w:rsidRPr="007E7521">
        <w:rPr>
          <w:rFonts w:asciiTheme="minorHAnsi" w:hAnsiTheme="minorHAnsi"/>
          <w:sz w:val="22"/>
          <w:szCs w:val="22"/>
        </w:rPr>
        <w:br/>
      </w:r>
      <w:r w:rsidRPr="007E7521">
        <w:rPr>
          <w:rFonts w:asciiTheme="minorHAnsi" w:hAnsiTheme="minorHAnsi"/>
          <w:sz w:val="22"/>
          <w:szCs w:val="22"/>
        </w:rPr>
        <w:t>Urządzenia techniczne i maszyny 4,5-30%</w:t>
      </w:r>
      <w:r w:rsidR="006F3FE2" w:rsidRPr="007E7521">
        <w:rPr>
          <w:rFonts w:asciiTheme="minorHAnsi" w:hAnsiTheme="minorHAnsi"/>
          <w:sz w:val="22"/>
          <w:szCs w:val="22"/>
        </w:rPr>
        <w:br/>
      </w:r>
      <w:r w:rsidRPr="007E7521">
        <w:rPr>
          <w:rFonts w:asciiTheme="minorHAnsi" w:hAnsiTheme="minorHAnsi"/>
          <w:sz w:val="22"/>
          <w:szCs w:val="22"/>
        </w:rPr>
        <w:t>Środki transportu 7-20%</w:t>
      </w:r>
      <w:r w:rsidR="006F3FE2" w:rsidRPr="007E7521">
        <w:rPr>
          <w:rFonts w:asciiTheme="minorHAnsi" w:hAnsiTheme="minorHAnsi"/>
          <w:sz w:val="22"/>
          <w:szCs w:val="22"/>
        </w:rPr>
        <w:br/>
      </w:r>
      <w:r w:rsidRPr="007E7521">
        <w:rPr>
          <w:rFonts w:asciiTheme="minorHAnsi" w:hAnsiTheme="minorHAnsi"/>
          <w:sz w:val="22"/>
          <w:szCs w:val="22"/>
        </w:rPr>
        <w:t>Inne środki trwałe 10</w:t>
      </w:r>
      <w:r w:rsidR="006F3FE2" w:rsidRPr="007E7521">
        <w:rPr>
          <w:rFonts w:asciiTheme="minorHAnsi" w:hAnsiTheme="minorHAnsi"/>
          <w:sz w:val="22"/>
          <w:szCs w:val="22"/>
        </w:rPr>
        <w:t>-</w:t>
      </w:r>
      <w:r w:rsidRPr="007E7521">
        <w:rPr>
          <w:rFonts w:asciiTheme="minorHAnsi" w:hAnsiTheme="minorHAnsi"/>
          <w:sz w:val="22"/>
          <w:szCs w:val="22"/>
        </w:rPr>
        <w:t>20%</w:t>
      </w:r>
      <w:r w:rsidR="006F3FE2" w:rsidRPr="007E7521">
        <w:rPr>
          <w:rFonts w:asciiTheme="minorHAnsi" w:hAnsiTheme="minorHAnsi"/>
          <w:sz w:val="22"/>
          <w:szCs w:val="22"/>
        </w:rPr>
        <w:br/>
      </w:r>
      <w:r w:rsidRPr="007E7521">
        <w:rPr>
          <w:rFonts w:asciiTheme="minorHAnsi" w:hAnsiTheme="minorHAnsi"/>
          <w:sz w:val="22"/>
          <w:szCs w:val="22"/>
        </w:rPr>
        <w:t>Prawo wieczystego użytkowania gruntu 2,50%</w:t>
      </w:r>
    </w:p>
    <w:p w14:paraId="1E98BA3D" w14:textId="57692B52" w:rsidR="00C97DF2" w:rsidRPr="007E7521" w:rsidRDefault="00C97DF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Środki trwałe oraz wartości niematerialne i prawne o wartości powyżej 500 zł do 10.000 zł i okresie użytkowanie dłuższym niż 1 rok </w:t>
      </w:r>
      <w:r w:rsidR="00731236" w:rsidRPr="007E7521">
        <w:rPr>
          <w:rFonts w:asciiTheme="minorHAnsi" w:hAnsiTheme="minorHAnsi"/>
          <w:sz w:val="22"/>
          <w:szCs w:val="22"/>
        </w:rPr>
        <w:t>oraz meble, dywany , telefony, środki dydaktyczne</w:t>
      </w:r>
      <w:r w:rsidRPr="007E7521">
        <w:rPr>
          <w:rFonts w:asciiTheme="minorHAnsi" w:hAnsiTheme="minorHAnsi"/>
          <w:sz w:val="22"/>
          <w:szCs w:val="22"/>
        </w:rPr>
        <w:t xml:space="preserve"> podlegają umorzeniu w pełnej wartości w miesiącu wydania do używania</w:t>
      </w:r>
      <w:r w:rsidR="00731236" w:rsidRPr="007E7521">
        <w:rPr>
          <w:rFonts w:asciiTheme="minorHAnsi" w:hAnsiTheme="minorHAnsi"/>
          <w:sz w:val="22"/>
          <w:szCs w:val="22"/>
        </w:rPr>
        <w:t>.</w:t>
      </w:r>
    </w:p>
    <w:p w14:paraId="642D8090" w14:textId="77777777" w:rsidR="00731236"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Nie podlegają umorzeniu grunty oraz dobra kultury.</w:t>
      </w:r>
    </w:p>
    <w:p w14:paraId="0D971136" w14:textId="77777777" w:rsidR="006F3FE2" w:rsidRPr="007E7521" w:rsidRDefault="0073123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Składniki majątkowe otrzymane od innych jednostek organizacyjnych m.st. Warszawy, ujmuje się w ewidencji księgowej w szyku rozwartym tj. w wartości początkowej i dotychczasowego umorzenia odrębnie ustalonego dla każdego przyjmowanego składnika majątku .</w:t>
      </w:r>
    </w:p>
    <w:p w14:paraId="54416765" w14:textId="55ADF4D9" w:rsidR="009369EA" w:rsidRPr="007E7521" w:rsidRDefault="00527CA6"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Pożyczki udzielane ze środków Zakładowego Funduszu Świadczeń Socjalnych kwalifikowane są do należności krótkoterminowych niezależnie od terminów ich zapadalności.</w:t>
      </w:r>
    </w:p>
    <w:p w14:paraId="690990AF" w14:textId="777BF910" w:rsidR="009369EA" w:rsidRPr="007E7521" w:rsidRDefault="009369EA" w:rsidP="007E7521">
      <w:pPr>
        <w:tabs>
          <w:tab w:val="left" w:pos="709"/>
        </w:tabs>
        <w:spacing w:after="100" w:afterAutospacing="1"/>
        <w:jc w:val="both"/>
        <w:rPr>
          <w:rFonts w:asciiTheme="minorHAnsi" w:hAnsiTheme="minorHAnsi"/>
          <w:b/>
          <w:sz w:val="22"/>
          <w:szCs w:val="22"/>
        </w:rPr>
      </w:pPr>
      <w:r w:rsidRPr="007E7521">
        <w:rPr>
          <w:rFonts w:asciiTheme="minorHAnsi" w:hAnsiTheme="minorHAnsi"/>
          <w:b/>
          <w:sz w:val="22"/>
          <w:szCs w:val="22"/>
        </w:rPr>
        <w:t xml:space="preserve">Przyjęte metody wyceny aktywów i pasywów oraz ustalania wyniku finansowego </w:t>
      </w:r>
    </w:p>
    <w:p w14:paraId="3E96584C" w14:textId="3047A3D8" w:rsidR="009369EA" w:rsidRPr="007E7521" w:rsidRDefault="009369EA" w:rsidP="007E75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oraz wartości niematerialne i prawne wycenia się według cen nabycia lub kosztów wytworzenia</w:t>
      </w:r>
      <w:r w:rsidR="0075380A" w:rsidRPr="007E7521">
        <w:rPr>
          <w:rFonts w:asciiTheme="minorHAnsi" w:hAnsiTheme="minorHAnsi"/>
          <w:sz w:val="22"/>
          <w:szCs w:val="22"/>
        </w:rPr>
        <w:t xml:space="preserve"> lub wartości przeszacowanej</w:t>
      </w:r>
      <w:r w:rsidRPr="007E7521">
        <w:rPr>
          <w:rFonts w:asciiTheme="minorHAnsi" w:hAnsiTheme="minorHAnsi"/>
          <w:sz w:val="22"/>
          <w:szCs w:val="22"/>
        </w:rPr>
        <w:t>, pomniejszonej o dotychczasowe dokonane odpisy umorzeniowe</w:t>
      </w:r>
      <w:r w:rsidR="00E40FD5" w:rsidRPr="007E7521">
        <w:rPr>
          <w:rFonts w:asciiTheme="minorHAnsi" w:hAnsiTheme="minorHAnsi"/>
          <w:sz w:val="22"/>
          <w:szCs w:val="22"/>
        </w:rPr>
        <w:t>,</w:t>
      </w:r>
      <w:r w:rsidRPr="007E7521">
        <w:rPr>
          <w:rFonts w:asciiTheme="minorHAnsi" w:hAnsiTheme="minorHAnsi"/>
          <w:sz w:val="22"/>
          <w:szCs w:val="22"/>
        </w:rPr>
        <w:t xml:space="preserve"> a także odpisy z tytułu ewentualnej utraty wartości oraz skorygowanej o przeszacowania </w:t>
      </w:r>
      <w:r w:rsidR="00E4739B" w:rsidRPr="007E7521">
        <w:rPr>
          <w:rFonts w:asciiTheme="minorHAnsi" w:hAnsiTheme="minorHAnsi"/>
          <w:sz w:val="22"/>
          <w:szCs w:val="22"/>
        </w:rPr>
        <w:t>dokonane na podstawie odrębnych</w:t>
      </w:r>
      <w:r w:rsidR="003B2C50" w:rsidRPr="007E7521">
        <w:rPr>
          <w:rFonts w:asciiTheme="minorHAnsi" w:hAnsiTheme="minorHAnsi"/>
          <w:sz w:val="22"/>
          <w:szCs w:val="22"/>
        </w:rPr>
        <w:t xml:space="preserve"> </w:t>
      </w:r>
      <w:r w:rsidRPr="007E7521">
        <w:rPr>
          <w:rFonts w:asciiTheme="minorHAnsi" w:hAnsiTheme="minorHAnsi"/>
          <w:sz w:val="22"/>
          <w:szCs w:val="22"/>
        </w:rPr>
        <w:t>przepisów.</w:t>
      </w:r>
      <w:r w:rsidR="0075380A" w:rsidRPr="007E7521">
        <w:rPr>
          <w:rFonts w:asciiTheme="minorHAnsi" w:hAnsiTheme="minorHAnsi"/>
          <w:sz w:val="22"/>
          <w:szCs w:val="22"/>
        </w:rPr>
        <w:t xml:space="preserve"> Cena nabycia i koszty wytworzenia środków trwałych obejmuje również koszt obsługi zobowiązań zaciągniętych i wykorzystanych w celu </w:t>
      </w:r>
      <w:r w:rsidR="00BD4A90" w:rsidRPr="007E7521">
        <w:rPr>
          <w:rFonts w:asciiTheme="minorHAnsi" w:hAnsiTheme="minorHAnsi"/>
          <w:sz w:val="22"/>
          <w:szCs w:val="22"/>
        </w:rPr>
        <w:t xml:space="preserve">ich </w:t>
      </w:r>
      <w:r w:rsidR="0075380A" w:rsidRPr="007E7521">
        <w:rPr>
          <w:rFonts w:asciiTheme="minorHAnsi" w:hAnsiTheme="minorHAnsi"/>
          <w:sz w:val="22"/>
          <w:szCs w:val="22"/>
        </w:rPr>
        <w:t>finansowania</w:t>
      </w:r>
      <w:r w:rsidR="00BD4A90" w:rsidRPr="007E7521">
        <w:rPr>
          <w:rFonts w:asciiTheme="minorHAnsi" w:hAnsiTheme="minorHAnsi"/>
          <w:sz w:val="22"/>
          <w:szCs w:val="22"/>
        </w:rPr>
        <w:t xml:space="preserve"> za okres budowy , montażu i przystosowania. Cenę nabycia lub koszt wytworzenia środka trwałego powiększają jego ulepszenia .</w:t>
      </w:r>
      <w:r w:rsidR="0075380A" w:rsidRPr="007E7521">
        <w:rPr>
          <w:rFonts w:asciiTheme="minorHAnsi" w:hAnsiTheme="minorHAnsi"/>
          <w:sz w:val="22"/>
          <w:szCs w:val="22"/>
        </w:rPr>
        <w:t>Środki trwałe otrzymane nieodpłatnie wyceniane są w wartości określonej w decyzji o przekazaniu , pomniejszonych o odpisy umorzeniowe i odpisy z tytułu trwałej utraty wartości , w przypadku gdy w decyzji nie została określona wartość – według ceny sprzedaży takiego samego środka</w:t>
      </w:r>
      <w:r w:rsidR="00D01711" w:rsidRPr="007E7521">
        <w:rPr>
          <w:rFonts w:asciiTheme="minorHAnsi" w:hAnsiTheme="minorHAnsi"/>
          <w:sz w:val="22"/>
          <w:szCs w:val="22"/>
        </w:rPr>
        <w:t xml:space="preserve"> </w:t>
      </w:r>
      <w:r w:rsidR="0075380A" w:rsidRPr="007E7521">
        <w:rPr>
          <w:rFonts w:asciiTheme="minorHAnsi" w:hAnsiTheme="minorHAnsi"/>
          <w:sz w:val="22"/>
          <w:szCs w:val="22"/>
        </w:rPr>
        <w:t xml:space="preserve">trwałego lub podobnego . </w:t>
      </w:r>
    </w:p>
    <w:p w14:paraId="28C64124"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w:t>
      </w:r>
      <w:r w:rsidR="00E40FD5" w:rsidRPr="007E7521">
        <w:rPr>
          <w:rFonts w:asciiTheme="minorHAnsi" w:hAnsiTheme="minorHAnsi"/>
          <w:sz w:val="22"/>
          <w:szCs w:val="22"/>
        </w:rPr>
        <w:t xml:space="preserve"> aktualizujące</w:t>
      </w:r>
      <w:r w:rsidRPr="007E7521">
        <w:rPr>
          <w:rFonts w:asciiTheme="minorHAnsi" w:hAnsiTheme="minorHAnsi"/>
          <w:sz w:val="22"/>
          <w:szCs w:val="22"/>
        </w:rPr>
        <w:t xml:space="preserve"> odnoszone są w pozostałe koszty operacyjne .</w:t>
      </w:r>
    </w:p>
    <w:p w14:paraId="58BDBA46" w14:textId="77777777" w:rsidR="00AE424D" w:rsidRPr="007E7521" w:rsidRDefault="00AE424D"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Środki trwałe w budowie wycenia się w cenie nabycia lub po koszcie wytworzenia, pomniejszonych o odpisy z trwałej utraty wartości. Cena nabycia i koszt wytworzenia środków trwałych w budowie oraz środków trwałych obejmuje ogół kosztów poniesionych przez jednostkę w okresie budowy, montażu, przystosowania i ulepszenia do dnia bilansowego lub przyjęcia do użytkowania, łącznie z </w:t>
      </w:r>
      <w:r w:rsidR="00E4739B" w:rsidRPr="007E7521">
        <w:rPr>
          <w:rFonts w:asciiTheme="minorHAnsi" w:hAnsiTheme="minorHAnsi"/>
          <w:sz w:val="22"/>
          <w:szCs w:val="22"/>
        </w:rPr>
        <w:t>n</w:t>
      </w:r>
      <w:r w:rsidR="003B2C50" w:rsidRPr="007E7521">
        <w:rPr>
          <w:rFonts w:asciiTheme="minorHAnsi" w:hAnsiTheme="minorHAnsi"/>
          <w:sz w:val="22"/>
          <w:szCs w:val="22"/>
        </w:rPr>
        <w:t>ie</w:t>
      </w:r>
      <w:r w:rsidRPr="007E7521">
        <w:rPr>
          <w:rFonts w:asciiTheme="minorHAnsi" w:hAnsiTheme="minorHAnsi"/>
          <w:sz w:val="22"/>
          <w:szCs w:val="22"/>
        </w:rPr>
        <w:t>podlegającym odliczeniu podatkiem od towarów i usług, podatkiem akcyzowym, kosztem obsługi zobowiązań zaciągniętych w celu ich finansowania wraz z różnicami kursowymi, pomniejszone o przychody z tego tytułu</w:t>
      </w:r>
      <w:r w:rsidR="00076B4F" w:rsidRPr="007E7521">
        <w:rPr>
          <w:rFonts w:asciiTheme="minorHAnsi" w:hAnsiTheme="minorHAnsi"/>
          <w:sz w:val="22"/>
          <w:szCs w:val="22"/>
        </w:rPr>
        <w:t xml:space="preserve"> .</w:t>
      </w:r>
    </w:p>
    <w:p w14:paraId="019FF21D" w14:textId="77777777" w:rsidR="00AE424D"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Wartość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7017FE7A" w14:textId="77777777" w:rsidR="005478DB"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Dobra kultury pochodzące z zakupu wycenia się według cen nabycia, powiększone o nie podlegający odliczeniu podatek VAT, natomiast otrzymane dary i ujawnione nadwyżki wycenia się na podstawie komisyjnego szacunku ich wartości w dniu nabycia. </w:t>
      </w:r>
      <w:r w:rsidR="0088389E" w:rsidRPr="007E7521">
        <w:rPr>
          <w:rFonts w:asciiTheme="minorHAnsi" w:hAnsiTheme="minorHAnsi"/>
          <w:sz w:val="22"/>
          <w:szCs w:val="22"/>
        </w:rPr>
        <w:t>Dobra kultury nie podlegają umorzeniu.</w:t>
      </w:r>
    </w:p>
    <w:p w14:paraId="5196B57D" w14:textId="7DA12BC1" w:rsidR="005B6051"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Rzeczowe składniki majątku obrotowego wycenia się na dzień bilansowy według ich wartości wynikającej z ewidencji.</w:t>
      </w:r>
    </w:p>
    <w:p w14:paraId="1DBD5487" w14:textId="77777777" w:rsidR="005B6051" w:rsidRPr="007E7521" w:rsidRDefault="005B6051"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Odsetki od należności i zobowiązań , w tym również tych, do których stosuje się przepisy dotyczące zobowiązań podatkowych, ujmuje się w księgach rachunkowych w momencie ich zapłaty, lecz nie później niż pod datą ostatniego dnia kwartału w wysokości odsetek należnych na koniec tego kwartału.</w:t>
      </w:r>
    </w:p>
    <w:p w14:paraId="036089E6" w14:textId="77777777" w:rsidR="005B605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długoterminowe wycenia się kwocie wymagalnej zapłaty</w:t>
      </w:r>
      <w:r w:rsidR="00E40FD5" w:rsidRPr="007E7521">
        <w:rPr>
          <w:rFonts w:asciiTheme="minorHAnsi" w:hAnsiTheme="minorHAnsi"/>
          <w:sz w:val="22"/>
          <w:szCs w:val="22"/>
        </w:rPr>
        <w:t>.</w:t>
      </w:r>
    </w:p>
    <w:p w14:paraId="65536A88" w14:textId="77777777" w:rsidR="00D01711" w:rsidRPr="007E7521" w:rsidRDefault="00E4739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w:t>
      </w:r>
      <w:r w:rsidR="005B6051" w:rsidRPr="007E7521">
        <w:rPr>
          <w:rFonts w:asciiTheme="minorHAnsi" w:hAnsiTheme="minorHAnsi"/>
          <w:sz w:val="22"/>
          <w:szCs w:val="22"/>
        </w:rPr>
        <w:t>ależności wycenia się w kwocie wymagalnej zapłaty, z zachowaniem ostrożności wyceny i wykazuje się w wartości netto</w:t>
      </w:r>
      <w:r w:rsidRPr="007E7521">
        <w:rPr>
          <w:rFonts w:asciiTheme="minorHAnsi" w:hAnsiTheme="minorHAnsi"/>
          <w:sz w:val="22"/>
          <w:szCs w:val="22"/>
        </w:rPr>
        <w:t xml:space="preserve">, </w:t>
      </w:r>
      <w:r w:rsidR="005B6051" w:rsidRPr="007E7521">
        <w:rPr>
          <w:rFonts w:asciiTheme="minorHAnsi" w:hAnsiTheme="minorHAnsi"/>
          <w:sz w:val="22"/>
          <w:szCs w:val="22"/>
        </w:rPr>
        <w:t>po pomniej</w:t>
      </w:r>
      <w:r w:rsidRPr="007E7521">
        <w:rPr>
          <w:rFonts w:asciiTheme="minorHAnsi" w:hAnsiTheme="minorHAnsi"/>
          <w:sz w:val="22"/>
          <w:szCs w:val="22"/>
        </w:rPr>
        <w:t>szeniu o odpisy aktualizujące</w:t>
      </w:r>
      <w:r w:rsidR="005B6051" w:rsidRPr="007E7521">
        <w:rPr>
          <w:rFonts w:asciiTheme="minorHAnsi" w:hAnsiTheme="minorHAnsi"/>
          <w:sz w:val="22"/>
          <w:szCs w:val="22"/>
        </w:rPr>
        <w:t>.</w:t>
      </w:r>
      <w:r w:rsidR="00D01711" w:rsidRPr="007E7521">
        <w:rPr>
          <w:rFonts w:asciiTheme="minorHAnsi" w:hAnsiTheme="minorHAnsi"/>
          <w:sz w:val="22"/>
          <w:szCs w:val="22"/>
        </w:rPr>
        <w:br/>
      </w:r>
      <w:r w:rsidRPr="007E7521">
        <w:rPr>
          <w:rFonts w:asciiTheme="minorHAnsi" w:hAnsiTheme="minorHAnsi"/>
          <w:sz w:val="22"/>
          <w:szCs w:val="22"/>
        </w:rPr>
        <w:t>Odpisów aktualizujących należności dokonano zgodnie zasadami określonymi w Zarządzeniu Prezydenta m.st. Warszawy nr 3222/2012 z dnia 13 sierpnia 2012 roku z późn.zm. w sprawie przyjętych zasad rachunkowości w Urzędzie m.st. Warszawy . Wartość należności aktualizuje się uwzględniając stopień prawdopodobieństwa ich zapłaty poprzez dokonanie odpisu aktualizującego, nie później niż na dzień bilansowy w odniesieniu do:</w:t>
      </w:r>
    </w:p>
    <w:p w14:paraId="4F4BCB68" w14:textId="61A07FCB"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29C730F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59AD776C"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6ECB5D52"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0AC812FF" w14:textId="77777777" w:rsidR="00E4739B"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od stron trzecich, w przypadku których utworzono już dla wcześniejszych należności odpisy aktualizujące,</w:t>
      </w:r>
    </w:p>
    <w:p w14:paraId="78526BBE"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przeterminowanych o znacznym stopniu prawdopodobieństwa nieściągalności – dokonuje się:</w:t>
      </w:r>
    </w:p>
    <w:p w14:paraId="7CA2075B"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indywidualnego odpisu aktualizującego dla należności od dłużników,  których kwota zaległości jest</w:t>
      </w:r>
      <w:r w:rsidR="00A55EDC" w:rsidRPr="007E7521">
        <w:rPr>
          <w:rFonts w:asciiTheme="minorHAnsi" w:hAnsiTheme="minorHAnsi"/>
          <w:sz w:val="22"/>
          <w:szCs w:val="22"/>
        </w:rPr>
        <w:t xml:space="preserve"> </w:t>
      </w:r>
      <w:r w:rsidRPr="007E7521">
        <w:rPr>
          <w:rFonts w:asciiTheme="minorHAnsi" w:hAnsiTheme="minorHAnsi"/>
          <w:sz w:val="22"/>
          <w:szCs w:val="22"/>
        </w:rPr>
        <w:t>równa lub wyższa od kwoty 500.000 zł,</w:t>
      </w:r>
    </w:p>
    <w:p w14:paraId="6ACD5092" w14:textId="77777777" w:rsidR="00D01711" w:rsidRPr="007E7521" w:rsidRDefault="00E4739B" w:rsidP="00A16921">
      <w:pPr>
        <w:widowControl w:val="0"/>
        <w:numPr>
          <w:ilvl w:val="3"/>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ogólnego odpisu aktualizującego dla pozostałych należności, według zasad opisanych poniżej,</w:t>
      </w:r>
    </w:p>
    <w:p w14:paraId="0E58F602" w14:textId="77777777" w:rsidR="00D01711" w:rsidRPr="007E7521" w:rsidRDefault="00E4739B"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nieprzeterminowanych o znacznym stopniu prawdo</w:t>
      </w:r>
      <w:r w:rsidR="00076B4F" w:rsidRPr="007E7521">
        <w:rPr>
          <w:rFonts w:asciiTheme="minorHAnsi" w:hAnsiTheme="minorHAnsi"/>
          <w:sz w:val="22"/>
          <w:szCs w:val="22"/>
        </w:rPr>
        <w:t>podobieństwa nieściągalności</w:t>
      </w:r>
      <w:r w:rsidR="00D01711" w:rsidRPr="007E7521">
        <w:rPr>
          <w:rFonts w:asciiTheme="minorHAnsi" w:hAnsiTheme="minorHAnsi"/>
          <w:sz w:val="22"/>
          <w:szCs w:val="22"/>
        </w:rPr>
        <w:t xml:space="preserve"> – </w:t>
      </w:r>
      <w:r w:rsidRPr="007E7521">
        <w:rPr>
          <w:rFonts w:asciiTheme="minorHAnsi" w:hAnsiTheme="minorHAnsi"/>
          <w:sz w:val="22"/>
          <w:szCs w:val="22"/>
        </w:rPr>
        <w:t>dokonuje</w:t>
      </w:r>
      <w:r w:rsidR="00D01711" w:rsidRPr="007E7521">
        <w:rPr>
          <w:rFonts w:asciiTheme="minorHAnsi" w:hAnsiTheme="minorHAnsi"/>
          <w:sz w:val="22"/>
          <w:szCs w:val="22"/>
        </w:rPr>
        <w:t xml:space="preserve"> </w:t>
      </w:r>
      <w:r w:rsidRPr="007E7521">
        <w:rPr>
          <w:rFonts w:asciiTheme="minorHAnsi" w:hAnsiTheme="minorHAnsi"/>
          <w:sz w:val="22"/>
          <w:szCs w:val="22"/>
        </w:rPr>
        <w:t>się indywidualnego odpisu aktualizującego.</w:t>
      </w:r>
    </w:p>
    <w:p w14:paraId="62553343" w14:textId="77777777" w:rsidR="00E03901"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W przypadku utworzenia indywidualnego odpisu aktualizują</w:t>
      </w:r>
      <w:r w:rsidR="00E40FD5" w:rsidRPr="007E7521">
        <w:rPr>
          <w:rFonts w:asciiTheme="minorHAnsi" w:hAnsiTheme="minorHAnsi"/>
          <w:sz w:val="22"/>
          <w:szCs w:val="22"/>
        </w:rPr>
        <w:t xml:space="preserve">cego wartość należności </w:t>
      </w:r>
      <w:r w:rsidRPr="007E7521">
        <w:rPr>
          <w:rFonts w:asciiTheme="minorHAnsi" w:hAnsiTheme="minorHAnsi"/>
          <w:sz w:val="22"/>
          <w:szCs w:val="22"/>
        </w:rPr>
        <w:t xml:space="preserve"> bierze</w:t>
      </w:r>
      <w:r w:rsidR="00E40FD5" w:rsidRPr="007E7521">
        <w:rPr>
          <w:rFonts w:asciiTheme="minorHAnsi" w:hAnsiTheme="minorHAnsi"/>
          <w:sz w:val="22"/>
          <w:szCs w:val="22"/>
        </w:rPr>
        <w:t xml:space="preserve"> się</w:t>
      </w:r>
      <w:r w:rsidRPr="007E7521">
        <w:rPr>
          <w:rFonts w:asciiTheme="minorHAnsi" w:hAnsiTheme="minorHAnsi"/>
          <w:sz w:val="22"/>
          <w:szCs w:val="22"/>
        </w:rPr>
        <w:t xml:space="preserv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2176782F" w14:textId="5FF174F3" w:rsidR="00F00DDF" w:rsidRPr="007E7521" w:rsidRDefault="00E4739B" w:rsidP="00D01711">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Ogólny odpis aktualizujący wartość należności, dokonywany jest met</w:t>
      </w:r>
      <w:r w:rsidR="00E40FD5" w:rsidRPr="007E7521">
        <w:rPr>
          <w:rFonts w:asciiTheme="minorHAnsi" w:hAnsiTheme="minorHAnsi"/>
          <w:sz w:val="22"/>
          <w:szCs w:val="22"/>
        </w:rPr>
        <w:t xml:space="preserve">odą wiekowania należności. Przy </w:t>
      </w:r>
      <w:r w:rsidRPr="007E7521">
        <w:rPr>
          <w:rFonts w:asciiTheme="minorHAnsi" w:hAnsiTheme="minorHAnsi"/>
          <w:sz w:val="22"/>
          <w:szCs w:val="22"/>
        </w:rPr>
        <w:t>tworzeniu odpisu ogólnego nie uwzględnia się już należności objętych odpisem indywidualnym i postępuje się według następujących zasad:</w:t>
      </w:r>
    </w:p>
    <w:p w14:paraId="0EA3F355"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poniżej 180 dni włącznie – nie są objęte odpisem;</w:t>
      </w:r>
    </w:p>
    <w:p w14:paraId="1091AA4D"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od 181 do 365 dni włącznie – objęte są odpisem aktualizującym w wysokości 50% wartości tych należności;</w:t>
      </w:r>
    </w:p>
    <w:p w14:paraId="3014AD77" w14:textId="77777777" w:rsidR="00F00DDF" w:rsidRPr="007E7521" w:rsidRDefault="00E4739B" w:rsidP="00A16921">
      <w:pPr>
        <w:pStyle w:val="Akapitzlist"/>
        <w:widowControl w:val="0"/>
        <w:numPr>
          <w:ilvl w:val="0"/>
          <w:numId w:val="9"/>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należności przeterminowane powyżej 365 dni – objęte są odpisem aktualizującym w</w:t>
      </w:r>
      <w:r w:rsidR="00F00DDF" w:rsidRPr="007E7521">
        <w:rPr>
          <w:rFonts w:asciiTheme="minorHAnsi" w:hAnsiTheme="minorHAnsi"/>
          <w:sz w:val="22"/>
          <w:szCs w:val="22"/>
        </w:rPr>
        <w:t xml:space="preserve"> </w:t>
      </w:r>
      <w:r w:rsidRPr="007E7521">
        <w:rPr>
          <w:rFonts w:asciiTheme="minorHAnsi" w:hAnsiTheme="minorHAnsi"/>
          <w:sz w:val="22"/>
          <w:szCs w:val="22"/>
        </w:rPr>
        <w:t>wysokości 100% wartości tych należności.</w:t>
      </w:r>
    </w:p>
    <w:p w14:paraId="62E924F5" w14:textId="17D32A7C" w:rsidR="003B2C50" w:rsidRPr="007E7521" w:rsidRDefault="003B2C50" w:rsidP="00144096">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Odpisu aktualizującego dla odsetek za zwłokę dokonuje się w pełnej wysokości naliczonych odsetek za zwłokę, zarówno do odsetek naliczonych od należności objętych indywidualnym i ogólnym odpisem aktualizującym.</w:t>
      </w:r>
    </w:p>
    <w:p w14:paraId="6ADF9A00" w14:textId="0D0A10B0" w:rsidR="00E534DE" w:rsidRPr="007E7521" w:rsidRDefault="00266B8B" w:rsidP="00144096">
      <w:pPr>
        <w:tabs>
          <w:tab w:val="left" w:pos="709"/>
        </w:tabs>
        <w:spacing w:after="100" w:afterAutospacing="1"/>
        <w:jc w:val="both"/>
        <w:rPr>
          <w:rFonts w:asciiTheme="minorHAnsi" w:hAnsiTheme="minorHAnsi"/>
          <w:sz w:val="22"/>
          <w:szCs w:val="22"/>
        </w:rPr>
      </w:pPr>
      <w:r w:rsidRPr="007E7521">
        <w:rPr>
          <w:rFonts w:asciiTheme="minorHAnsi" w:hAnsiTheme="minorHAnsi"/>
          <w:b/>
          <w:sz w:val="22"/>
          <w:szCs w:val="22"/>
        </w:rPr>
        <w:t>Ewidencja w księgach rachunkowych odpisu akt</w:t>
      </w:r>
      <w:r w:rsidR="00E534DE" w:rsidRPr="007E7521">
        <w:rPr>
          <w:rFonts w:asciiTheme="minorHAnsi" w:hAnsiTheme="minorHAnsi"/>
          <w:b/>
          <w:sz w:val="22"/>
          <w:szCs w:val="22"/>
        </w:rPr>
        <w:t xml:space="preserve">ualizującego wartość należności </w:t>
      </w:r>
      <w:r w:rsidRPr="007E7521">
        <w:rPr>
          <w:rFonts w:asciiTheme="minorHAnsi" w:hAnsiTheme="minorHAnsi"/>
          <w:b/>
          <w:sz w:val="22"/>
          <w:szCs w:val="22"/>
        </w:rPr>
        <w:t>i prezentacja w rachunku zysków i strat</w:t>
      </w:r>
      <w:r w:rsidRPr="007E7521">
        <w:rPr>
          <w:rFonts w:asciiTheme="minorHAnsi" w:hAnsiTheme="minorHAnsi"/>
          <w:sz w:val="22"/>
          <w:szCs w:val="22"/>
        </w:rPr>
        <w:t>.</w:t>
      </w:r>
    </w:p>
    <w:p w14:paraId="45F2256D" w14:textId="77777777" w:rsidR="00F00DDF" w:rsidRPr="007E7521" w:rsidRDefault="00266B8B" w:rsidP="00144096">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24B696F" w14:textId="77777777" w:rsidR="00F00DDF"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odpisy aktualizujące wartość należności z tytułu rozchodów budżetu zalicza się do wyników na pozostałych operacjach </w:t>
      </w:r>
      <w:proofErr w:type="spellStart"/>
      <w:r w:rsidRPr="007E7521">
        <w:rPr>
          <w:rFonts w:asciiTheme="minorHAnsi" w:hAnsiTheme="minorHAnsi"/>
          <w:sz w:val="22"/>
          <w:szCs w:val="22"/>
        </w:rPr>
        <w:t>niekasowych</w:t>
      </w:r>
      <w:proofErr w:type="spellEnd"/>
      <w:r w:rsidRPr="007E7521">
        <w:rPr>
          <w:rFonts w:asciiTheme="minorHAnsi" w:hAnsiTheme="minorHAnsi"/>
          <w:sz w:val="22"/>
          <w:szCs w:val="22"/>
        </w:rPr>
        <w:t>,</w:t>
      </w:r>
    </w:p>
    <w:p w14:paraId="31454612" w14:textId="6DE0C0A5"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odpisy aktualizujące wartość należności dotyczących funduszy tworzonych na podstawie ustaw obciążają fundusze.</w:t>
      </w:r>
    </w:p>
    <w:p w14:paraId="499DED0A"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Wykorzystanie odpisu aktualizującego następuje w wyniku zmniejszenia wartości odpisu aktualizacyjnego w przypadku umorzenia, przedawnienia, nieściągalności należności.</w:t>
      </w:r>
    </w:p>
    <w:p w14:paraId="4A9B83EE"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Rozwiązanie odpisu aktualizującego następuje w wyniku ustania przyczyny, dla której dokonano odpisu aktualizacyjnego należności, tj. dokonania zapłaty przez dłużnika. </w:t>
      </w:r>
    </w:p>
    <w:p w14:paraId="4B211F7F"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50C22367" w14:textId="77777777" w:rsidR="00266B8B"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C662D28"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Dokonując prezentacji w rachunku zysków i strat, powstałe przychody i koszty wynikające z powyższych księgowań nie podlegają kompensacie tj.:</w:t>
      </w:r>
    </w:p>
    <w:p w14:paraId="66BBA143" w14:textId="5EA6FE83"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wartości odpisu aktualizującego należności od danego kontrahenta prezentowany jest w rachunku zysków i strat w pozostałych kosztach operacyjnych lub kosztach</w:t>
      </w:r>
      <w:r w:rsidR="00F00DDF" w:rsidRPr="007E7521">
        <w:rPr>
          <w:rFonts w:asciiTheme="minorHAnsi" w:hAnsiTheme="minorHAnsi"/>
          <w:sz w:val="22"/>
          <w:szCs w:val="22"/>
        </w:rPr>
        <w:t xml:space="preserve"> </w:t>
      </w:r>
      <w:r w:rsidRPr="007E7521">
        <w:rPr>
          <w:rFonts w:asciiTheme="minorHAnsi" w:hAnsiTheme="minorHAnsi"/>
          <w:sz w:val="22"/>
          <w:szCs w:val="22"/>
        </w:rPr>
        <w:t>finansowych,</w:t>
      </w:r>
    </w:p>
    <w:p w14:paraId="1D43D51F" w14:textId="77777777"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brak zmiany wartości odpisu aktualizującego należności od danego kontrahenta skutkuje brakiem wpływu na rachunek zysków i strat, </w:t>
      </w:r>
    </w:p>
    <w:p w14:paraId="2CC36A0E" w14:textId="0F3A0FCB" w:rsidR="00266B8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wartości odpisu aktualizującego należności od danego kontrahenta prezentowane jest w rachunku zysków i strat w pozostałych przychodach operacyjnych lub</w:t>
      </w:r>
      <w:r w:rsidR="00F00DDF" w:rsidRPr="007E7521">
        <w:rPr>
          <w:rFonts w:asciiTheme="minorHAnsi" w:hAnsiTheme="minorHAnsi"/>
          <w:sz w:val="22"/>
          <w:szCs w:val="22"/>
        </w:rPr>
        <w:t xml:space="preserve"> </w:t>
      </w:r>
      <w:r w:rsidRPr="007E7521">
        <w:rPr>
          <w:rFonts w:asciiTheme="minorHAnsi" w:hAnsiTheme="minorHAnsi"/>
          <w:sz w:val="22"/>
          <w:szCs w:val="22"/>
        </w:rPr>
        <w:t xml:space="preserve">przychodach finansowych. </w:t>
      </w:r>
    </w:p>
    <w:p w14:paraId="05D1B7E2" w14:textId="77777777" w:rsidR="00F00DDF" w:rsidRPr="007E7521" w:rsidRDefault="00266B8B" w:rsidP="00A16921">
      <w:pPr>
        <w:widowControl w:val="0"/>
        <w:numPr>
          <w:ilvl w:val="1"/>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w:t>
      </w:r>
      <w:r w:rsidR="008F01E4" w:rsidRPr="007E7521">
        <w:rPr>
          <w:rFonts w:asciiTheme="minorHAnsi" w:hAnsiTheme="minorHAnsi"/>
          <w:sz w:val="22"/>
          <w:szCs w:val="22"/>
        </w:rPr>
        <w:t xml:space="preserve">pisu ogólnego </w:t>
      </w:r>
      <w:r w:rsidR="00936540" w:rsidRPr="007E7521">
        <w:rPr>
          <w:rFonts w:asciiTheme="minorHAnsi" w:hAnsiTheme="minorHAnsi"/>
          <w:sz w:val="22"/>
          <w:szCs w:val="22"/>
        </w:rPr>
        <w:t>w wysokości skalkulo</w:t>
      </w:r>
      <w:r w:rsidR="008F01E4" w:rsidRPr="007E7521">
        <w:rPr>
          <w:rFonts w:asciiTheme="minorHAnsi" w:hAnsiTheme="minorHAnsi"/>
          <w:sz w:val="22"/>
          <w:szCs w:val="22"/>
        </w:rPr>
        <w:t>w</w:t>
      </w:r>
      <w:r w:rsidRPr="007E7521">
        <w:rPr>
          <w:rFonts w:asciiTheme="minorHAnsi" w:hAnsiTheme="minorHAnsi"/>
          <w:sz w:val="22"/>
          <w:szCs w:val="22"/>
        </w:rPr>
        <w:t>anej na 31 grudnia roku, za który sporządzane jest sprawozdanie finansowe w pozostałe koszty operacyjne lub koszty finansowe.</w:t>
      </w:r>
      <w:r w:rsidR="00F00DDF" w:rsidRPr="007E7521">
        <w:rPr>
          <w:rFonts w:asciiTheme="minorHAnsi" w:hAnsiTheme="minorHAnsi"/>
          <w:sz w:val="22"/>
          <w:szCs w:val="22"/>
        </w:rPr>
        <w:br/>
      </w:r>
      <w:r w:rsidRPr="007E7521">
        <w:rPr>
          <w:rFonts w:asciiTheme="minorHAnsi" w:hAnsi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18C6CF6C" w14:textId="02FD0EBB" w:rsidR="004D5F8C"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przyrost odpisu aktualizującego należności prezentowany jest w rachunku zysków i strat w</w:t>
      </w:r>
      <w:r w:rsidR="00F00DDF" w:rsidRPr="007E7521">
        <w:rPr>
          <w:rFonts w:asciiTheme="minorHAnsi" w:hAnsiTheme="minorHAnsi"/>
          <w:sz w:val="22"/>
          <w:szCs w:val="22"/>
        </w:rPr>
        <w:t xml:space="preserve"> </w:t>
      </w:r>
      <w:r w:rsidRPr="007E7521">
        <w:rPr>
          <w:rFonts w:asciiTheme="minorHAnsi" w:hAnsiTheme="minorHAnsi"/>
          <w:sz w:val="22"/>
          <w:szCs w:val="22"/>
        </w:rPr>
        <w:t>pozostałych kosztach operacyjnych lub kosztach finansowych;</w:t>
      </w:r>
    </w:p>
    <w:p w14:paraId="66CF2FAA" w14:textId="77777777" w:rsidR="00581ECB" w:rsidRPr="007E7521" w:rsidRDefault="00266B8B" w:rsidP="00A16921">
      <w:pPr>
        <w:widowControl w:val="0"/>
        <w:numPr>
          <w:ilvl w:val="2"/>
          <w:numId w:val="10"/>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zmniejszenie odpisu aktualizującego należności prezen</w:t>
      </w:r>
      <w:r w:rsidR="008F01E4" w:rsidRPr="007E7521">
        <w:rPr>
          <w:rFonts w:asciiTheme="minorHAnsi" w:hAnsiTheme="minorHAnsi"/>
          <w:sz w:val="22"/>
          <w:szCs w:val="22"/>
        </w:rPr>
        <w:t xml:space="preserve">towane jest w rachunku zysków </w:t>
      </w:r>
      <w:r w:rsidRPr="007E7521">
        <w:rPr>
          <w:rFonts w:asciiTheme="minorHAnsi" w:hAnsiTheme="minorHAnsi"/>
          <w:sz w:val="22"/>
          <w:szCs w:val="22"/>
        </w:rPr>
        <w:t>i strat w pozostałych przychodach operacyjnych lub przychodach finansowych.</w:t>
      </w:r>
    </w:p>
    <w:p w14:paraId="18F29262" w14:textId="35647CDA" w:rsidR="00266B8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Należności przedawnione, umorzone zmniejszają wartość dokonanych uprzednio odpisów aktualizujących . Należności przedawnione, umorzone, od których nie dokonano odpisów aktualizujących ich wartości lub dokonano w niepełnej wysokości, zalicza się do pozostałych kosztów operacyjnych lub kosztów finansowych. </w:t>
      </w:r>
    </w:p>
    <w:p w14:paraId="2CE66EF4" w14:textId="521B4BB2"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Należne odszkodowania , kary , grzywny wycenia się w kwocie wymagalnej zapłaty </w:t>
      </w:r>
    </w:p>
    <w:p w14:paraId="1F3B46B5" w14:textId="6B0C4E0D" w:rsidR="00E4739B" w:rsidRPr="007E7521" w:rsidRDefault="003B2C5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Zobowiązania wycenia się w kwocie wymagającej zapłat</w:t>
      </w:r>
      <w:r w:rsidR="009652E2" w:rsidRPr="007E7521">
        <w:rPr>
          <w:rFonts w:asciiTheme="minorHAnsi" w:hAnsiTheme="minorHAnsi"/>
          <w:sz w:val="22"/>
          <w:szCs w:val="22"/>
        </w:rPr>
        <w:t>y.</w:t>
      </w:r>
    </w:p>
    <w:p w14:paraId="40144CD8" w14:textId="77777777" w:rsidR="005478DB" w:rsidRPr="007E7521" w:rsidRDefault="005478D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Odpisane, przedawnione i umorzone zobowiązania wycenia się w kwocie wymagającej zapłaty i odnosi w pozostałe przychody operacyjne.</w:t>
      </w:r>
    </w:p>
    <w:p w14:paraId="65D4D20F" w14:textId="77777777" w:rsidR="005A06B3" w:rsidRPr="007E7521" w:rsidRDefault="005A06B3"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Obsługa bankowa dochodów i wydatków Urzędu Dzielnicy Wawer  m.st. Warszawy jako pomocniczej jednostki budżetowej dokonywana jest na odrębnych rachunkach bankowych. Środki pieniężne wyceniane są według wartości nominalnej.</w:t>
      </w:r>
    </w:p>
    <w:p w14:paraId="308B7041" w14:textId="6C1815E8" w:rsidR="009652E2" w:rsidRPr="007E7521" w:rsidRDefault="009652E2"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Koszty obejmujące więcej niż 1 rok  obrotowy ( koszty dotyczące lat przyszłych )ujmowane są jako czynne rozliczenia międzyokresowe kosztów i są wyceniane w wartości nominalnej. Odpisy czynnych rozliczeń międzyokresowych kosztów następują stosownie do upływu czasu lub wielkości świadczeń, prostą proporcją dla okresu lub świadczenia pozostałego do rozliczenia tj. wg faktycznej ilości dni przypadających na dany rok budżetowy.</w:t>
      </w:r>
    </w:p>
    <w:p w14:paraId="705E292E" w14:textId="730D67E1" w:rsidR="009652E2"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Rozliczenia międzyokresowe przychodów dokonywane są z zachowaniem zasady ostrożności i są wyceniane w wartości nominalnej,</w:t>
      </w:r>
    </w:p>
    <w:p w14:paraId="675EB30F" w14:textId="444D3D1F" w:rsidR="00817C0B"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Rezerwy na zobowiązania wycenia się nie rzadziej niż na dzień bilansowy w uzasadnionej, wiarygodnie oszacowanej wartości. Rezerwy drugostronnie ujmuje się w ciężar kosztów bieżącego okresu lub w ciężar funduszu , w zależności od rodzaju tworzonej rezerwy . W ciężar funduszu ujmuje się w szczególności rezerwy dotyczące nieruchomości lub gruntów w sprawach o zasiedzenie i wydanie nieruchomości . 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7082F46" w14:textId="77777777" w:rsidR="00D64830" w:rsidRPr="007E7521" w:rsidRDefault="00817C0B"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Fundusze własne i specjalne </w:t>
      </w:r>
      <w:r w:rsidR="003200B4" w:rsidRPr="007E7521">
        <w:rPr>
          <w:rFonts w:asciiTheme="minorHAnsi" w:hAnsiTheme="minorHAnsi"/>
          <w:sz w:val="22"/>
          <w:szCs w:val="22"/>
        </w:rPr>
        <w:t xml:space="preserve"> oraz pozostałe nie wymienione wyżej aktywa i pasywa </w:t>
      </w:r>
      <w:r w:rsidRPr="007E7521">
        <w:rPr>
          <w:rFonts w:asciiTheme="minorHAnsi" w:hAnsiTheme="minorHAnsi"/>
          <w:sz w:val="22"/>
          <w:szCs w:val="22"/>
        </w:rPr>
        <w:t xml:space="preserve">wycenia się wg wartości nominalnej . </w:t>
      </w:r>
    </w:p>
    <w:p w14:paraId="3B45431C" w14:textId="1C9F51D5"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Wartości poszczególnych składników aktywów i pasywów, przychodów i kosztów ustal</w:t>
      </w:r>
      <w:r w:rsidR="00B3463F" w:rsidRPr="007E7521">
        <w:rPr>
          <w:rFonts w:asciiTheme="minorHAnsi" w:hAnsiTheme="minorHAnsi"/>
          <w:sz w:val="22"/>
          <w:szCs w:val="22"/>
        </w:rPr>
        <w:t>a się oddzielnie i nie są ze sobą kompensowane</w:t>
      </w:r>
      <w:r w:rsidRPr="007E7521">
        <w:rPr>
          <w:rFonts w:asciiTheme="minorHAnsi" w:hAnsiTheme="minorHAnsi"/>
          <w:sz w:val="22"/>
          <w:szCs w:val="22"/>
        </w:rPr>
        <w:t>.</w:t>
      </w:r>
      <w:r w:rsidR="00E534DE" w:rsidRPr="007E7521">
        <w:rPr>
          <w:rFonts w:asciiTheme="minorHAnsi" w:hAnsiTheme="minorHAnsi"/>
          <w:sz w:val="22"/>
          <w:szCs w:val="22"/>
        </w:rPr>
        <w:t xml:space="preserve"> </w:t>
      </w:r>
      <w:r w:rsidRPr="007E7521">
        <w:rPr>
          <w:rFonts w:asciiTheme="minorHAnsi" w:hAnsiTheme="minorHAnsi"/>
          <w:sz w:val="22"/>
          <w:szCs w:val="22"/>
        </w:rPr>
        <w:t>W przypadku, gdy na dzień bilansowy w księgach występują należności i zobowiązania od tego i wobec tego samego kontrahenta, wartości te w b</w:t>
      </w:r>
      <w:r w:rsidR="003200B4" w:rsidRPr="007E7521">
        <w:rPr>
          <w:rFonts w:asciiTheme="minorHAnsi" w:hAnsiTheme="minorHAnsi"/>
          <w:sz w:val="22"/>
          <w:szCs w:val="22"/>
        </w:rPr>
        <w:t xml:space="preserve">ilansie wykazuje się rozłącznie </w:t>
      </w:r>
      <w:r w:rsidRPr="007E7521">
        <w:rPr>
          <w:rFonts w:asciiTheme="minorHAnsi" w:hAnsiTheme="minorHAnsi"/>
          <w:sz w:val="22"/>
          <w:szCs w:val="22"/>
        </w:rPr>
        <w:t>(w szyku rozwartym).</w:t>
      </w:r>
    </w:p>
    <w:p w14:paraId="2E9ACDCF" w14:textId="77777777" w:rsidR="00581ECB"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b/>
          <w:bCs/>
          <w:sz w:val="22"/>
          <w:szCs w:val="22"/>
        </w:rPr>
        <w:t>Ust</w:t>
      </w:r>
      <w:r w:rsidRPr="007E7521">
        <w:rPr>
          <w:rFonts w:asciiTheme="minorHAnsi" w:hAnsiTheme="minorHAnsi"/>
          <w:b/>
          <w:sz w:val="22"/>
          <w:szCs w:val="22"/>
        </w:rPr>
        <w:t>alenie wyniku finansowego jednostki</w:t>
      </w:r>
      <w:r w:rsidRPr="007E7521">
        <w:rPr>
          <w:rFonts w:asciiTheme="minorHAnsi" w:hAnsiTheme="minorHAnsi"/>
          <w:sz w:val="22"/>
          <w:szCs w:val="22"/>
        </w:rPr>
        <w:t xml:space="preserve"> na</w:t>
      </w:r>
      <w:r w:rsidR="00E534DE" w:rsidRPr="007E7521">
        <w:rPr>
          <w:rFonts w:asciiTheme="minorHAnsi" w:hAnsiTheme="minorHAnsi"/>
          <w:sz w:val="22"/>
          <w:szCs w:val="22"/>
        </w:rPr>
        <w:t xml:space="preserve">stępuje poprzez przeksięgowanie </w:t>
      </w:r>
      <w:r w:rsidRPr="007E7521">
        <w:rPr>
          <w:rFonts w:asciiTheme="minorHAnsi" w:hAnsiTheme="minorHAnsi"/>
          <w:sz w:val="22"/>
          <w:szCs w:val="22"/>
        </w:rPr>
        <w:t>w końcu roku obrotowego:</w:t>
      </w:r>
      <w:r w:rsidR="00581ECB" w:rsidRPr="007E7521">
        <w:rPr>
          <w:rFonts w:asciiTheme="minorHAnsi" w:hAnsiTheme="minorHAnsi"/>
          <w:sz w:val="22"/>
          <w:szCs w:val="22"/>
        </w:rPr>
        <w:br/>
      </w:r>
      <w:r w:rsidRPr="007E7521">
        <w:rPr>
          <w:rFonts w:asciiTheme="minorHAnsi" w:hAnsiTheme="minorHAnsi"/>
          <w:sz w:val="22"/>
          <w:szCs w:val="22"/>
        </w:rPr>
        <w:t xml:space="preserve">na stronie </w:t>
      </w:r>
      <w:proofErr w:type="spellStart"/>
      <w:r w:rsidRPr="007E7521">
        <w:rPr>
          <w:rFonts w:asciiTheme="minorHAnsi" w:hAnsiTheme="minorHAnsi"/>
          <w:sz w:val="22"/>
          <w:szCs w:val="22"/>
        </w:rPr>
        <w:t>Wn</w:t>
      </w:r>
      <w:proofErr w:type="spellEnd"/>
      <w:r w:rsidRPr="007E7521">
        <w:rPr>
          <w:rFonts w:asciiTheme="minorHAnsi" w:hAnsiTheme="minorHAnsi"/>
          <w:sz w:val="22"/>
          <w:szCs w:val="22"/>
        </w:rPr>
        <w:t xml:space="preserve"> konta 860 „Wynik finansowy”:</w:t>
      </w:r>
    </w:p>
    <w:p w14:paraId="19094A4C"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operacyjnych w korespondencji z kontami zespołu 4 „Koszty według rodzajów i ich rozliczenie”,</w:t>
      </w:r>
    </w:p>
    <w:p w14:paraId="32139339"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1E3D0520" w14:textId="77777777" w:rsidR="00581ECB" w:rsidRPr="007E7521" w:rsidRDefault="00D64830" w:rsidP="00A16921">
      <w:pPr>
        <w:widowControl w:val="0"/>
        <w:numPr>
          <w:ilvl w:val="2"/>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poniesionych kosztów w korespondencji z poszczególnymi kontami zespołu 7</w:t>
      </w:r>
    </w:p>
    <w:p w14:paraId="09172469" w14:textId="77777777" w:rsidR="00581ECB" w:rsidRPr="007E7521" w:rsidRDefault="00D64830" w:rsidP="00581ECB">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na stronie Ma konta 860 „Wynik finansowy”:</w:t>
      </w:r>
    </w:p>
    <w:p w14:paraId="4ADBECCE" w14:textId="77777777" w:rsidR="00581ECB"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sumy uzyskanych przychodów w korespondencji z poszczególnymi kontami zespołu 7,</w:t>
      </w:r>
    </w:p>
    <w:p w14:paraId="20129353" w14:textId="55737EFF" w:rsidR="00E534DE" w:rsidRPr="007E7521" w:rsidRDefault="00D64830" w:rsidP="00A16921">
      <w:pPr>
        <w:pStyle w:val="Akapitzlist"/>
        <w:widowControl w:val="0"/>
        <w:numPr>
          <w:ilvl w:val="2"/>
          <w:numId w:val="11"/>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zmianę stanu międzyokresowych rozliczeń kosztów w korespondencji z kontem 490 „Rozliczenie kosztów”.</w:t>
      </w:r>
    </w:p>
    <w:p w14:paraId="2056025A"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Urząd m.st. Warszawy nie dokonuje biernych rozliczeń międzyokresowych kosztów wynikających z obowiązku wykonania przyszłych świadczeń na rzecz pracowników, w tym świadczeń emerytalnych.</w:t>
      </w:r>
    </w:p>
    <w:p w14:paraId="47ABFCE0" w14:textId="1A393940"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 sprawozdaniu finansowym ujmowane są salda</w:t>
      </w:r>
      <w:r w:rsidR="00B3463F" w:rsidRPr="007E7521">
        <w:rPr>
          <w:rFonts w:asciiTheme="minorHAnsi" w:hAnsiTheme="minorHAnsi"/>
          <w:sz w:val="22"/>
          <w:szCs w:val="22"/>
        </w:rPr>
        <w:t xml:space="preserve"> kont rozrachunkowych</w:t>
      </w:r>
      <w:r w:rsidRPr="007E7521">
        <w:rPr>
          <w:rFonts w:asciiTheme="minorHAnsi" w:hAnsiTheme="minorHAnsi"/>
          <w:sz w:val="22"/>
          <w:szCs w:val="22"/>
        </w:rPr>
        <w:t xml:space="preserve"> wynikające z dochodów budżetowych nie ujętych w załączniku dzielnicowym do budżetu m.st. Wa</w:t>
      </w:r>
      <w:r w:rsidR="00E534DE" w:rsidRPr="007E7521">
        <w:rPr>
          <w:rFonts w:asciiTheme="minorHAnsi" w:hAnsiTheme="minorHAnsi"/>
          <w:sz w:val="22"/>
          <w:szCs w:val="22"/>
        </w:rPr>
        <w:t xml:space="preserve">rszawy </w:t>
      </w:r>
      <w:r w:rsidRPr="007E7521">
        <w:rPr>
          <w:rFonts w:asciiTheme="minorHAnsi" w:hAnsiTheme="minorHAnsi"/>
          <w:sz w:val="22"/>
          <w:szCs w:val="22"/>
        </w:rPr>
        <w:t>a dotyczące m.in. opłaty komunikacyjnej i opłaty ewidencyjnej CEPIK, opłaty skarbowej, opłat geodezyjno-kartograficznych, a także salda z tytułu opłat i kar za u</w:t>
      </w:r>
      <w:r w:rsidR="00E534DE" w:rsidRPr="007E7521">
        <w:rPr>
          <w:rFonts w:asciiTheme="minorHAnsi" w:hAnsiTheme="minorHAnsi"/>
          <w:sz w:val="22"/>
          <w:szCs w:val="22"/>
        </w:rPr>
        <w:t>suwanie drzew</w:t>
      </w:r>
      <w:r w:rsidRPr="007E7521">
        <w:rPr>
          <w:rFonts w:asciiTheme="minorHAnsi" w:hAnsiTheme="minorHAnsi"/>
          <w:sz w:val="22"/>
          <w:szCs w:val="22"/>
        </w:rPr>
        <w:t xml:space="preserve"> i krzewów</w:t>
      </w:r>
      <w:r w:rsidR="00955E04" w:rsidRPr="007E7521">
        <w:rPr>
          <w:rFonts w:asciiTheme="minorHAnsi" w:hAnsiTheme="minorHAnsi"/>
          <w:sz w:val="22"/>
          <w:szCs w:val="22"/>
        </w:rPr>
        <w:t>, za wielojęzyczny formularz</w:t>
      </w:r>
      <w:r w:rsidRPr="007E7521">
        <w:rPr>
          <w:rFonts w:asciiTheme="minorHAnsi" w:hAnsiTheme="minorHAnsi"/>
          <w:sz w:val="22"/>
          <w:szCs w:val="22"/>
        </w:rPr>
        <w:t xml:space="preserve"> oraz opłat za odpady komunalne, stanowiący</w:t>
      </w:r>
      <w:r w:rsidR="00B3463F" w:rsidRPr="007E7521">
        <w:rPr>
          <w:rFonts w:asciiTheme="minorHAnsi" w:hAnsiTheme="minorHAnsi"/>
          <w:sz w:val="22"/>
          <w:szCs w:val="22"/>
        </w:rPr>
        <w:t xml:space="preserve">ch dochód Urzędu m.st. Warszawy . </w:t>
      </w:r>
    </w:p>
    <w:p w14:paraId="20B2589F" w14:textId="77777777" w:rsidR="00D64830"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bieżącym roku obrotowym, wykryte przed sporządzeniem rocznego sprawozdania finansowego, koryguje się w księgach rachunkowych bieżącego roku obrotowego. </w:t>
      </w:r>
    </w:p>
    <w:p w14:paraId="46C3885D" w14:textId="77777777" w:rsidR="00C15617" w:rsidRPr="007E7521" w:rsidRDefault="00D64830" w:rsidP="00A16921">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Błędy popełnione w poprzednich latach obrotowych,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6D2B568" w14:textId="77777777" w:rsidR="00C15617" w:rsidRPr="007E7521" w:rsidRDefault="00D64830" w:rsidP="00C15617">
      <w:pPr>
        <w:widowControl w:val="0"/>
        <w:shd w:val="clear" w:color="auto" w:fill="FFFFFF"/>
        <w:tabs>
          <w:tab w:val="left" w:pos="360"/>
        </w:tabs>
        <w:suppressAutoHyphens/>
        <w:autoSpaceDE w:val="0"/>
        <w:spacing w:after="100" w:afterAutospacing="1" w:line="360" w:lineRule="auto"/>
        <w:ind w:left="1275"/>
        <w:rPr>
          <w:rFonts w:asciiTheme="minorHAnsi" w:hAnsiTheme="minorHAnsi"/>
          <w:sz w:val="22"/>
          <w:szCs w:val="22"/>
        </w:rPr>
      </w:pPr>
      <w:r w:rsidRPr="007E7521">
        <w:rPr>
          <w:rFonts w:asciiTheme="minorHAnsi" w:hAnsiTheme="minorHAnsi"/>
          <w:sz w:val="22"/>
          <w:szCs w:val="22"/>
        </w:rPr>
        <w:t>Korekty błędu popełnionego w poprzednich latach obrotowych, uznanego za istotny:</w:t>
      </w:r>
    </w:p>
    <w:p w14:paraId="6008B683" w14:textId="77777777" w:rsidR="00C15617" w:rsidRPr="007E7521" w:rsidRDefault="00D64830" w:rsidP="00A16921">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ujmuje się w funduszu jednostki,</w:t>
      </w:r>
    </w:p>
    <w:p w14:paraId="73817A38" w14:textId="135BDCDF" w:rsidR="005F5C28" w:rsidRPr="007E7521" w:rsidRDefault="00D64830" w:rsidP="003E3C72">
      <w:pPr>
        <w:pStyle w:val="Akapitzlist"/>
        <w:widowControl w:val="0"/>
        <w:numPr>
          <w:ilvl w:val="0"/>
          <w:numId w:val="12"/>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wykazuje się w odpowiedniej pozycji zestawienia zmian w funduszu jednostki.</w:t>
      </w:r>
    </w:p>
    <w:p w14:paraId="2BC8BAD1" w14:textId="77777777" w:rsidR="00C15617" w:rsidRPr="007E7521" w:rsidRDefault="007A35A7" w:rsidP="00A16921">
      <w:pPr>
        <w:widowControl w:val="0"/>
        <w:numPr>
          <w:ilvl w:val="0"/>
          <w:numId w:val="5"/>
        </w:numPr>
        <w:shd w:val="clear" w:color="auto" w:fill="FFFFFF"/>
        <w:tabs>
          <w:tab w:val="left" w:pos="360"/>
        </w:tabs>
        <w:suppressAutoHyphens/>
        <w:autoSpaceDE w:val="0"/>
        <w:spacing w:after="100" w:afterAutospacing="1" w:line="360" w:lineRule="auto"/>
        <w:rPr>
          <w:rFonts w:asciiTheme="minorHAnsi" w:hAnsiTheme="minorHAnsi"/>
          <w:b/>
          <w:bCs/>
          <w:sz w:val="22"/>
          <w:szCs w:val="22"/>
        </w:rPr>
      </w:pPr>
      <w:r w:rsidRPr="007E7521">
        <w:rPr>
          <w:rFonts w:asciiTheme="minorHAnsi" w:hAnsiTheme="minorHAnsi"/>
          <w:b/>
          <w:bCs/>
          <w:sz w:val="22"/>
          <w:szCs w:val="22"/>
        </w:rPr>
        <w:t>Inne informacje</w:t>
      </w:r>
    </w:p>
    <w:p w14:paraId="1FDF4F14" w14:textId="2119742A" w:rsidR="0025113E" w:rsidRPr="007E7521" w:rsidRDefault="00624B87" w:rsidP="00B552C3">
      <w:pPr>
        <w:widowControl w:val="0"/>
        <w:numPr>
          <w:ilvl w:val="1"/>
          <w:numId w:val="5"/>
        </w:numPr>
        <w:shd w:val="clear" w:color="auto" w:fill="FFFFFF"/>
        <w:tabs>
          <w:tab w:val="left" w:pos="360"/>
        </w:tabs>
        <w:suppressAutoHyphens/>
        <w:autoSpaceDE w:val="0"/>
        <w:spacing w:after="100" w:afterAutospacing="1" w:line="360" w:lineRule="auto"/>
        <w:rPr>
          <w:rFonts w:asciiTheme="minorHAnsi" w:hAnsiTheme="minorHAnsi"/>
          <w:sz w:val="22"/>
          <w:szCs w:val="22"/>
        </w:rPr>
      </w:pPr>
      <w:r w:rsidRPr="007E7521">
        <w:rPr>
          <w:rFonts w:asciiTheme="minorHAnsi" w:hAnsiTheme="minorHAnsi"/>
          <w:sz w:val="22"/>
          <w:szCs w:val="22"/>
        </w:rPr>
        <w:t xml:space="preserve">Informacje o korekcie bilansu otwarcia </w:t>
      </w:r>
      <w:r w:rsidR="00CC48C2" w:rsidRPr="007E7521">
        <w:rPr>
          <w:rFonts w:asciiTheme="minorHAnsi" w:hAnsiTheme="minorHAnsi"/>
          <w:sz w:val="22"/>
          <w:szCs w:val="22"/>
        </w:rPr>
        <w:t>2022</w:t>
      </w:r>
      <w:r w:rsidRPr="007E7521">
        <w:rPr>
          <w:rFonts w:asciiTheme="minorHAnsi" w:hAnsiTheme="minorHAnsi"/>
          <w:sz w:val="22"/>
          <w:szCs w:val="22"/>
        </w:rPr>
        <w:t xml:space="preserve"> roku w związku ze zmianą prezentacji p</w:t>
      </w:r>
      <w:r w:rsidR="0025113E" w:rsidRPr="007E7521">
        <w:rPr>
          <w:rFonts w:asciiTheme="minorHAnsi" w:hAnsiTheme="minorHAnsi"/>
          <w:sz w:val="22"/>
          <w:szCs w:val="22"/>
        </w:rPr>
        <w:t>ozycji i korektami</w:t>
      </w:r>
      <w:r w:rsidRPr="007E7521">
        <w:rPr>
          <w:rFonts w:asciiTheme="minorHAnsi" w:hAnsiTheme="minorHAnsi"/>
          <w:sz w:val="22"/>
          <w:szCs w:val="22"/>
        </w:rPr>
        <w:t>.</w:t>
      </w:r>
      <w:r w:rsidR="00C15617" w:rsidRPr="007E7521">
        <w:rPr>
          <w:rFonts w:asciiTheme="minorHAnsi" w:hAnsiTheme="minorHAnsi"/>
          <w:sz w:val="22"/>
          <w:szCs w:val="22"/>
        </w:rPr>
        <w:br/>
      </w:r>
      <w:r w:rsidR="0025113E" w:rsidRPr="007E7521">
        <w:rPr>
          <w:rFonts w:asciiTheme="minorHAnsi" w:hAnsiTheme="minorHAnsi"/>
          <w:sz w:val="22"/>
          <w:szCs w:val="22"/>
        </w:rPr>
        <w:t xml:space="preserve">W bilansie otwarcia roku </w:t>
      </w:r>
      <w:r w:rsidR="00CC48C2" w:rsidRPr="007E7521">
        <w:rPr>
          <w:rFonts w:asciiTheme="minorHAnsi" w:hAnsiTheme="minorHAnsi"/>
          <w:sz w:val="22"/>
          <w:szCs w:val="22"/>
        </w:rPr>
        <w:t>2022</w:t>
      </w:r>
      <w:r w:rsidR="0025113E" w:rsidRPr="007E7521">
        <w:rPr>
          <w:rFonts w:asciiTheme="minorHAnsi" w:hAnsiTheme="minorHAnsi"/>
          <w:sz w:val="22"/>
          <w:szCs w:val="22"/>
        </w:rPr>
        <w:t xml:space="preserve"> nie wystąpiły zdarzenia powodujące zmiany prezentacji pozycji bilansowych.</w:t>
      </w:r>
      <w:bookmarkStart w:id="0" w:name="_GoBack"/>
      <w:bookmarkEnd w:id="0"/>
    </w:p>
    <w:sectPr w:rsidR="0025113E" w:rsidRPr="007E7521"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B8A31" w14:textId="77777777" w:rsidR="00855A7A" w:rsidRDefault="00855A7A">
      <w:r>
        <w:separator/>
      </w:r>
    </w:p>
  </w:endnote>
  <w:endnote w:type="continuationSeparator" w:id="0">
    <w:p w14:paraId="76497AA9" w14:textId="77777777" w:rsidR="00855A7A" w:rsidRDefault="0085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F6E8" w14:textId="77777777" w:rsidR="005F1C24" w:rsidRDefault="005F1C24">
    <w:pPr>
      <w:pStyle w:val="Stopka"/>
      <w:jc w:val="right"/>
    </w:pPr>
  </w:p>
  <w:p w14:paraId="0FCB1167" w14:textId="77777777" w:rsidR="005F1C24" w:rsidRDefault="00D3314D">
    <w:pPr>
      <w:pStyle w:val="Stopka"/>
    </w:pPr>
    <w:r w:rsidRPr="00DC42D9">
      <w:rPr>
        <w:lang w:val="pl-PL"/>
      </w:rPr>
      <w:t xml:space="preserve">Wprowadzenie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1D585" w14:textId="77777777" w:rsidR="00855A7A" w:rsidRDefault="00855A7A">
      <w:r>
        <w:separator/>
      </w:r>
    </w:p>
  </w:footnote>
  <w:footnote w:type="continuationSeparator" w:id="0">
    <w:p w14:paraId="22F834B0" w14:textId="77777777" w:rsidR="00855A7A" w:rsidRDefault="0085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DC3F" w14:textId="77777777" w:rsidR="00497135" w:rsidRPr="00497135" w:rsidRDefault="00497135" w:rsidP="009D1313">
    <w:pPr>
      <w:pStyle w:val="Nagwek"/>
      <w:tabs>
        <w:tab w:val="clear" w:pos="8306"/>
      </w:tabs>
      <w:ind w:right="360"/>
      <w:rPr>
        <w:color w:val="000000"/>
        <w:sz w:val="18"/>
        <w:szCs w:val="18"/>
        <w:lang w:val="pl-PL"/>
      </w:rPr>
    </w:pP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sidRPr="00497135">
      <w:rPr>
        <w:color w:val="000000"/>
        <w:sz w:val="18"/>
        <w:szCs w:val="18"/>
        <w:lang w:val="pl-PL"/>
      </w:rPr>
      <w:t>Za</w:t>
    </w:r>
    <w:r w:rsidR="00D45083">
      <w:rPr>
        <w:color w:val="000000"/>
        <w:sz w:val="18"/>
        <w:szCs w:val="18"/>
        <w:lang w:val="pl-PL"/>
      </w:rPr>
      <w:t>łącznik nr 20</w:t>
    </w:r>
  </w:p>
  <w:p w14:paraId="0F473EF9" w14:textId="77777777" w:rsidR="00A905BD" w:rsidRPr="001C1428" w:rsidRDefault="009909C4" w:rsidP="009D1313">
    <w:pPr>
      <w:pStyle w:val="Nagwek"/>
      <w:tabs>
        <w:tab w:val="clear" w:pos="8306"/>
      </w:tabs>
      <w:ind w:right="360"/>
      <w:rPr>
        <w:b/>
        <w:sz w:val="28"/>
        <w:lang w:val="pl-PL"/>
      </w:rPr>
    </w:pPr>
    <w:r>
      <w:rPr>
        <w:b/>
        <w:color w:val="000000"/>
        <w:sz w:val="28"/>
        <w:lang w:val="pl-PL"/>
      </w:rPr>
      <w:t>Urząd m.st. Warszawy Urząd Dzielnicy Wawer</w:t>
    </w:r>
  </w:p>
  <w:p w14:paraId="3B478104" w14:textId="1A824882" w:rsidR="00A905BD" w:rsidRDefault="001C1428" w:rsidP="009D1313">
    <w:pPr>
      <w:pStyle w:val="Nagwek"/>
      <w:pBdr>
        <w:bottom w:val="single" w:sz="6" w:space="1" w:color="auto"/>
      </w:pBdr>
      <w:tabs>
        <w:tab w:val="clear" w:pos="8306"/>
      </w:tabs>
      <w:ind w:right="45"/>
      <w:rPr>
        <w:b/>
        <w:sz w:val="24"/>
        <w:lang w:val="pl-PL"/>
      </w:rPr>
    </w:pPr>
    <w:r>
      <w:rPr>
        <w:b/>
        <w:sz w:val="24"/>
        <w:lang w:val="pl-PL"/>
      </w:rPr>
      <w:t>Informacja dodatkowa do sprawozdania</w:t>
    </w:r>
    <w:r w:rsidR="00A905BD">
      <w:rPr>
        <w:b/>
        <w:sz w:val="24"/>
        <w:lang w:val="pl-PL"/>
      </w:rPr>
      <w:t xml:space="preserve"> finansowe</w:t>
    </w:r>
    <w:r>
      <w:rPr>
        <w:b/>
        <w:sz w:val="24"/>
        <w:lang w:val="pl-PL"/>
      </w:rPr>
      <w:t>go</w:t>
    </w:r>
    <w:r w:rsidR="00A905BD">
      <w:rPr>
        <w:b/>
        <w:sz w:val="24"/>
        <w:lang w:val="pl-PL"/>
      </w:rPr>
      <w:t xml:space="preserve"> za rok obrotowy </w:t>
    </w:r>
    <w:r w:rsidR="00A905BD" w:rsidRPr="00587212">
      <w:rPr>
        <w:b/>
        <w:sz w:val="24"/>
        <w:lang w:val="pl-PL"/>
      </w:rPr>
      <w:t>zakończony 31</w:t>
    </w:r>
    <w:r w:rsidR="00013FD1">
      <w:rPr>
        <w:b/>
        <w:sz w:val="24"/>
        <w:lang w:val="pl-PL"/>
      </w:rPr>
      <w:t> </w:t>
    </w:r>
    <w:r w:rsidR="00D71F0D">
      <w:rPr>
        <w:b/>
        <w:sz w:val="24"/>
        <w:lang w:val="pl-PL"/>
      </w:rPr>
      <w:t xml:space="preserve">grudnia </w:t>
    </w:r>
    <w:r w:rsidR="00CC48C2">
      <w:rPr>
        <w:b/>
        <w:sz w:val="24"/>
        <w:lang w:val="pl-PL"/>
      </w:rPr>
      <w:t>2022</w:t>
    </w:r>
    <w:r w:rsidR="009909C4">
      <w:rPr>
        <w:b/>
        <w:sz w:val="24"/>
        <w:lang w:val="pl-PL"/>
      </w:rPr>
      <w:t xml:space="preserve"> </w:t>
    </w:r>
    <w:r w:rsidR="00A905BD" w:rsidRPr="00587212">
      <w:rPr>
        <w:b/>
        <w:sz w:val="24"/>
        <w:lang w:val="pl-PL"/>
      </w:rPr>
      <w:t>r.</w:t>
    </w:r>
  </w:p>
  <w:p w14:paraId="412D56E3" w14:textId="77777777" w:rsidR="00CF5F24" w:rsidRPr="00587212" w:rsidRDefault="00CF5F24" w:rsidP="007E7521">
    <w:pPr>
      <w:pStyle w:val="Nagwek"/>
      <w:numPr>
        <w:ilvl w:val="0"/>
        <w:numId w:val="4"/>
      </w:numPr>
      <w:pBdr>
        <w:bottom w:val="single" w:sz="6" w:space="1" w:color="auto"/>
      </w:pBdr>
      <w:tabs>
        <w:tab w:val="clear" w:pos="4153"/>
        <w:tab w:val="clear" w:pos="8306"/>
        <w:tab w:val="center" w:pos="284"/>
      </w:tabs>
      <w:spacing w:after="100" w:afterAutospacing="1"/>
      <w:ind w:left="426" w:right="45" w:hanging="426"/>
      <w:rPr>
        <w:b/>
        <w:sz w:val="24"/>
        <w:lang w:val="pl-PL"/>
      </w:rPr>
    </w:pPr>
    <w:r>
      <w:rPr>
        <w:b/>
        <w:sz w:val="24"/>
        <w:lang w:val="pl-PL"/>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A945F0"/>
    <w:multiLevelType w:val="hybridMultilevel"/>
    <w:tmpl w:val="81C04726"/>
    <w:lvl w:ilvl="0" w:tplc="04150017">
      <w:start w:val="1"/>
      <w:numFmt w:val="lowerLetter"/>
      <w:lvlText w:val="%1)"/>
      <w:lvlJc w:val="left"/>
      <w:pPr>
        <w:ind w:left="1995" w:hanging="360"/>
      </w:p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3" w15:restartNumberingAfterBreak="0">
    <w:nsid w:val="1E3A5AB6"/>
    <w:multiLevelType w:val="multilevel"/>
    <w:tmpl w:val="77CA1B2A"/>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decimal"/>
      <w:lvlText w:val="(%4)"/>
      <w:lvlJc w:val="left"/>
      <w:pPr>
        <w:tabs>
          <w:tab w:val="num" w:pos="1995"/>
        </w:tabs>
        <w:ind w:left="1995" w:hanging="360"/>
      </w:p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4" w15:restartNumberingAfterBreak="0">
    <w:nsid w:val="28144C91"/>
    <w:multiLevelType w:val="multilevel"/>
    <w:tmpl w:val="63C4BB50"/>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lowerLetter"/>
      <w:lvlText w:val="%3)"/>
      <w:lvlJc w:val="left"/>
      <w:pPr>
        <w:ind w:left="1635" w:hanging="360"/>
      </w:p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5"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15:restartNumberingAfterBreak="0">
    <w:nsid w:val="45D409D2"/>
    <w:multiLevelType w:val="hybridMultilevel"/>
    <w:tmpl w:val="FEAA83DE"/>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7" w15:restartNumberingAfterBreak="0">
    <w:nsid w:val="464B7C10"/>
    <w:multiLevelType w:val="multilevel"/>
    <w:tmpl w:val="4D7848EA"/>
    <w:lvl w:ilvl="0">
      <w:start w:val="1"/>
      <w:numFmt w:val="decimal"/>
      <w:lvlText w:val="%1."/>
      <w:lvlJc w:val="left"/>
      <w:pPr>
        <w:tabs>
          <w:tab w:val="num" w:pos="915"/>
        </w:tabs>
        <w:ind w:left="915" w:hanging="360"/>
      </w:pPr>
      <w:rPr>
        <w:rFonts w:hint="default"/>
      </w:rPr>
    </w:lvl>
    <w:lvl w:ilvl="1">
      <w:start w:val="6"/>
      <w:numFmt w:val="decimal"/>
      <w:lvlText w:val="%2)"/>
      <w:lvlJc w:val="left"/>
      <w:pPr>
        <w:tabs>
          <w:tab w:val="num" w:pos="1275"/>
        </w:tabs>
        <w:ind w:left="1275" w:hanging="360"/>
      </w:pPr>
      <w:rPr>
        <w:rFonts w:hint="default"/>
      </w:rPr>
    </w:lvl>
    <w:lvl w:ilvl="2">
      <w:start w:val="1"/>
      <w:numFmt w:val="lowerLetter"/>
      <w:lvlText w:val="%3)"/>
      <w:lvlJc w:val="left"/>
      <w:pPr>
        <w:ind w:left="1635" w:hanging="360"/>
      </w:pPr>
      <w:rPr>
        <w:rFonts w:hint="default"/>
      </w:rPr>
    </w:lvl>
    <w:lvl w:ilvl="3">
      <w:start w:val="1"/>
      <w:numFmt w:val="decimal"/>
      <w:lvlText w:val="(%4)"/>
      <w:lvlJc w:val="left"/>
      <w:pPr>
        <w:tabs>
          <w:tab w:val="num" w:pos="1995"/>
        </w:tabs>
        <w:ind w:left="1995" w:hanging="360"/>
      </w:pPr>
      <w:rPr>
        <w:rFonts w:hint="default"/>
      </w:rPr>
    </w:lvl>
    <w:lvl w:ilvl="4">
      <w:start w:val="1"/>
      <w:numFmt w:val="lowerLetter"/>
      <w:lvlText w:val="(%5)"/>
      <w:lvlJc w:val="left"/>
      <w:pPr>
        <w:tabs>
          <w:tab w:val="num" w:pos="2355"/>
        </w:tabs>
        <w:ind w:left="2355" w:hanging="360"/>
      </w:pPr>
      <w:rPr>
        <w:rFonts w:hint="default"/>
      </w:rPr>
    </w:lvl>
    <w:lvl w:ilvl="5">
      <w:start w:val="1"/>
      <w:numFmt w:val="lowerRoman"/>
      <w:lvlText w:val="(%6)"/>
      <w:lvlJc w:val="left"/>
      <w:pPr>
        <w:tabs>
          <w:tab w:val="num" w:pos="2715"/>
        </w:tabs>
        <w:ind w:left="2715" w:hanging="360"/>
      </w:pPr>
      <w:rPr>
        <w:rFonts w:hint="default"/>
      </w:rPr>
    </w:lvl>
    <w:lvl w:ilvl="6">
      <w:start w:val="1"/>
      <w:numFmt w:val="decimal"/>
      <w:lvlText w:val="%7."/>
      <w:lvlJc w:val="left"/>
      <w:pPr>
        <w:tabs>
          <w:tab w:val="num" w:pos="3075"/>
        </w:tabs>
        <w:ind w:left="3075" w:hanging="360"/>
      </w:pPr>
      <w:rPr>
        <w:rFonts w:hint="default"/>
      </w:rPr>
    </w:lvl>
    <w:lvl w:ilvl="7">
      <w:start w:val="1"/>
      <w:numFmt w:val="lowerLetter"/>
      <w:lvlText w:val="%8."/>
      <w:lvlJc w:val="left"/>
      <w:pPr>
        <w:tabs>
          <w:tab w:val="num" w:pos="3435"/>
        </w:tabs>
        <w:ind w:left="3435" w:hanging="360"/>
      </w:pPr>
      <w:rPr>
        <w:rFonts w:hint="default"/>
      </w:rPr>
    </w:lvl>
    <w:lvl w:ilvl="8">
      <w:start w:val="1"/>
      <w:numFmt w:val="lowerRoman"/>
      <w:lvlText w:val="%9."/>
      <w:lvlJc w:val="left"/>
      <w:pPr>
        <w:tabs>
          <w:tab w:val="num" w:pos="3795"/>
        </w:tabs>
        <w:ind w:left="3795" w:hanging="360"/>
      </w:pPr>
      <w:rPr>
        <w:rFonts w:hint="default"/>
      </w:rPr>
    </w:lvl>
  </w:abstractNum>
  <w:abstractNum w:abstractNumId="8"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0" w15:restartNumberingAfterBreak="0">
    <w:nsid w:val="5E0B26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913B91"/>
    <w:multiLevelType w:val="multilevel"/>
    <w:tmpl w:val="44B67692"/>
    <w:lvl w:ilvl="0">
      <w:start w:val="1"/>
      <w:numFmt w:val="decimal"/>
      <w:lvlText w:val="%1."/>
      <w:lvlJc w:val="left"/>
      <w:pPr>
        <w:tabs>
          <w:tab w:val="num" w:pos="915"/>
        </w:tabs>
        <w:ind w:left="915" w:hanging="360"/>
      </w:pPr>
    </w:lvl>
    <w:lvl w:ilvl="1">
      <w:start w:val="1"/>
      <w:numFmt w:val="decimal"/>
      <w:lvlText w:val="%2)"/>
      <w:lvlJc w:val="left"/>
      <w:pPr>
        <w:tabs>
          <w:tab w:val="num" w:pos="1275"/>
        </w:tabs>
        <w:ind w:left="1275" w:hanging="360"/>
      </w:pPr>
    </w:lvl>
    <w:lvl w:ilvl="2">
      <w:start w:val="1"/>
      <w:numFmt w:val="bullet"/>
      <w:lvlText w:val=""/>
      <w:lvlJc w:val="left"/>
      <w:pPr>
        <w:ind w:left="1635" w:hanging="360"/>
      </w:pPr>
      <w:rPr>
        <w:rFonts w:ascii="Symbol" w:hAnsi="Symbol" w:hint="default"/>
      </w:rPr>
    </w:lvl>
    <w:lvl w:ilvl="3">
      <w:start w:val="1"/>
      <w:numFmt w:val="bullet"/>
      <w:lvlText w:val=""/>
      <w:lvlJc w:val="left"/>
      <w:pPr>
        <w:ind w:left="1995" w:hanging="360"/>
      </w:pPr>
      <w:rPr>
        <w:rFonts w:ascii="Symbol" w:hAnsi="Symbol" w:hint="default"/>
      </w:rPr>
    </w:lvl>
    <w:lvl w:ilvl="4">
      <w:start w:val="1"/>
      <w:numFmt w:val="lowerLetter"/>
      <w:lvlText w:val="(%5)"/>
      <w:lvlJc w:val="left"/>
      <w:pPr>
        <w:tabs>
          <w:tab w:val="num" w:pos="2355"/>
        </w:tabs>
        <w:ind w:left="2355" w:hanging="360"/>
      </w:pPr>
    </w:lvl>
    <w:lvl w:ilvl="5">
      <w:start w:val="1"/>
      <w:numFmt w:val="lowerRoman"/>
      <w:lvlText w:val="(%6)"/>
      <w:lvlJc w:val="left"/>
      <w:pPr>
        <w:tabs>
          <w:tab w:val="num" w:pos="2715"/>
        </w:tabs>
        <w:ind w:left="2715" w:hanging="360"/>
      </w:pPr>
    </w:lvl>
    <w:lvl w:ilvl="6">
      <w:start w:val="1"/>
      <w:numFmt w:val="decimal"/>
      <w:lvlText w:val="%7."/>
      <w:lvlJc w:val="left"/>
      <w:pPr>
        <w:tabs>
          <w:tab w:val="num" w:pos="3075"/>
        </w:tabs>
        <w:ind w:left="3075" w:hanging="360"/>
      </w:pPr>
    </w:lvl>
    <w:lvl w:ilvl="7">
      <w:start w:val="1"/>
      <w:numFmt w:val="lowerLetter"/>
      <w:lvlText w:val="%8."/>
      <w:lvlJc w:val="left"/>
      <w:pPr>
        <w:tabs>
          <w:tab w:val="num" w:pos="3435"/>
        </w:tabs>
        <w:ind w:left="3435" w:hanging="360"/>
      </w:pPr>
    </w:lvl>
    <w:lvl w:ilvl="8">
      <w:start w:val="1"/>
      <w:numFmt w:val="lowerRoman"/>
      <w:lvlText w:val="%9."/>
      <w:lvlJc w:val="left"/>
      <w:pPr>
        <w:tabs>
          <w:tab w:val="num" w:pos="3795"/>
        </w:tabs>
        <w:ind w:left="3795" w:hanging="360"/>
      </w:pPr>
    </w:lvl>
  </w:abstractNum>
  <w:abstractNum w:abstractNumId="12"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9"/>
  </w:num>
  <w:num w:numId="2">
    <w:abstractNumId w:val="12"/>
  </w:num>
  <w:num w:numId="3">
    <w:abstractNumId w:val="5"/>
  </w:num>
  <w:num w:numId="4">
    <w:abstractNumId w:val="8"/>
  </w:num>
  <w:num w:numId="5">
    <w:abstractNumId w:val="0"/>
  </w:num>
  <w:num w:numId="6">
    <w:abstractNumId w:val="10"/>
  </w:num>
  <w:num w:numId="7">
    <w:abstractNumId w:val="3"/>
  </w:num>
  <w:num w:numId="8">
    <w:abstractNumId w:val="7"/>
  </w:num>
  <w:num w:numId="9">
    <w:abstractNumId w:val="6"/>
  </w:num>
  <w:num w:numId="10">
    <w:abstractNumId w:val="4"/>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3EF"/>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1F9"/>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19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43"/>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6B4F"/>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9F1"/>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5F32"/>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7C4"/>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3B7A"/>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4437"/>
    <w:rsid w:val="0013455C"/>
    <w:rsid w:val="00134A9C"/>
    <w:rsid w:val="00134BCA"/>
    <w:rsid w:val="00134CB8"/>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096"/>
    <w:rsid w:val="00144D31"/>
    <w:rsid w:val="00144ECE"/>
    <w:rsid w:val="001451C3"/>
    <w:rsid w:val="00145809"/>
    <w:rsid w:val="00145815"/>
    <w:rsid w:val="00145BDA"/>
    <w:rsid w:val="00145F8F"/>
    <w:rsid w:val="0014604E"/>
    <w:rsid w:val="00146B49"/>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77DDF"/>
    <w:rsid w:val="0018073A"/>
    <w:rsid w:val="001809EC"/>
    <w:rsid w:val="0018115D"/>
    <w:rsid w:val="00181630"/>
    <w:rsid w:val="00181905"/>
    <w:rsid w:val="0018227D"/>
    <w:rsid w:val="00182394"/>
    <w:rsid w:val="00182B6F"/>
    <w:rsid w:val="00182BB3"/>
    <w:rsid w:val="00182DAF"/>
    <w:rsid w:val="00182EFB"/>
    <w:rsid w:val="00183CF9"/>
    <w:rsid w:val="00184157"/>
    <w:rsid w:val="00184438"/>
    <w:rsid w:val="00184759"/>
    <w:rsid w:val="00185A64"/>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3E63"/>
    <w:rsid w:val="001A454F"/>
    <w:rsid w:val="001A4932"/>
    <w:rsid w:val="001A59FA"/>
    <w:rsid w:val="001A5E50"/>
    <w:rsid w:val="001A5EB5"/>
    <w:rsid w:val="001A62B4"/>
    <w:rsid w:val="001A6983"/>
    <w:rsid w:val="001A6D9A"/>
    <w:rsid w:val="001A7348"/>
    <w:rsid w:val="001B0025"/>
    <w:rsid w:val="001B054E"/>
    <w:rsid w:val="001B09C4"/>
    <w:rsid w:val="001B1E84"/>
    <w:rsid w:val="001B2217"/>
    <w:rsid w:val="001B3126"/>
    <w:rsid w:val="001B336A"/>
    <w:rsid w:val="001B33ED"/>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B31"/>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6924"/>
    <w:rsid w:val="0021743F"/>
    <w:rsid w:val="002201B8"/>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5F30"/>
    <w:rsid w:val="0023603F"/>
    <w:rsid w:val="00236665"/>
    <w:rsid w:val="002368FD"/>
    <w:rsid w:val="00236AE1"/>
    <w:rsid w:val="00240027"/>
    <w:rsid w:val="00240690"/>
    <w:rsid w:val="00240C9E"/>
    <w:rsid w:val="00240D68"/>
    <w:rsid w:val="0024114F"/>
    <w:rsid w:val="00241376"/>
    <w:rsid w:val="002424F5"/>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13E"/>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6B8B"/>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550"/>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79"/>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BC8"/>
    <w:rsid w:val="002E5CA7"/>
    <w:rsid w:val="002E6358"/>
    <w:rsid w:val="002E64AB"/>
    <w:rsid w:val="002E666D"/>
    <w:rsid w:val="002E6C69"/>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02"/>
    <w:rsid w:val="003155BC"/>
    <w:rsid w:val="00315829"/>
    <w:rsid w:val="00315D0C"/>
    <w:rsid w:val="003160E7"/>
    <w:rsid w:val="00316E13"/>
    <w:rsid w:val="003173AB"/>
    <w:rsid w:val="00317C1C"/>
    <w:rsid w:val="003200B4"/>
    <w:rsid w:val="003205E8"/>
    <w:rsid w:val="003208E0"/>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2E3"/>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20CD"/>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63B"/>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50"/>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0A7F"/>
    <w:rsid w:val="003E2083"/>
    <w:rsid w:val="003E24DA"/>
    <w:rsid w:val="003E2FD8"/>
    <w:rsid w:val="003E3497"/>
    <w:rsid w:val="003E36C1"/>
    <w:rsid w:val="003E377A"/>
    <w:rsid w:val="003E3C72"/>
    <w:rsid w:val="003E4691"/>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B49"/>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5C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A63"/>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35"/>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5F8C"/>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A6"/>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8DB"/>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2DE"/>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5CD0"/>
    <w:rsid w:val="00576402"/>
    <w:rsid w:val="00576491"/>
    <w:rsid w:val="005766ED"/>
    <w:rsid w:val="00576A20"/>
    <w:rsid w:val="00576EB5"/>
    <w:rsid w:val="00577A9C"/>
    <w:rsid w:val="0058071B"/>
    <w:rsid w:val="00580A49"/>
    <w:rsid w:val="00580BA9"/>
    <w:rsid w:val="00580BBC"/>
    <w:rsid w:val="00581ECB"/>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72E"/>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6B3"/>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469B"/>
    <w:rsid w:val="005B46A5"/>
    <w:rsid w:val="005B4E70"/>
    <w:rsid w:val="005B51AA"/>
    <w:rsid w:val="005B5B22"/>
    <w:rsid w:val="005B6051"/>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50D"/>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28"/>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B87"/>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1E9"/>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575"/>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6FE0"/>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810"/>
    <w:rsid w:val="006E7C0B"/>
    <w:rsid w:val="006F0CED"/>
    <w:rsid w:val="006F0DBD"/>
    <w:rsid w:val="006F1ACF"/>
    <w:rsid w:val="006F1E7B"/>
    <w:rsid w:val="006F327F"/>
    <w:rsid w:val="006F366E"/>
    <w:rsid w:val="006F3DF6"/>
    <w:rsid w:val="006F3FE2"/>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971"/>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8AD"/>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36"/>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3DCA"/>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80A"/>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6A2"/>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4BCD"/>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8A9"/>
    <w:rsid w:val="007E3A3A"/>
    <w:rsid w:val="007E4C46"/>
    <w:rsid w:val="007E4CCB"/>
    <w:rsid w:val="007E557A"/>
    <w:rsid w:val="007E55D6"/>
    <w:rsid w:val="007E5C76"/>
    <w:rsid w:val="007E60FA"/>
    <w:rsid w:val="007E6196"/>
    <w:rsid w:val="007E69CD"/>
    <w:rsid w:val="007E7367"/>
    <w:rsid w:val="007E7521"/>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27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1AB"/>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512"/>
    <w:rsid w:val="00812CC6"/>
    <w:rsid w:val="00813017"/>
    <w:rsid w:val="008145CF"/>
    <w:rsid w:val="00814CD7"/>
    <w:rsid w:val="008151CA"/>
    <w:rsid w:val="00815531"/>
    <w:rsid w:val="008159E7"/>
    <w:rsid w:val="00815C44"/>
    <w:rsid w:val="00815E27"/>
    <w:rsid w:val="0081643D"/>
    <w:rsid w:val="00816813"/>
    <w:rsid w:val="008170C0"/>
    <w:rsid w:val="00817494"/>
    <w:rsid w:val="00817A9E"/>
    <w:rsid w:val="00817B41"/>
    <w:rsid w:val="00817C0B"/>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4C0C"/>
    <w:rsid w:val="00825258"/>
    <w:rsid w:val="008253A9"/>
    <w:rsid w:val="00825469"/>
    <w:rsid w:val="00825A5C"/>
    <w:rsid w:val="00825A98"/>
    <w:rsid w:val="00825FD3"/>
    <w:rsid w:val="008264AC"/>
    <w:rsid w:val="00826709"/>
    <w:rsid w:val="0082674C"/>
    <w:rsid w:val="00826873"/>
    <w:rsid w:val="00826BE1"/>
    <w:rsid w:val="00826C63"/>
    <w:rsid w:val="00827343"/>
    <w:rsid w:val="00827730"/>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A7A"/>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89E"/>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807"/>
    <w:rsid w:val="008A3ABD"/>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01E4"/>
    <w:rsid w:val="008F12AB"/>
    <w:rsid w:val="008F15BD"/>
    <w:rsid w:val="008F1655"/>
    <w:rsid w:val="008F1DB5"/>
    <w:rsid w:val="008F218D"/>
    <w:rsid w:val="008F2361"/>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8F7898"/>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6540"/>
    <w:rsid w:val="009369EA"/>
    <w:rsid w:val="00937CCF"/>
    <w:rsid w:val="00940236"/>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BB9"/>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3F"/>
    <w:rsid w:val="00954A87"/>
    <w:rsid w:val="00955813"/>
    <w:rsid w:val="00955E04"/>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2E2"/>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09C4"/>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3A"/>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0F70"/>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2FFE"/>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921"/>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5B"/>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F7A"/>
    <w:rsid w:val="00A52844"/>
    <w:rsid w:val="00A5308A"/>
    <w:rsid w:val="00A533B8"/>
    <w:rsid w:val="00A5352D"/>
    <w:rsid w:val="00A5357F"/>
    <w:rsid w:val="00A53F4F"/>
    <w:rsid w:val="00A5426C"/>
    <w:rsid w:val="00A544F6"/>
    <w:rsid w:val="00A54687"/>
    <w:rsid w:val="00A547A4"/>
    <w:rsid w:val="00A547C4"/>
    <w:rsid w:val="00A54818"/>
    <w:rsid w:val="00A54AA7"/>
    <w:rsid w:val="00A54F24"/>
    <w:rsid w:val="00A54F84"/>
    <w:rsid w:val="00A5534A"/>
    <w:rsid w:val="00A55386"/>
    <w:rsid w:val="00A55A0D"/>
    <w:rsid w:val="00A55EDC"/>
    <w:rsid w:val="00A56005"/>
    <w:rsid w:val="00A561D1"/>
    <w:rsid w:val="00A566EF"/>
    <w:rsid w:val="00A56D9D"/>
    <w:rsid w:val="00A56E30"/>
    <w:rsid w:val="00A57AAF"/>
    <w:rsid w:val="00A6009B"/>
    <w:rsid w:val="00A6091D"/>
    <w:rsid w:val="00A60973"/>
    <w:rsid w:val="00A60D4E"/>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3C"/>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819"/>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225"/>
    <w:rsid w:val="00AD13B2"/>
    <w:rsid w:val="00AD148E"/>
    <w:rsid w:val="00AD195C"/>
    <w:rsid w:val="00AD23C3"/>
    <w:rsid w:val="00AD27FD"/>
    <w:rsid w:val="00AD297B"/>
    <w:rsid w:val="00AD3ACE"/>
    <w:rsid w:val="00AD482C"/>
    <w:rsid w:val="00AD48B5"/>
    <w:rsid w:val="00AD51BB"/>
    <w:rsid w:val="00AD5C24"/>
    <w:rsid w:val="00AD63B3"/>
    <w:rsid w:val="00AD690D"/>
    <w:rsid w:val="00AD6A2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24D"/>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2C68"/>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D"/>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63F"/>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2C3"/>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3D"/>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5425"/>
    <w:rsid w:val="00B85657"/>
    <w:rsid w:val="00B8579D"/>
    <w:rsid w:val="00B85FF7"/>
    <w:rsid w:val="00B86379"/>
    <w:rsid w:val="00B86645"/>
    <w:rsid w:val="00B86C81"/>
    <w:rsid w:val="00B86E09"/>
    <w:rsid w:val="00B90149"/>
    <w:rsid w:val="00B90492"/>
    <w:rsid w:val="00B9074F"/>
    <w:rsid w:val="00B907AC"/>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67B1"/>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46BF"/>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041"/>
    <w:rsid w:val="00BD28AA"/>
    <w:rsid w:val="00BD2A9F"/>
    <w:rsid w:val="00BD2F36"/>
    <w:rsid w:val="00BD3549"/>
    <w:rsid w:val="00BD3AEA"/>
    <w:rsid w:val="00BD4120"/>
    <w:rsid w:val="00BD4126"/>
    <w:rsid w:val="00BD412B"/>
    <w:rsid w:val="00BD46C8"/>
    <w:rsid w:val="00BD48DD"/>
    <w:rsid w:val="00BD4A90"/>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F030A"/>
    <w:rsid w:val="00BF06D2"/>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617"/>
    <w:rsid w:val="00C156AB"/>
    <w:rsid w:val="00C15938"/>
    <w:rsid w:val="00C15AED"/>
    <w:rsid w:val="00C15B43"/>
    <w:rsid w:val="00C16225"/>
    <w:rsid w:val="00C16260"/>
    <w:rsid w:val="00C16EE5"/>
    <w:rsid w:val="00C1726A"/>
    <w:rsid w:val="00C17790"/>
    <w:rsid w:val="00C17C9F"/>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ECC"/>
    <w:rsid w:val="00C352FB"/>
    <w:rsid w:val="00C353CD"/>
    <w:rsid w:val="00C3555C"/>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5589"/>
    <w:rsid w:val="00C56C7D"/>
    <w:rsid w:val="00C5725A"/>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6DC"/>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97DF2"/>
    <w:rsid w:val="00CA04B5"/>
    <w:rsid w:val="00CA066C"/>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48C2"/>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653"/>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3F29"/>
    <w:rsid w:val="00CF42A5"/>
    <w:rsid w:val="00CF446A"/>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711"/>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6B2"/>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E25"/>
    <w:rsid w:val="00D27F32"/>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083"/>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830"/>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4397"/>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6773"/>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2045"/>
    <w:rsid w:val="00DD314A"/>
    <w:rsid w:val="00DD337A"/>
    <w:rsid w:val="00DD46E0"/>
    <w:rsid w:val="00DD4DEA"/>
    <w:rsid w:val="00DD5813"/>
    <w:rsid w:val="00DD5843"/>
    <w:rsid w:val="00DD58C0"/>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D7D"/>
    <w:rsid w:val="00DF5E79"/>
    <w:rsid w:val="00DF5FED"/>
    <w:rsid w:val="00DF6FF8"/>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3901"/>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FD5"/>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6622"/>
    <w:rsid w:val="00E4699C"/>
    <w:rsid w:val="00E46BCE"/>
    <w:rsid w:val="00E471A5"/>
    <w:rsid w:val="00E4739B"/>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4DE"/>
    <w:rsid w:val="00E536E6"/>
    <w:rsid w:val="00E53ABB"/>
    <w:rsid w:val="00E53CB8"/>
    <w:rsid w:val="00E54B8D"/>
    <w:rsid w:val="00E55F2F"/>
    <w:rsid w:val="00E56E77"/>
    <w:rsid w:val="00E5776D"/>
    <w:rsid w:val="00E57A78"/>
    <w:rsid w:val="00E6024B"/>
    <w:rsid w:val="00E60716"/>
    <w:rsid w:val="00E60B93"/>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39E"/>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09E"/>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5B05"/>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6C1"/>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3ADF"/>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DDF"/>
    <w:rsid w:val="00F00FB4"/>
    <w:rsid w:val="00F015A6"/>
    <w:rsid w:val="00F01671"/>
    <w:rsid w:val="00F01826"/>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0BF"/>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03"/>
    <w:rsid w:val="00F66ED6"/>
    <w:rsid w:val="00F671F9"/>
    <w:rsid w:val="00F6756B"/>
    <w:rsid w:val="00F67CC7"/>
    <w:rsid w:val="00F70163"/>
    <w:rsid w:val="00F7070A"/>
    <w:rsid w:val="00F70910"/>
    <w:rsid w:val="00F71975"/>
    <w:rsid w:val="00F71B93"/>
    <w:rsid w:val="00F71C00"/>
    <w:rsid w:val="00F721C2"/>
    <w:rsid w:val="00F721C9"/>
    <w:rsid w:val="00F722CD"/>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25B"/>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5F9A"/>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69F"/>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69AD"/>
  <w15:chartTrackingRefBased/>
  <w15:docId w15:val="{C3388071-7C95-4989-B421-810251A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D6483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581330">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69104045">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E6152-BA73-46B2-839E-0304B0FF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3355</Words>
  <Characters>22117</Characters>
  <Application>Microsoft Office Word</Application>
  <DocSecurity>4</DocSecurity>
  <Lines>184</Lines>
  <Paragraphs>50</Paragraphs>
  <ScaleCrop>false</ScaleCrop>
  <HeadingPairs>
    <vt:vector size="2" baseType="variant">
      <vt:variant>
        <vt:lpstr>Tytuł</vt:lpstr>
      </vt:variant>
      <vt:variant>
        <vt:i4>1</vt:i4>
      </vt:variant>
    </vt:vector>
  </HeadingPairs>
  <TitlesOfParts>
    <vt:vector size="1" baseType="lpstr">
      <vt:lpstr>Wawer wprowadzenie do sprawozdania finansowego 2020</vt:lpstr>
    </vt:vector>
  </TitlesOfParts>
  <Company>UMSTW</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Wawer wprowadzenie do sprawozdania finansowego 2020</dc:title>
  <dc:subject/>
  <dc:creator>esemeniuk</dc:creator>
  <cp:keywords/>
  <cp:lastModifiedBy>Osiecka Katarzyna</cp:lastModifiedBy>
  <cp:revision>2</cp:revision>
  <cp:lastPrinted>2021-03-22T08:45:00Z</cp:lastPrinted>
  <dcterms:created xsi:type="dcterms:W3CDTF">2023-05-09T05:58:00Z</dcterms:created>
  <dcterms:modified xsi:type="dcterms:W3CDTF">2023-05-09T05:58:00Z</dcterms:modified>
</cp:coreProperties>
</file>