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0F606" w14:textId="00E9CC5E" w:rsidR="006E53F6" w:rsidRPr="00F61514" w:rsidRDefault="00731A47" w:rsidP="00731A47">
      <w:pPr>
        <w:spacing w:after="240" w:line="300" w:lineRule="auto"/>
        <w:ind w:left="6521" w:firstLine="569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…..</w:t>
      </w:r>
    </w:p>
    <w:p w14:paraId="3B18D3AF" w14:textId="395F5156" w:rsidR="009D1313" w:rsidRPr="00F61514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F61514" w:rsidRPr="00F61514">
        <w:rPr>
          <w:rFonts w:asciiTheme="minorHAnsi" w:hAnsiTheme="minorHAnsi" w:cstheme="minorHAnsi"/>
          <w:sz w:val="22"/>
          <w:szCs w:val="22"/>
          <w:lang w:val="pl-PL"/>
        </w:rPr>
        <w:t>Dzielnicy Ursynów m.st. Warszawy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77777777" w:rsidR="009D1313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F61514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18C0158E" w14:textId="4887ADC4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720" w:firstLine="27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sz w:val="22"/>
          <w:szCs w:val="22"/>
          <w:lang w:val="pl-PL" w:bidi="ar-TN"/>
        </w:rPr>
        <w:t>Dzielnica Ursynów m.st. Warszawy</w:t>
      </w:r>
    </w:p>
    <w:p w14:paraId="68FB6D7E" w14:textId="77777777" w:rsidR="005E5664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1822047C" w14:textId="1CEB51F2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</w:t>
      </w:r>
    </w:p>
    <w:p w14:paraId="10A46D58" w14:textId="77777777" w:rsidR="009D1313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0AB36D89" w14:textId="5E0A4346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61, 02-777 Warszawa</w:t>
      </w:r>
    </w:p>
    <w:p w14:paraId="0F037208" w14:textId="77777777" w:rsidR="009D1313" w:rsidRPr="00F61514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436BE3EC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Podstawowy przedmiot działalności jednostki, określa art. 11 Ustawy </w:t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z dnia 15.03.2002 r., o ustroju miasta stołecznego Warszawy. Urząd Dzielnicy Ursynów stanowi część Urzędy m.st. Warszawy, jest jednostką pomocniczą.</w:t>
      </w:r>
    </w:p>
    <w:p w14:paraId="1D13AF07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72E4E4D" w14:textId="4A0E6D0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Dzielnica działa na podstawie statutu dzielnicy nadanego przez Radę m.st. Warszawy </w:t>
      </w:r>
      <w:r w:rsidR="004B086D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i innych uchwał Rady m.st. Warszawy przekazujących dzielnicy zadania i kompetencje gminne i powiatowe, zadania zlecone gminie z zakresu administracji rządowej oraz zadania realizowane na podstawie porozumień zawartych pomiędzy jednostkami  samorządu terytorialnego.</w:t>
      </w:r>
    </w:p>
    <w:p w14:paraId="667EA0A2" w14:textId="77777777" w:rsidR="00F61514" w:rsidRPr="00F61514" w:rsidRDefault="00F61514" w:rsidP="00F61514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2E55DB1" w14:textId="77777777" w:rsidR="00F61514" w:rsidRPr="00F61514" w:rsidRDefault="00F61514" w:rsidP="00F61514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zakresu działania Dzielnicy należą, sprawy lokalne o zasięgu dzielnicowym:</w:t>
      </w:r>
    </w:p>
    <w:p w14:paraId="544805EC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gminnych zasobów lokalowych,</w:t>
      </w:r>
    </w:p>
    <w:p w14:paraId="6A181888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placówek oświaty i wychowania, kultury, pomocy społecznej rekreacji, sportu i turystyki, w zakresie określonym przez statut miasta i inne uchwały Rady m.st. Warszawy</w:t>
      </w:r>
    </w:p>
    <w:p w14:paraId="39720587" w14:textId="5D306CCC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zadania związane z ochroną zdrowia, w zakresie określonym przez statut miasta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i inne uchwały Rady m.st. Warszawy,</w:t>
      </w:r>
    </w:p>
    <w:p w14:paraId="664AEA00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utrzymanie zieleni i dróg o charakterze lokalnym, w zakresie określonym przez statut miasta i inne uchwały Rady m.st. Warszawy</w:t>
      </w:r>
    </w:p>
    <w:p w14:paraId="62FFF9A9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dzielnicowych obiektów administracyjnych,</w:t>
      </w:r>
    </w:p>
    <w:p w14:paraId="1119A54F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sprawowanie nadzoru nad jednostkami niższego rzędu utworzonymi na jej obszarze, </w:t>
      </w:r>
    </w:p>
    <w:p w14:paraId="1FE7842B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podejmowanie we własnym zakresie działań na rzecz zaspokajania zbiorowych potrzeb wspólnoty mieszkańców dzielnicy.</w:t>
      </w:r>
    </w:p>
    <w:p w14:paraId="25F50274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23A6511" w14:textId="77777777" w:rsidR="002B7FB2" w:rsidRPr="00F61514" w:rsidRDefault="002B7FB2" w:rsidP="00CF097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5CED07AA" w14:textId="2451DDFC" w:rsidR="00F61514" w:rsidRPr="00F61514" w:rsidRDefault="00F61514" w:rsidP="00F61514">
      <w:pPr>
        <w:pStyle w:val="Akapitzlist"/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Roczne sprawozdanie finansowe Dzielnicy Ursynów m.st. Warszawy obejmuje rok obrotowy trwający : od 01 stycznia 2021 r. do 31</w:t>
      </w:r>
      <w:r w:rsidR="00731A47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>grudnia 2021 r.</w:t>
      </w:r>
    </w:p>
    <w:p w14:paraId="6AF53B33" w14:textId="77777777" w:rsidR="00F61514" w:rsidRP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</w:p>
    <w:p w14:paraId="5D59F760" w14:textId="77777777" w:rsidR="00F61514" w:rsidRPr="00F61514" w:rsidRDefault="002B7FB2" w:rsidP="00F61514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F61514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03B5C252" w14:textId="0331E027" w:rsid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Nie zawiera</w:t>
      </w:r>
    </w:p>
    <w:p w14:paraId="790564F0" w14:textId="77777777" w:rsidR="00F61514" w:rsidRP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</w:p>
    <w:p w14:paraId="238229BC" w14:textId="5F74177B" w:rsidR="00F61514" w:rsidRPr="00F61514" w:rsidRDefault="003007CE" w:rsidP="00F61514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B8D88A" w14:textId="3EDC9BDA" w:rsidR="00F61514" w:rsidRPr="00F61514" w:rsidRDefault="00F61514" w:rsidP="00F61514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Księgi rachunkowe Urzędu Dzielnicy Ursynów prowadzone są w oparciu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o obowiązująca politykę rachunkowości, która została wprowadzona zarządzeniem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nr 3222/2012 Prezydenta m.st. Warszawy z dnia 13 sierpnia 2012 r. w sprawie przyjętych za</w:t>
      </w:r>
      <w:bookmarkStart w:id="0" w:name="_GoBack"/>
      <w:bookmarkEnd w:id="0"/>
      <w:r w:rsidRPr="00F61514">
        <w:rPr>
          <w:rFonts w:asciiTheme="minorHAnsi" w:hAnsiTheme="minorHAnsi" w:cstheme="minorHAnsi"/>
          <w:sz w:val="22"/>
          <w:szCs w:val="22"/>
        </w:rPr>
        <w:t>sad rachunkow</w:t>
      </w:r>
      <w:r>
        <w:rPr>
          <w:rFonts w:asciiTheme="minorHAnsi" w:hAnsiTheme="minorHAnsi" w:cstheme="minorHAnsi"/>
          <w:sz w:val="22"/>
          <w:szCs w:val="22"/>
        </w:rPr>
        <w:t xml:space="preserve">ości w Urzędzie m.st. Warszawy </w:t>
      </w:r>
      <w:r w:rsidRPr="00F61514">
        <w:rPr>
          <w:rFonts w:asciiTheme="minorHAnsi" w:hAnsiTheme="minorHAnsi" w:cstheme="minorHAnsi"/>
          <w:sz w:val="22"/>
          <w:szCs w:val="22"/>
        </w:rPr>
        <w:t>i obejmuje zasady prowadzenia ksiąg rachu</w:t>
      </w:r>
      <w:r>
        <w:rPr>
          <w:rFonts w:asciiTheme="minorHAnsi" w:hAnsiTheme="minorHAnsi" w:cstheme="minorHAnsi"/>
          <w:sz w:val="22"/>
          <w:szCs w:val="22"/>
        </w:rPr>
        <w:t xml:space="preserve">nkowych, metody wyceny aktywów </w:t>
      </w:r>
      <w:r w:rsidRPr="00F61514">
        <w:rPr>
          <w:rFonts w:asciiTheme="minorHAnsi" w:hAnsiTheme="minorHAnsi" w:cstheme="minorHAnsi"/>
          <w:sz w:val="22"/>
          <w:szCs w:val="22"/>
        </w:rPr>
        <w:t>i pasywów oraz wyniku finansowego i wyniku budżetu m. st. Warszawy (</w:t>
      </w:r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z </w:t>
      </w:r>
      <w:proofErr w:type="spellStart"/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późn</w:t>
      </w:r>
      <w:proofErr w:type="spellEnd"/>
      <w:r w:rsidRPr="00F6151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 zm.)</w:t>
      </w:r>
      <w:r w:rsidRPr="00F61514">
        <w:rPr>
          <w:rFonts w:asciiTheme="minorHAnsi" w:hAnsiTheme="minorHAnsi" w:cstheme="minorHAnsi"/>
          <w:sz w:val="22"/>
          <w:szCs w:val="22"/>
        </w:rPr>
        <w:t>.</w:t>
      </w:r>
    </w:p>
    <w:p w14:paraId="5258025E" w14:textId="18BB7F2F" w:rsidR="00F61514" w:rsidRPr="00F61514" w:rsidRDefault="00F61514" w:rsidP="00F61514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Księgi rachunkowe prowadzi się </w:t>
      </w:r>
      <w:r w:rsidRPr="00F6151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Wydziale Budżetowo-Księgowym, </w:t>
      </w:r>
      <w:r w:rsidRPr="00F61514">
        <w:rPr>
          <w:rFonts w:asciiTheme="minorHAnsi" w:hAnsiTheme="minorHAnsi" w:cstheme="minorHAnsi"/>
          <w:sz w:val="22"/>
          <w:szCs w:val="22"/>
        </w:rPr>
        <w:t>a w przypadku prowadzenia ksiąg pomocniczych w zakresie ewidencji majątku we właściwych wydziałach merytorycznych.</w:t>
      </w:r>
    </w:p>
    <w:p w14:paraId="155FC0FE" w14:textId="77777777" w:rsidR="00F61514" w:rsidRPr="00F61514" w:rsidRDefault="00F61514" w:rsidP="00F61514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57B98E2" w14:textId="35CA992C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W</w:t>
      </w:r>
      <w:proofErr w:type="spellStart"/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artości</w:t>
      </w:r>
      <w:proofErr w:type="spellEnd"/>
      <w:r w:rsidRPr="00F6151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niematerialne i prawne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>ujmowane są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</w:t>
      </w:r>
      <w:r w:rsidR="00234133">
        <w:rPr>
          <w:rFonts w:asciiTheme="minorHAnsi" w:hAnsiTheme="minorHAnsi" w:cstheme="minorHAnsi"/>
          <w:sz w:val="22"/>
          <w:szCs w:val="22"/>
        </w:rPr>
        <w:t>,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Wartości niematerialne i prawne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o wartości</w:t>
      </w:r>
      <w:r w:rsidR="00234133">
        <w:rPr>
          <w:rFonts w:asciiTheme="minorHAnsi" w:hAnsiTheme="minorHAnsi" w:cstheme="minorHAnsi"/>
          <w:sz w:val="22"/>
          <w:szCs w:val="22"/>
        </w:rPr>
        <w:t xml:space="preserve"> do 10.000 zł i okresie używania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dłuższym niż 1 rok podlegają umorzeniu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w pełnej wartości w miesiącu wydania do używania. Wartości niematerialne i prawne, o wartości jednostkowej powyżej 10.000 zł i okresie używania dłuższym niż rok podlegają umorzeniu nie rzadziej niż raz w roku.    </w:t>
      </w:r>
    </w:p>
    <w:p w14:paraId="41A4C9F4" w14:textId="267974F8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Środki trwałe otrzymane nieodpłatnie wyceniane są w wartości określonej w decyzji o przekazaniu, pomniejszonych o odpisy umorzeniowe </w:t>
      </w:r>
      <w:r w:rsidR="004B086D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odpisy z tytułu trwałej utraty wartości.  </w:t>
      </w:r>
    </w:p>
    <w:p w14:paraId="69E463CA" w14:textId="05CCD191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 w budowie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 cenie nabycia lub po koszcie wytworzenia, pomniejszonych o odpisy z tytułu trwałej utraty wartości. </w:t>
      </w:r>
      <w:r w:rsidRPr="00F61514">
        <w:rPr>
          <w:rFonts w:asciiTheme="minorHAnsi" w:hAnsiTheme="minorHAnsi" w:cstheme="minorHAnsi"/>
          <w:sz w:val="22"/>
          <w:szCs w:val="22"/>
        </w:rPr>
        <w:t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</w:t>
      </w:r>
      <w:r w:rsidR="00CB2D7B">
        <w:rPr>
          <w:rFonts w:asciiTheme="minorHAnsi" w:hAnsiTheme="minorHAnsi" w:cstheme="minorHAnsi"/>
          <w:sz w:val="22"/>
          <w:szCs w:val="22"/>
        </w:rPr>
        <w:t xml:space="preserve">h w celu ich finansowania wraz </w:t>
      </w:r>
      <w:r w:rsidRPr="00F61514">
        <w:rPr>
          <w:rFonts w:asciiTheme="minorHAnsi" w:hAnsiTheme="minorHAnsi" w:cstheme="minorHAnsi"/>
          <w:sz w:val="22"/>
          <w:szCs w:val="22"/>
        </w:rPr>
        <w:t xml:space="preserve">z różnicami kursowymi, pomniejszone o przychody z tego tytułu. </w:t>
      </w:r>
    </w:p>
    <w:p w14:paraId="79D52787" w14:textId="6AD19F0C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Należności krótko- i długoterminowe</w:t>
      </w:r>
      <w:r w:rsidRPr="00F61514">
        <w:rPr>
          <w:rFonts w:asciiTheme="minorHAnsi" w:hAnsiTheme="minorHAnsi" w:cstheme="minorHAnsi"/>
          <w:sz w:val="22"/>
          <w:szCs w:val="22"/>
        </w:rPr>
        <w:t>. Należności wykazane są w kwocie wymaganej zapłaty, z zachowaniem zasa</w:t>
      </w:r>
      <w:r w:rsidR="00CB2D7B">
        <w:rPr>
          <w:rFonts w:asciiTheme="minorHAnsi" w:hAnsiTheme="minorHAnsi" w:cstheme="minorHAnsi"/>
          <w:sz w:val="22"/>
          <w:szCs w:val="22"/>
        </w:rPr>
        <w:t xml:space="preserve">dy ostrożnej wyceny i wykazane </w:t>
      </w:r>
      <w:r w:rsidRPr="00F61514">
        <w:rPr>
          <w:rFonts w:asciiTheme="minorHAnsi" w:hAnsiTheme="minorHAnsi" w:cstheme="minorHAnsi"/>
          <w:sz w:val="22"/>
          <w:szCs w:val="22"/>
        </w:rPr>
        <w:t>w wartości netto (po pomniejszeniu o odpisy aktualizujące).</w:t>
      </w:r>
    </w:p>
    <w:p w14:paraId="015A5C82" w14:textId="47FFA214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</w:t>
      </w:r>
      <w:r w:rsidR="00CB2D7B">
        <w:rPr>
          <w:rFonts w:asciiTheme="minorHAnsi" w:hAnsiTheme="minorHAnsi" w:cstheme="minorHAnsi"/>
          <w:sz w:val="22"/>
          <w:szCs w:val="22"/>
        </w:rPr>
        <w:t xml:space="preserve">czy należności z tytułu dostaw </w:t>
      </w:r>
      <w:r w:rsidRPr="00F61514">
        <w:rPr>
          <w:rFonts w:asciiTheme="minorHAnsi" w:hAnsiTheme="minorHAnsi" w:cstheme="minorHAnsi"/>
          <w:sz w:val="22"/>
          <w:szCs w:val="22"/>
        </w:rPr>
        <w:t>i  usług, które zawsze prezentowane są jako należności krótkoterminowe.</w:t>
      </w:r>
    </w:p>
    <w:p w14:paraId="029BA17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>Środki trwałe będące w użytkowaniu Spółki do czasu wniesienia ich aportem do Spółki ujmowane jako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nieruchomości inwestycyjne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D716D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Środki pieniężne</w:t>
      </w:r>
      <w:r w:rsidRPr="00F61514">
        <w:rPr>
          <w:rFonts w:asciiTheme="minorHAnsi" w:hAnsiTheme="minorHAnsi" w:cstheme="minorHAnsi"/>
          <w:sz w:val="22"/>
          <w:szCs w:val="22"/>
        </w:rPr>
        <w:t xml:space="preserve"> w banku wycenia się według wartości nominalnej.</w:t>
      </w:r>
    </w:p>
    <w:p w14:paraId="78452DDC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Rozliczenia międzyokresowe </w:t>
      </w:r>
      <w:r w:rsidRPr="00F61514">
        <w:rPr>
          <w:rFonts w:asciiTheme="minorHAnsi" w:hAnsiTheme="minorHAnsi" w:cstheme="minorHAnsi"/>
          <w:sz w:val="22"/>
          <w:szCs w:val="22"/>
        </w:rPr>
        <w:t>kosztów obejmują poniesione koszty przyszłych okresów sprawozdawczych</w:t>
      </w:r>
    </w:p>
    <w:p w14:paraId="10FD388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Fundusz Jednostki</w:t>
      </w:r>
      <w:r w:rsidRPr="00F61514">
        <w:rPr>
          <w:rFonts w:asciiTheme="minorHAnsi" w:hAnsiTheme="minorHAnsi" w:cstheme="minorHAnsi"/>
          <w:sz w:val="22"/>
          <w:szCs w:val="22"/>
        </w:rPr>
        <w:t xml:space="preserve"> stanowi równowartość aktywów trwałych i obrotowych pomniejszonych o zobowiązania. </w:t>
      </w:r>
    </w:p>
    <w:p w14:paraId="5D6DC4E4" w14:textId="50E74D5A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Zobowiązania krótkoterminowe</w:t>
      </w:r>
      <w:r w:rsidRPr="00F61514">
        <w:rPr>
          <w:rFonts w:asciiTheme="minorHAnsi" w:hAnsiTheme="minorHAnsi" w:cstheme="minorHAnsi"/>
          <w:sz w:val="22"/>
          <w:szCs w:val="22"/>
        </w:rPr>
        <w:t xml:space="preserve">: obejmują </w:t>
      </w:r>
      <w:r w:rsidRPr="00F61514">
        <w:rPr>
          <w:rFonts w:asciiTheme="minorHAnsi" w:hAnsiTheme="minorHAnsi" w:cstheme="minorHAnsi"/>
          <w:i/>
          <w:sz w:val="22"/>
          <w:szCs w:val="22"/>
        </w:rPr>
        <w:t xml:space="preserve">zobowiązania z tytułu dostaw i usług </w:t>
      </w:r>
      <w:r w:rsidRPr="00F61514">
        <w:rPr>
          <w:rFonts w:asciiTheme="minorHAnsi" w:hAnsiTheme="minorHAnsi" w:cstheme="minorHAnsi"/>
          <w:sz w:val="22"/>
          <w:szCs w:val="22"/>
        </w:rPr>
        <w:t>wobec kontrahentów, które ze względu na termin realizacji/ dostawy zostały</w:t>
      </w:r>
      <w:r w:rsidR="00CB2D7B">
        <w:rPr>
          <w:rFonts w:asciiTheme="minorHAnsi" w:hAnsiTheme="minorHAnsi" w:cstheme="minorHAnsi"/>
          <w:sz w:val="22"/>
          <w:szCs w:val="22"/>
        </w:rPr>
        <w:t xml:space="preserve"> ujęte w księgach w grudniu 202</w:t>
      </w:r>
      <w:r w:rsidR="009B6B1B">
        <w:rPr>
          <w:rFonts w:asciiTheme="minorHAnsi" w:hAnsiTheme="minorHAnsi" w:cstheme="minorHAnsi"/>
          <w:sz w:val="22"/>
          <w:szCs w:val="22"/>
        </w:rPr>
        <w:t>1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r., a termin płatności przypadł na styczeń 202</w:t>
      </w:r>
      <w:r w:rsidR="00CB2D7B">
        <w:rPr>
          <w:rFonts w:asciiTheme="minorHAnsi" w:hAnsiTheme="minorHAnsi" w:cstheme="minorHAnsi"/>
          <w:sz w:val="22"/>
          <w:szCs w:val="22"/>
        </w:rPr>
        <w:t>2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 </w:t>
      </w:r>
      <w:r w:rsidRPr="00F61514">
        <w:rPr>
          <w:rFonts w:asciiTheme="minorHAnsi" w:hAnsiTheme="minorHAnsi" w:cstheme="minorHAnsi"/>
          <w:i/>
          <w:sz w:val="22"/>
          <w:szCs w:val="22"/>
        </w:rPr>
        <w:t>Zobowiązania wobec budżetów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jest to kwota z tytułu podatku dochodowego od osób fizycznych </w:t>
      </w:r>
    </w:p>
    <w:p w14:paraId="57274DB9" w14:textId="78D924E4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  <w:lang w:val="x-none"/>
        </w:rPr>
        <w:t>Zobowiązania z tytułu ubezpieczeń i innych świadczeń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fundusz gwarantowanych świadczeń pracowniczych</w:t>
      </w:r>
      <w:r w:rsidR="009B6B1B">
        <w:rPr>
          <w:rFonts w:asciiTheme="minorHAnsi" w:hAnsiTheme="minorHAnsi" w:cstheme="minorHAnsi"/>
          <w:sz w:val="22"/>
          <w:szCs w:val="22"/>
        </w:rPr>
        <w:t>, pracownicze plany kapitałowe od dodatkowego wynagrodzenia rocznego wypłaconego w 2022 r.</w:t>
      </w:r>
    </w:p>
    <w:p w14:paraId="19DD8574" w14:textId="06B2C98A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Zobowiązania z tytułu wynagrodzeń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wynagrodzenie dodatk</w:t>
      </w:r>
      <w:r w:rsidR="009B6B1B">
        <w:rPr>
          <w:rFonts w:asciiTheme="minorHAnsi" w:hAnsiTheme="minorHAnsi" w:cstheme="minorHAnsi"/>
          <w:sz w:val="22"/>
          <w:szCs w:val="22"/>
        </w:rPr>
        <w:t>owe wypłacone pracownikom w 2022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558569" w14:textId="13EA72AD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Pozostałe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 stanowią przede wszystkim zobowiązania z tytułu: dochodów Skarbu Państwa – fundusz alimentacyjny, dochodów budżetowych, opłat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za gospodarowanie odpadami komunalnymi, za wydanie zezwoleń na sprzedaż napojów alkoholowych oraz rozrachunki z Urzędem m.st. Warszawy. </w:t>
      </w:r>
    </w:p>
    <w:p w14:paraId="05EBF7EC" w14:textId="4F7D8D4B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Sumy obce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 celu zabezpieczenia interesów finansowych Urzędu m.st. Warszawy dla Dzielnicy Ursynów wynikających z podpisanych umów inwestycyjnych oraz umów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o dostawę usług, przyjmowane są na wyodrębnione rachunki bankowe kaucje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depozyty pieniężne będące gwarancją należytego wykonania usługi. W tej samej pozycji bilansu wykazane są również wpłacone przez kontrahentów wadia składane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w poczet zabezpieczenia dotrzymania warunków danej umowy w ramach przetargu oraz  kaucja mieszkaniowa wpłacana przez najemców lokali komunalnych jako forma zabezpieczenia ewentualnych roszczeń właściciela lokalu względem najemcy. Wartości wykazywane są na dzień bilansowy w kwocie wymaganej zapłaty.</w:t>
      </w:r>
    </w:p>
    <w:p w14:paraId="41C27006" w14:textId="526F8CE6" w:rsidR="00F61514" w:rsidRPr="009B6B1B" w:rsidRDefault="00F61514" w:rsidP="009B6B1B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Rezerwy na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Urząd Dzielnicy Ursynów m.st. Warszawy tworzy rezerwy jeżeli ciąży na nim obowiązek, wynikający ze zdarzeń przeszłych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i jest wysoce prawdopodobne, że wypełnienie tego obowiązku spowoduje wypływ środków. </w:t>
      </w:r>
      <w:r w:rsidRPr="009B6B1B">
        <w:rPr>
          <w:rFonts w:asciiTheme="minorHAnsi" w:hAnsiTheme="minorHAnsi" w:cstheme="minorHAnsi"/>
          <w:sz w:val="22"/>
          <w:szCs w:val="22"/>
        </w:rPr>
        <w:t xml:space="preserve">Urząd Dzielnicy Ursynów m.st. Warszawy tworzy rezerwy  m.in.: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 xml:space="preserve">na odszkodowania związane z uchwaleniem planu miejscowego zagospodarowania;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>na odszkodowania z tytułu bezumownego korzystania z gruntu; za niedostarczenie lokalu socjalnego; na odszkodowania, unieważnienie czynności prawnej.</w:t>
      </w:r>
    </w:p>
    <w:p w14:paraId="5B506C59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przychody za zajęcie pasa drogowego, zwrot zwaloryzowanej kwoty odszkodowań.</w:t>
      </w:r>
    </w:p>
    <w:p w14:paraId="375967D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Główne </w:t>
      </w:r>
      <w:r w:rsidRPr="00F61514">
        <w:rPr>
          <w:rFonts w:asciiTheme="minorHAnsi" w:hAnsiTheme="minorHAnsi" w:cstheme="minorHAnsi"/>
          <w:sz w:val="22"/>
          <w:szCs w:val="22"/>
          <w:u w:val="single"/>
        </w:rPr>
        <w:t>przychody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Urzędu Dzielnicy Ursynów m.st. Warszawy stanowią:</w:t>
      </w:r>
    </w:p>
    <w:p w14:paraId="7BF0ED27" w14:textId="77777777" w:rsidR="00F61514" w:rsidRPr="00F61514" w:rsidRDefault="00F61514" w:rsidP="00F61514">
      <w:pPr>
        <w:numPr>
          <w:ilvl w:val="2"/>
          <w:numId w:val="6"/>
        </w:numPr>
        <w:tabs>
          <w:tab w:val="clear" w:pos="2160"/>
          <w:tab w:val="num" w:pos="2552"/>
        </w:tabs>
        <w:ind w:firstLine="392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zajęcia pasa drogowego</w:t>
      </w:r>
    </w:p>
    <w:p w14:paraId="64C6F9C3" w14:textId="77777777" w:rsidR="00F61514" w:rsidRPr="00F61514" w:rsidRDefault="00F61514" w:rsidP="00F61514">
      <w:pPr>
        <w:numPr>
          <w:ilvl w:val="1"/>
          <w:numId w:val="6"/>
        </w:numPr>
        <w:tabs>
          <w:tab w:val="clear" w:pos="1440"/>
        </w:tabs>
        <w:ind w:left="1701" w:firstLine="0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netto ze sprzedaży produktów:</w:t>
      </w:r>
    </w:p>
    <w:p w14:paraId="40688CC6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Przychody z najmu i dzierżawy mienia związane </w:t>
      </w:r>
      <w:r w:rsidRPr="00F61514">
        <w:rPr>
          <w:rFonts w:asciiTheme="minorHAnsi" w:hAnsiTheme="minorHAnsi" w:cstheme="minorHAnsi"/>
          <w:sz w:val="22"/>
          <w:szCs w:val="22"/>
        </w:rPr>
        <w:br/>
        <w:t>z działalnością statutową</w:t>
      </w:r>
    </w:p>
    <w:p w14:paraId="05ED6718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Opłaty za zarząd i użytkowanie wieczyste</w:t>
      </w:r>
    </w:p>
    <w:p w14:paraId="7F98AB0D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Przychody z tyt. opłaty za bezumowne korzystanie z gruntu </w:t>
      </w:r>
    </w:p>
    <w:p w14:paraId="1EE71FCA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Sprzedaż usług</w:t>
      </w:r>
    </w:p>
    <w:p w14:paraId="23BB4AD9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inwestycji liniowych</w:t>
      </w:r>
    </w:p>
    <w:p w14:paraId="63331EBA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Inne (służebność gruntowa, rekompensata z tyt. utraty wartości nieruchomości, itd.)</w:t>
      </w:r>
    </w:p>
    <w:p w14:paraId="3B2EB2BE" w14:textId="77777777" w:rsidR="00F61514" w:rsidRPr="00F61514" w:rsidRDefault="00F61514" w:rsidP="00F615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B40BF9F" w14:textId="77777777" w:rsidR="00F61514" w:rsidRPr="00F61514" w:rsidRDefault="00F61514" w:rsidP="00F61514">
      <w:p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lastRenderedPageBreak/>
        <w:t xml:space="preserve">Prezentacja przychodów w Rachunku Zysków i Strat: </w:t>
      </w:r>
    </w:p>
    <w:p w14:paraId="5E041312" w14:textId="2CA015BA" w:rsidR="00F61514" w:rsidRPr="00F61514" w:rsidRDefault="00F61514" w:rsidP="00F6151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Do przychodów z podstawowej działalności operacyjnej Urzędu Dzielnicy Ursynów m.st. Warszawy zalicza się przede wszystkim przychody z następujących tytułów: 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przychody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="006B7FB9" w:rsidRPr="006B7FB9">
        <w:rPr>
          <w:rFonts w:asciiTheme="minorHAnsi" w:hAnsiTheme="minorHAnsi" w:cstheme="minorHAnsi"/>
          <w:sz w:val="22"/>
          <w:szCs w:val="22"/>
        </w:rPr>
        <w:t>z najmu i dzierżawy mienia związane z działalnością statutową</w:t>
      </w:r>
      <w:r w:rsidRPr="00F61514">
        <w:rPr>
          <w:rFonts w:asciiTheme="minorHAnsi" w:hAnsiTheme="minorHAnsi" w:cstheme="minorHAnsi"/>
          <w:sz w:val="22"/>
          <w:szCs w:val="22"/>
        </w:rPr>
        <w:t xml:space="preserve">, opłaty za zarząd </w:t>
      </w:r>
      <w:r w:rsidR="006B7FB9">
        <w:rPr>
          <w:rFonts w:asciiTheme="minorHAnsi" w:hAnsiTheme="minorHAnsi" w:cstheme="minorHAnsi"/>
          <w:sz w:val="22"/>
          <w:szCs w:val="22"/>
        </w:rPr>
        <w:br/>
        <w:t xml:space="preserve">i użytkowanie wieczyste,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 tyt</w:t>
      </w:r>
      <w:r w:rsidR="006B7FB9">
        <w:rPr>
          <w:rFonts w:asciiTheme="minorHAnsi" w:hAnsiTheme="minorHAnsi" w:cstheme="minorHAnsi"/>
          <w:sz w:val="22"/>
          <w:szCs w:val="22"/>
        </w:rPr>
        <w:t>ułu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 zajęcia pasa drogowego</w:t>
      </w:r>
      <w:r w:rsidR="006B7FB9">
        <w:rPr>
          <w:rFonts w:asciiTheme="minorHAnsi" w:hAnsiTheme="minorHAnsi" w:cstheme="minorHAnsi"/>
          <w:sz w:val="22"/>
          <w:szCs w:val="22"/>
        </w:rPr>
        <w:t xml:space="preserve">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związane z realizacją zadań z zakresu administracji rządowej</w:t>
      </w:r>
    </w:p>
    <w:p w14:paraId="5D5C9159" w14:textId="77777777" w:rsidR="00F61514" w:rsidRPr="00F61514" w:rsidRDefault="00F61514" w:rsidP="00F6151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przychodów z pozostałej działalności operacyjnej Urzędu Dzielnicy Ursynów m.st. Warszawy zalicza się przede wszystkim: sprzedaż pozostałych składników majątkowych, opłaty z tyt. przekształcenia  wieczystego gruntów w prawo własności, kary umowne, odszkodowania.</w:t>
      </w:r>
    </w:p>
    <w:p w14:paraId="4340EE2E" w14:textId="66281B7D" w:rsidR="00F61514" w:rsidRPr="00F61514" w:rsidRDefault="00F61514" w:rsidP="00F61514">
      <w:pPr>
        <w:pStyle w:val="Nagwek2"/>
        <w:widowControl w:val="0"/>
        <w:tabs>
          <w:tab w:val="left" w:pos="567"/>
        </w:tabs>
        <w:adjustRightInd w:val="0"/>
        <w:ind w:left="113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b w:val="0"/>
          <w:sz w:val="22"/>
          <w:szCs w:val="22"/>
        </w:rPr>
        <w:t xml:space="preserve">Do przychodów finansowych Urzędu Dzielnicy Ursynów m.st. Warszawy zalicza się przede wszystkim: odsetki za zwłokę w zapłacie należności, odsetki od rat kapitałowych </w:t>
      </w:r>
      <w:r w:rsidR="006B7FB9">
        <w:rPr>
          <w:rFonts w:asciiTheme="minorHAnsi" w:hAnsiTheme="minorHAnsi" w:cstheme="minorHAnsi"/>
          <w:b w:val="0"/>
          <w:sz w:val="22"/>
          <w:szCs w:val="22"/>
        </w:rPr>
        <w:br/>
      </w:r>
      <w:r w:rsidRPr="00F61514">
        <w:rPr>
          <w:rFonts w:asciiTheme="minorHAnsi" w:hAnsiTheme="minorHAnsi" w:cstheme="minorHAnsi"/>
          <w:b w:val="0"/>
          <w:sz w:val="22"/>
          <w:szCs w:val="22"/>
        </w:rPr>
        <w:t xml:space="preserve">i zaległości w spłacie należności z tyt. wykupu lokali użytkowych,  odsetki ustawowe </w:t>
      </w:r>
      <w:r w:rsidR="006B7FB9">
        <w:rPr>
          <w:rFonts w:asciiTheme="minorHAnsi" w:hAnsiTheme="minorHAnsi" w:cstheme="minorHAnsi"/>
          <w:b w:val="0"/>
          <w:sz w:val="22"/>
          <w:szCs w:val="22"/>
        </w:rPr>
        <w:br/>
      </w:r>
      <w:r w:rsidRPr="00F61514">
        <w:rPr>
          <w:rFonts w:asciiTheme="minorHAnsi" w:hAnsiTheme="minorHAnsi" w:cstheme="minorHAnsi"/>
          <w:b w:val="0"/>
          <w:sz w:val="22"/>
          <w:szCs w:val="22"/>
        </w:rPr>
        <w:t>z wyroków sądowych, odsetki od należności podatkowych itp.</w:t>
      </w:r>
    </w:p>
    <w:p w14:paraId="2729D57B" w14:textId="6EE7FBEE" w:rsidR="00765D4F" w:rsidRPr="00F61514" w:rsidRDefault="007A35A7" w:rsidP="000E7DA3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0CD6B248" w:rsidR="007A35A7" w:rsidRPr="00F61514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</w:t>
      </w:r>
      <w:r w:rsidR="00F61514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21 </w:t>
      </w: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F61514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34F2FCED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Zatwierdzone sprawozdanie </w:t>
            </w:r>
            <w:r w:rsidR="00CB2D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 rok 2020</w:t>
            </w:r>
          </w:p>
          <w:p w14:paraId="2CC3C242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5163F89F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 w:rsidR="00CB2D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20 </w:t>
            </w: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163C89DA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F61514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F61514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F61514" w:rsidRDefault="00664118" w:rsidP="007E246F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F61514" w:rsidRDefault="00CF5F24" w:rsidP="00CF0979">
      <w:pPr>
        <w:rPr>
          <w:rFonts w:asciiTheme="minorHAnsi" w:hAnsiTheme="minorHAnsi" w:cstheme="minorHAnsi"/>
          <w:sz w:val="22"/>
          <w:szCs w:val="22"/>
        </w:rPr>
      </w:pPr>
    </w:p>
    <w:sectPr w:rsidR="00CF5F24" w:rsidRPr="00F61514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6C6F" w14:textId="77777777" w:rsidR="00C018AC" w:rsidRDefault="00C018AC">
      <w:r>
        <w:separator/>
      </w:r>
    </w:p>
  </w:endnote>
  <w:endnote w:type="continuationSeparator" w:id="0">
    <w:p w14:paraId="40453A5D" w14:textId="77777777" w:rsidR="00C018AC" w:rsidRDefault="00C0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6B7FB9" w:rsidRDefault="00DC42D9">
    <w:pPr>
      <w:pStyle w:val="Stopka"/>
      <w:rPr>
        <w:rFonts w:ascii="Calibri" w:hAnsi="Calibri" w:cs="Calibri"/>
        <w:szCs w:val="22"/>
        <w:lang w:val="pl-PL"/>
      </w:rPr>
    </w:pPr>
    <w:r w:rsidRPr="006B7FB9">
      <w:rPr>
        <w:rFonts w:ascii="Calibri" w:hAnsi="Calibri" w:cs="Calibri"/>
        <w:szCs w:val="22"/>
        <w:lang w:val="pl-PL"/>
      </w:rPr>
      <w:t xml:space="preserve">Wprowadzenie oraz dodatkowe informacje i </w:t>
    </w:r>
    <w:r w:rsidR="001E50C6" w:rsidRPr="006B7FB9">
      <w:rPr>
        <w:rFonts w:ascii="Calibri" w:hAnsi="Calibri" w:cs="Calibri"/>
        <w:szCs w:val="22"/>
        <w:lang w:val="pl-PL"/>
      </w:rPr>
      <w:t>objaśnienia stanowią integralną</w:t>
    </w:r>
    <w:r w:rsidRPr="006B7FB9">
      <w:rPr>
        <w:rFonts w:ascii="Calibri" w:hAnsi="Calibri" w:cs="Calibri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49ABE" w14:textId="77777777" w:rsidR="00C018AC" w:rsidRDefault="00C018AC">
      <w:r>
        <w:separator/>
      </w:r>
    </w:p>
  </w:footnote>
  <w:footnote w:type="continuationSeparator" w:id="0">
    <w:p w14:paraId="0124D6A8" w14:textId="77777777" w:rsidR="00C018AC" w:rsidRDefault="00C0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0C5B" w14:textId="77777777" w:rsidR="009B6B1B" w:rsidRPr="006B7FB9" w:rsidRDefault="009B6B1B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color w:val="000000"/>
        <w:sz w:val="24"/>
        <w:lang w:val="pl-PL"/>
      </w:rPr>
    </w:pPr>
    <w:r w:rsidRPr="006B7FB9">
      <w:rPr>
        <w:rFonts w:ascii="Calibri" w:hAnsi="Calibri" w:cs="Calibri"/>
        <w:b/>
        <w:color w:val="000000"/>
        <w:sz w:val="24"/>
        <w:lang w:val="pl-PL"/>
      </w:rPr>
      <w:t>Dzielnica Ursynów m.st. Warszawy</w:t>
    </w:r>
  </w:p>
  <w:p w14:paraId="065E7C7A" w14:textId="01F28BBC" w:rsidR="00A905BD" w:rsidRPr="006B7FB9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Informacja dodatkowa do sprawozdania</w:t>
    </w:r>
    <w:r w:rsidR="00A905BD" w:rsidRPr="006B7FB9">
      <w:rPr>
        <w:rFonts w:ascii="Calibri" w:hAnsi="Calibri" w:cs="Calibri"/>
        <w:b/>
        <w:sz w:val="22"/>
        <w:lang w:val="pl-PL"/>
      </w:rPr>
      <w:t xml:space="preserve"> finansowe</w:t>
    </w:r>
    <w:r w:rsidRPr="006B7FB9">
      <w:rPr>
        <w:rFonts w:ascii="Calibri" w:hAnsi="Calibri" w:cs="Calibri"/>
        <w:b/>
        <w:sz w:val="22"/>
        <w:lang w:val="pl-PL"/>
      </w:rPr>
      <w:t>go</w:t>
    </w:r>
    <w:r w:rsidR="00A905BD" w:rsidRPr="006B7FB9">
      <w:rPr>
        <w:rFonts w:ascii="Calibri" w:hAnsi="Calibri" w:cs="Calibri"/>
        <w:b/>
        <w:sz w:val="22"/>
        <w:lang w:val="pl-PL"/>
      </w:rPr>
      <w:t xml:space="preserve"> za rok obrotowy zakończony 31</w:t>
    </w:r>
    <w:r w:rsidR="00013FD1" w:rsidRPr="006B7FB9">
      <w:rPr>
        <w:rFonts w:ascii="Calibri" w:hAnsi="Calibri" w:cs="Calibri"/>
        <w:b/>
        <w:sz w:val="22"/>
        <w:lang w:val="pl-PL"/>
      </w:rPr>
      <w:t> </w:t>
    </w:r>
    <w:r w:rsidR="00D71F0D" w:rsidRPr="006B7FB9">
      <w:rPr>
        <w:rFonts w:ascii="Calibri" w:hAnsi="Calibri" w:cs="Calibri"/>
        <w:b/>
        <w:sz w:val="22"/>
        <w:lang w:val="pl-PL"/>
      </w:rPr>
      <w:t>grudnia 20</w:t>
    </w:r>
    <w:r w:rsidR="009B6B1B" w:rsidRPr="006B7FB9">
      <w:rPr>
        <w:rFonts w:ascii="Calibri" w:hAnsi="Calibri" w:cs="Calibri"/>
        <w:b/>
        <w:sz w:val="22"/>
        <w:lang w:val="pl-PL"/>
      </w:rPr>
      <w:t xml:space="preserve">21 </w:t>
    </w:r>
    <w:r w:rsidR="00A905BD" w:rsidRPr="006B7FB9">
      <w:rPr>
        <w:rFonts w:ascii="Calibri" w:hAnsi="Calibri" w:cs="Calibri"/>
        <w:b/>
        <w:sz w:val="22"/>
        <w:lang w:val="pl-PL"/>
      </w:rPr>
      <w:t>r.</w:t>
    </w:r>
  </w:p>
  <w:p w14:paraId="71D9F67C" w14:textId="77777777" w:rsidR="00CF5F24" w:rsidRPr="006B7FB9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2BCA"/>
    <w:multiLevelType w:val="hybridMultilevel"/>
    <w:tmpl w:val="447A6B84"/>
    <w:lvl w:ilvl="0" w:tplc="0409000F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6" w15:restartNumberingAfterBreak="0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8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5C21D7C"/>
    <w:multiLevelType w:val="hybridMultilevel"/>
    <w:tmpl w:val="32B239A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7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3"/>
  </w:num>
  <w:num w:numId="10">
    <w:abstractNumId w:val="33"/>
  </w:num>
  <w:num w:numId="11">
    <w:abstractNumId w:val="12"/>
  </w:num>
  <w:num w:numId="12">
    <w:abstractNumId w:val="8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18"/>
  </w:num>
  <w:num w:numId="18">
    <w:abstractNumId w:val="27"/>
  </w:num>
  <w:num w:numId="19">
    <w:abstractNumId w:val="28"/>
  </w:num>
  <w:num w:numId="20">
    <w:abstractNumId w:val="46"/>
  </w:num>
  <w:num w:numId="21">
    <w:abstractNumId w:val="4"/>
  </w:num>
  <w:num w:numId="22">
    <w:abstractNumId w:val="15"/>
  </w:num>
  <w:num w:numId="23">
    <w:abstractNumId w:val="13"/>
  </w:num>
  <w:num w:numId="24">
    <w:abstractNumId w:val="40"/>
  </w:num>
  <w:num w:numId="25">
    <w:abstractNumId w:val="39"/>
  </w:num>
  <w:num w:numId="26">
    <w:abstractNumId w:val="6"/>
  </w:num>
  <w:num w:numId="27">
    <w:abstractNumId w:val="34"/>
  </w:num>
  <w:num w:numId="28">
    <w:abstractNumId w:val="2"/>
  </w:num>
  <w:num w:numId="29">
    <w:abstractNumId w:val="38"/>
  </w:num>
  <w:num w:numId="30">
    <w:abstractNumId w:val="43"/>
  </w:num>
  <w:num w:numId="31">
    <w:abstractNumId w:val="30"/>
  </w:num>
  <w:num w:numId="32">
    <w:abstractNumId w:val="31"/>
  </w:num>
  <w:num w:numId="33">
    <w:abstractNumId w:val="3"/>
  </w:num>
  <w:num w:numId="34">
    <w:abstractNumId w:val="25"/>
  </w:num>
  <w:num w:numId="35">
    <w:abstractNumId w:val="42"/>
  </w:num>
  <w:num w:numId="36">
    <w:abstractNumId w:val="22"/>
  </w:num>
  <w:num w:numId="37">
    <w:abstractNumId w:val="36"/>
  </w:num>
  <w:num w:numId="38">
    <w:abstractNumId w:val="10"/>
  </w:num>
  <w:num w:numId="39">
    <w:abstractNumId w:val="21"/>
  </w:num>
  <w:num w:numId="40">
    <w:abstractNumId w:val="11"/>
  </w:num>
  <w:num w:numId="41">
    <w:abstractNumId w:val="26"/>
  </w:num>
  <w:num w:numId="42">
    <w:abstractNumId w:val="19"/>
  </w:num>
  <w:num w:numId="43">
    <w:abstractNumId w:val="32"/>
  </w:num>
  <w:num w:numId="44">
    <w:abstractNumId w:val="19"/>
  </w:num>
  <w:num w:numId="45">
    <w:abstractNumId w:val="5"/>
  </w:num>
  <w:num w:numId="46">
    <w:abstractNumId w:val="35"/>
  </w:num>
  <w:num w:numId="47">
    <w:abstractNumId w:val="41"/>
  </w:num>
  <w:num w:numId="48">
    <w:abstractNumId w:val="16"/>
  </w:num>
  <w:num w:numId="4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6BA3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133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086D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A64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B7FB9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47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D2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B1B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108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6D9A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1B7C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8AC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65A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2D7B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15D0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14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C20A-496C-4A25-907F-B0D2D16D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Bursa Sylwia</cp:lastModifiedBy>
  <cp:revision>2</cp:revision>
  <cp:lastPrinted>2022-03-17T13:20:00Z</cp:lastPrinted>
  <dcterms:created xsi:type="dcterms:W3CDTF">2022-05-13T08:14:00Z</dcterms:created>
  <dcterms:modified xsi:type="dcterms:W3CDTF">2022-05-13T08:14:00Z</dcterms:modified>
</cp:coreProperties>
</file>