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Default="00CF3AC6" w:rsidP="00CF3AC6"/>
    <w:p w:rsidR="00CF3AC6" w:rsidRPr="0012041D" w:rsidRDefault="00CF3AC6" w:rsidP="00CF3AC6">
      <w:pPr>
        <w:pStyle w:val="Nagwek1"/>
      </w:pPr>
      <w:bookmarkStart w:id="0" w:name="_Toc153960265"/>
      <w:r w:rsidRPr="0012041D">
        <w:t>1.</w:t>
      </w:r>
      <w:r>
        <w:t xml:space="preserve"> </w:t>
      </w:r>
      <w:r>
        <w:tab/>
        <w:t>OBJAŚNIENIA DO WIELOLETNIEJ PROGNOZY FINANSOWEJ 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t>2024-2050 WRAZ Z POLITYKĄ DŁUGU</w:t>
      </w:r>
      <w:r>
        <w:br/>
        <w:t>MIASTA STOŁECZNEGO WARSZAWY</w:t>
      </w:r>
      <w:r>
        <w:br/>
        <w:t>EDYCJA</w:t>
      </w:r>
      <w:r>
        <w:rPr>
          <w:rFonts w:ascii="Verdana" w:hAnsi="Verdana" w:cs="Verdana"/>
          <w:spacing w:val="-6"/>
          <w:sz w:val="18"/>
          <w:szCs w:val="18"/>
        </w:rPr>
        <w:t> </w:t>
      </w:r>
      <w:r w:rsidRPr="00972C44">
        <w:t>2024</w:t>
      </w:r>
      <w:r>
        <w:t xml:space="preserve"> ROK</w:t>
      </w:r>
      <w:bookmarkEnd w:id="0"/>
    </w:p>
    <w:p w:rsidR="00996DFC" w:rsidRDefault="00996DFC" w:rsidP="008E7C03"/>
    <w:p w:rsidR="00996DFC" w:rsidRDefault="00996DFC" w:rsidP="008E7C03">
      <w:pPr>
        <w:sectPr w:rsidR="00996DFC" w:rsidSect="00492B3A">
          <w:footerReference w:type="even" r:id="rId8"/>
          <w:footerReference w:type="default" r:id="rId9"/>
          <w:type w:val="oddPage"/>
          <w:pgSz w:w="11907" w:h="16840" w:code="9"/>
          <w:pgMar w:top="1417" w:right="1417" w:bottom="1417" w:left="1417" w:header="708" w:footer="708" w:gutter="0"/>
          <w:cols w:space="708"/>
          <w:titlePg/>
          <w:docGrid w:linePitch="360"/>
        </w:sectPr>
      </w:pPr>
    </w:p>
    <w:p w:rsidR="00996DFC" w:rsidRPr="00E04065" w:rsidRDefault="00996DFC" w:rsidP="00996DFC">
      <w:pPr>
        <w:jc w:val="center"/>
        <w:rPr>
          <w:b/>
          <w:sz w:val="20"/>
          <w:szCs w:val="20"/>
        </w:rPr>
      </w:pPr>
      <w:r w:rsidRPr="00E04065">
        <w:rPr>
          <w:b/>
          <w:sz w:val="20"/>
          <w:szCs w:val="20"/>
        </w:rPr>
        <w:lastRenderedPageBreak/>
        <w:t>SPIS TREŚCI</w:t>
      </w:r>
    </w:p>
    <w:p w:rsidR="00996DFC" w:rsidRPr="00E04065" w:rsidRDefault="00996DFC" w:rsidP="00E04065">
      <w:pPr>
        <w:jc w:val="center"/>
        <w:rPr>
          <w:sz w:val="20"/>
          <w:szCs w:val="20"/>
        </w:rPr>
      </w:pPr>
    </w:p>
    <w:p w:rsidR="00CF3AC6" w:rsidRDefault="00503606">
      <w:pPr>
        <w:pStyle w:val="Spistreci1"/>
        <w:rPr>
          <w:rFonts w:asciiTheme="minorHAnsi" w:eastAsiaTheme="minorEastAsia" w:hAnsiTheme="minorHAnsi" w:cstheme="minorBidi"/>
          <w:b w:val="0"/>
          <w:sz w:val="22"/>
          <w:szCs w:val="22"/>
        </w:rPr>
      </w:pPr>
      <w:r>
        <w:rPr>
          <w:b w:val="0"/>
        </w:rPr>
        <w:fldChar w:fldCharType="begin"/>
      </w:r>
      <w:r>
        <w:rPr>
          <w:b w:val="0"/>
        </w:rPr>
        <w:instrText xml:space="preserve"> TOC \o "1-7" \h \z \u </w:instrText>
      </w:r>
      <w:r>
        <w:rPr>
          <w:b w:val="0"/>
        </w:rPr>
        <w:fldChar w:fldCharType="separate"/>
      </w:r>
      <w:hyperlink w:anchor="_Toc153960265" w:history="1">
        <w:r w:rsidR="00CF3AC6" w:rsidRPr="00CF7664">
          <w:rPr>
            <w:rStyle w:val="Hipercze"/>
          </w:rPr>
          <w:t xml:space="preserve">1. </w:t>
        </w:r>
        <w:r w:rsidR="00CF3AC6">
          <w:rPr>
            <w:rFonts w:asciiTheme="minorHAnsi" w:eastAsiaTheme="minorEastAsia" w:hAnsiTheme="minorHAnsi" w:cstheme="minorBidi"/>
            <w:b w:val="0"/>
            <w:sz w:val="22"/>
            <w:szCs w:val="22"/>
          </w:rPr>
          <w:tab/>
        </w:r>
        <w:r w:rsidR="00CF3AC6" w:rsidRPr="00CF7664">
          <w:rPr>
            <w:rStyle w:val="Hipercze"/>
          </w:rPr>
          <w:t>OBJAŚNIENIA DO WIELOLETNIEJ PROGNOZY FINANSOWEJ MIASTA STOŁECZNEGO WARSZAWY NA</w:t>
        </w:r>
        <w:r w:rsidR="00CF3AC6" w:rsidRPr="00CF7664">
          <w:rPr>
            <w:rStyle w:val="Hipercze"/>
            <w:rFonts w:ascii="Verdana" w:hAnsi="Verdana" w:cs="Verdana"/>
            <w:spacing w:val="-6"/>
          </w:rPr>
          <w:t> </w:t>
        </w:r>
        <w:r w:rsidR="00CF3AC6" w:rsidRPr="00CF7664">
          <w:rPr>
            <w:rStyle w:val="Hipercze"/>
          </w:rPr>
          <w:t>LATA</w:t>
        </w:r>
        <w:r w:rsidR="00CF3AC6" w:rsidRPr="00CF7664">
          <w:rPr>
            <w:rStyle w:val="Hipercze"/>
            <w:rFonts w:ascii="Verdana" w:hAnsi="Verdana" w:cs="Verdana"/>
            <w:spacing w:val="-6"/>
          </w:rPr>
          <w:t> </w:t>
        </w:r>
        <w:r w:rsidR="00CF3AC6" w:rsidRPr="00CF7664">
          <w:rPr>
            <w:rStyle w:val="Hipercze"/>
          </w:rPr>
          <w:t>2024-2050 WRAZ Z POLITYKĄ DŁUGU MIASTA STOŁECZNEGO WARSZAWY EDYCJA</w:t>
        </w:r>
        <w:r w:rsidR="00CF3AC6" w:rsidRPr="00CF7664">
          <w:rPr>
            <w:rStyle w:val="Hipercze"/>
            <w:rFonts w:ascii="Verdana" w:hAnsi="Verdana" w:cs="Verdana"/>
            <w:spacing w:val="-6"/>
          </w:rPr>
          <w:t> </w:t>
        </w:r>
        <w:r w:rsidR="00CF3AC6" w:rsidRPr="00CF7664">
          <w:rPr>
            <w:rStyle w:val="Hipercze"/>
          </w:rPr>
          <w:t>2024 ROK</w:t>
        </w:r>
        <w:r w:rsidR="00CF3AC6">
          <w:rPr>
            <w:webHidden/>
          </w:rPr>
          <w:tab/>
        </w:r>
        <w:r w:rsidR="00CF3AC6">
          <w:rPr>
            <w:webHidden/>
          </w:rPr>
          <w:fldChar w:fldCharType="begin"/>
        </w:r>
        <w:r w:rsidR="00CF3AC6">
          <w:rPr>
            <w:webHidden/>
          </w:rPr>
          <w:instrText xml:space="preserve"> PAGEREF _Toc153960265 \h </w:instrText>
        </w:r>
        <w:r w:rsidR="00CF3AC6">
          <w:rPr>
            <w:webHidden/>
          </w:rPr>
        </w:r>
        <w:r w:rsidR="00CF3AC6">
          <w:rPr>
            <w:webHidden/>
          </w:rPr>
          <w:fldChar w:fldCharType="separate"/>
        </w:r>
        <w:r w:rsidR="00CF3AC6">
          <w:rPr>
            <w:webHidden/>
          </w:rPr>
          <w:t>1</w:t>
        </w:r>
        <w:r w:rsidR="00CF3AC6">
          <w:rPr>
            <w:webHidden/>
          </w:rPr>
          <w:fldChar w:fldCharType="end"/>
        </w:r>
      </w:hyperlink>
    </w:p>
    <w:p w:rsidR="00CF3AC6" w:rsidRDefault="00CF3AC6">
      <w:pPr>
        <w:pStyle w:val="Spistreci4"/>
        <w:tabs>
          <w:tab w:val="left" w:pos="1134"/>
        </w:tabs>
        <w:rPr>
          <w:rFonts w:asciiTheme="minorHAnsi" w:eastAsiaTheme="minorEastAsia" w:hAnsiTheme="minorHAnsi" w:cstheme="minorBidi"/>
          <w:sz w:val="22"/>
          <w:szCs w:val="22"/>
        </w:rPr>
      </w:pPr>
      <w:hyperlink w:anchor="_Toc153960266" w:history="1">
        <w:r w:rsidRPr="00CF7664">
          <w:rPr>
            <w:rStyle w:val="Hipercze"/>
          </w:rPr>
          <w:t>1.1.</w:t>
        </w:r>
        <w:r>
          <w:rPr>
            <w:rFonts w:asciiTheme="minorHAnsi" w:eastAsiaTheme="minorEastAsia" w:hAnsiTheme="minorHAnsi" w:cstheme="minorBidi"/>
            <w:sz w:val="22"/>
            <w:szCs w:val="22"/>
          </w:rPr>
          <w:tab/>
        </w:r>
        <w:r w:rsidRPr="00CF7664">
          <w:rPr>
            <w:rStyle w:val="Hipercze"/>
          </w:rPr>
          <w:t>OBJAŚNIENIA DO WIELOLET</w:t>
        </w:r>
        <w:r w:rsidRPr="00CF7664">
          <w:rPr>
            <w:rStyle w:val="Hipercze"/>
          </w:rPr>
          <w:t>N</w:t>
        </w:r>
        <w:r w:rsidRPr="00CF7664">
          <w:rPr>
            <w:rStyle w:val="Hipercze"/>
          </w:rPr>
          <w:t>IEJ PROGNOZY FINANSOWEJ MIASTA STOŁECZNEGO WARSZAWY NA</w:t>
        </w:r>
        <w:r w:rsidRPr="00CF7664">
          <w:rPr>
            <w:rStyle w:val="Hipercze"/>
            <w:rFonts w:ascii="Verdana" w:hAnsi="Verdana" w:cs="Verdana"/>
            <w:spacing w:val="-6"/>
          </w:rPr>
          <w:t> </w:t>
        </w:r>
        <w:r w:rsidRPr="00CF7664">
          <w:rPr>
            <w:rStyle w:val="Hipercze"/>
          </w:rPr>
          <w:t>LATA</w:t>
        </w:r>
        <w:r w:rsidRPr="00CF7664">
          <w:rPr>
            <w:rStyle w:val="Hipercze"/>
            <w:rFonts w:ascii="Verdana" w:hAnsi="Verdana" w:cs="Verdana"/>
            <w:spacing w:val="-6"/>
          </w:rPr>
          <w:t> </w:t>
        </w:r>
        <w:r w:rsidRPr="00CF7664">
          <w:rPr>
            <w:rStyle w:val="Hipercze"/>
          </w:rPr>
          <w:t>2024-2050</w:t>
        </w:r>
        <w:r>
          <w:rPr>
            <w:webHidden/>
          </w:rPr>
          <w:tab/>
        </w:r>
        <w:r>
          <w:rPr>
            <w:webHidden/>
          </w:rPr>
          <w:fldChar w:fldCharType="begin"/>
        </w:r>
        <w:r>
          <w:rPr>
            <w:webHidden/>
          </w:rPr>
          <w:instrText xml:space="preserve"> PAGEREF _Toc153960266 \h </w:instrText>
        </w:r>
        <w:r>
          <w:rPr>
            <w:webHidden/>
          </w:rPr>
        </w:r>
        <w:r>
          <w:rPr>
            <w:webHidden/>
          </w:rPr>
          <w:fldChar w:fldCharType="separate"/>
        </w:r>
        <w:r>
          <w:rPr>
            <w:webHidden/>
          </w:rPr>
          <w:t>5</w:t>
        </w:r>
        <w:r>
          <w:rPr>
            <w:webHidden/>
          </w:rPr>
          <w:fldChar w:fldCharType="end"/>
        </w:r>
      </w:hyperlink>
    </w:p>
    <w:p w:rsidR="00CF3AC6" w:rsidRDefault="00CF3AC6">
      <w:pPr>
        <w:pStyle w:val="Spistreci4"/>
        <w:rPr>
          <w:rFonts w:asciiTheme="minorHAnsi" w:eastAsiaTheme="minorEastAsia" w:hAnsiTheme="minorHAnsi" w:cstheme="minorBidi"/>
          <w:sz w:val="22"/>
          <w:szCs w:val="22"/>
        </w:rPr>
      </w:pPr>
      <w:hyperlink w:anchor="_Toc153960267" w:history="1">
        <w:r w:rsidRPr="00CF7664">
          <w:rPr>
            <w:rStyle w:val="Hipercze"/>
          </w:rPr>
          <w:t>1.2. POLITYKA DŁUGU MIASTA STOŁECZNEGO WARSZAWY EDYCJA 2024 ROK</w:t>
        </w:r>
        <w:r>
          <w:rPr>
            <w:webHidden/>
          </w:rPr>
          <w:tab/>
        </w:r>
        <w:r>
          <w:rPr>
            <w:webHidden/>
          </w:rPr>
          <w:fldChar w:fldCharType="begin"/>
        </w:r>
        <w:r>
          <w:rPr>
            <w:webHidden/>
          </w:rPr>
          <w:instrText xml:space="preserve"> PAGEREF _Toc153960267 \h </w:instrText>
        </w:r>
        <w:r>
          <w:rPr>
            <w:webHidden/>
          </w:rPr>
        </w:r>
        <w:r>
          <w:rPr>
            <w:webHidden/>
          </w:rPr>
          <w:fldChar w:fldCharType="separate"/>
        </w:r>
        <w:r>
          <w:rPr>
            <w:webHidden/>
          </w:rPr>
          <w:t>79</w:t>
        </w:r>
        <w:r>
          <w:rPr>
            <w:webHidden/>
          </w:rPr>
          <w:fldChar w:fldCharType="end"/>
        </w:r>
      </w:hyperlink>
    </w:p>
    <w:p w:rsidR="00996DFC" w:rsidRDefault="00503606" w:rsidP="008E7C03">
      <w:r>
        <w:rPr>
          <w:b/>
          <w:noProof/>
          <w:sz w:val="16"/>
        </w:rPr>
        <w:fldChar w:fldCharType="end"/>
      </w:r>
    </w:p>
    <w:p w:rsidR="00996DFC" w:rsidRDefault="00996DFC" w:rsidP="008E7C03"/>
    <w:p w:rsidR="00996DFC" w:rsidRDefault="00996DFC" w:rsidP="008E7C03">
      <w:pPr>
        <w:sectPr w:rsidR="00996DFC" w:rsidSect="00492B3A">
          <w:headerReference w:type="default" r:id="rId10"/>
          <w:type w:val="oddPage"/>
          <w:pgSz w:w="11907" w:h="16840" w:code="9"/>
          <w:pgMar w:top="1417" w:right="1417" w:bottom="1417" w:left="1417" w:header="708" w:footer="708" w:gutter="0"/>
          <w:cols w:space="708"/>
          <w:docGrid w:linePitch="360"/>
        </w:sectPr>
      </w:pPr>
    </w:p>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8D4CD7" w:rsidRDefault="008D4CD7"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971CDD" w:rsidRDefault="00971CDD" w:rsidP="008D4CD7"/>
    <w:p w:rsidR="008D4CD7" w:rsidRDefault="008D4CD7" w:rsidP="008D4CD7"/>
    <w:p w:rsidR="008D4CD7" w:rsidRDefault="008D4CD7" w:rsidP="008D4CD7"/>
    <w:p w:rsidR="00971CDD" w:rsidRDefault="00971CDD" w:rsidP="008D4CD7"/>
    <w:p w:rsidR="008D4CD7" w:rsidRDefault="008D4CD7" w:rsidP="008D4CD7"/>
    <w:p w:rsidR="00972C44" w:rsidRDefault="008D4CD7" w:rsidP="00971CDD">
      <w:pPr>
        <w:pStyle w:val="Nagwek4"/>
        <w:numPr>
          <w:ilvl w:val="1"/>
          <w:numId w:val="70"/>
        </w:numPr>
      </w:pPr>
      <w:bookmarkStart w:id="1" w:name="_Toc153960266"/>
      <w:r>
        <w:t>OBJAŚNIENIA DO</w:t>
      </w:r>
      <w:r w:rsidR="00C52CC0">
        <w:br/>
      </w:r>
      <w:r>
        <w:t>WIELOLETNIEJ PROGNOZY FINANSOWEJ</w:t>
      </w:r>
      <w:r w:rsidR="00C52CC0">
        <w:br/>
      </w:r>
      <w:r>
        <w:t>MIASTA STOŁECZNEGO WARSZAWY</w:t>
      </w:r>
      <w:r>
        <w:br/>
        <w:t>NA</w:t>
      </w:r>
      <w:r>
        <w:rPr>
          <w:rFonts w:ascii="Verdana" w:hAnsi="Verdana" w:cs="Verdana"/>
          <w:spacing w:val="-6"/>
          <w:sz w:val="18"/>
          <w:szCs w:val="18"/>
        </w:rPr>
        <w:t> </w:t>
      </w:r>
      <w:r>
        <w:t>LATA</w:t>
      </w:r>
      <w:r>
        <w:rPr>
          <w:rFonts w:ascii="Verdana" w:hAnsi="Verdana" w:cs="Verdana"/>
          <w:spacing w:val="-6"/>
          <w:sz w:val="18"/>
          <w:szCs w:val="18"/>
        </w:rPr>
        <w:t> </w:t>
      </w:r>
      <w:r w:rsidR="00D85B61">
        <w:t>2024</w:t>
      </w:r>
      <w:r w:rsidR="004D10EE">
        <w:t>-</w:t>
      </w:r>
      <w:r w:rsidR="00B01B03">
        <w:t>2050</w:t>
      </w:r>
      <w:bookmarkEnd w:id="1"/>
    </w:p>
    <w:p w:rsidR="00971CDD" w:rsidRPr="00971CDD" w:rsidRDefault="00971CDD" w:rsidP="00971CDD"/>
    <w:p w:rsidR="00971CDD" w:rsidRPr="00971CDD" w:rsidRDefault="00971CDD" w:rsidP="00971CDD">
      <w:pPr>
        <w:sectPr w:rsidR="00971CDD" w:rsidRPr="00971CDD" w:rsidSect="00492B3A">
          <w:headerReference w:type="default" r:id="rId11"/>
          <w:type w:val="oddPage"/>
          <w:pgSz w:w="11907" w:h="16840" w:code="9"/>
          <w:pgMar w:top="1417" w:right="1417" w:bottom="1417" w:left="1417" w:header="708" w:footer="708" w:gutter="0"/>
          <w:cols w:space="708"/>
          <w:docGrid w:linePitch="360"/>
        </w:sectPr>
      </w:pPr>
    </w:p>
    <w:p w:rsidR="00CA374E" w:rsidRPr="00EC1297" w:rsidRDefault="00CA374E" w:rsidP="00CA374E">
      <w:pPr>
        <w:spacing w:before="120" w:after="120"/>
        <w:rPr>
          <w:rFonts w:ascii="Verdana" w:hAnsi="Verdana"/>
          <w:sz w:val="22"/>
          <w:szCs w:val="22"/>
        </w:rPr>
      </w:pPr>
      <w:r w:rsidRPr="00EC1297">
        <w:rPr>
          <w:rFonts w:ascii="Verdana" w:hAnsi="Verdana"/>
          <w:b/>
          <w:bCs/>
          <w:sz w:val="22"/>
          <w:szCs w:val="22"/>
        </w:rPr>
        <w:lastRenderedPageBreak/>
        <w:t>1. Wstęp</w:t>
      </w:r>
    </w:p>
    <w:p w:rsidR="00CA374E" w:rsidRPr="000A6485" w:rsidRDefault="00CA374E" w:rsidP="00CA374E">
      <w:pPr>
        <w:spacing w:before="60" w:after="60"/>
        <w:ind w:firstLine="539"/>
        <w:jc w:val="both"/>
        <w:rPr>
          <w:rFonts w:ascii="Verdana" w:hAnsi="Verdana" w:cs="Arial"/>
          <w:iCs/>
          <w:sz w:val="16"/>
          <w:szCs w:val="16"/>
        </w:rPr>
      </w:pPr>
      <w:r w:rsidRPr="009C3288">
        <w:rPr>
          <w:rFonts w:ascii="Verdana" w:hAnsi="Verdana"/>
          <w:sz w:val="16"/>
          <w:szCs w:val="16"/>
        </w:rPr>
        <w:t xml:space="preserve">Wieloletnia </w:t>
      </w:r>
      <w:r>
        <w:rPr>
          <w:rFonts w:ascii="Verdana" w:hAnsi="Verdana"/>
          <w:sz w:val="16"/>
          <w:szCs w:val="16"/>
        </w:rPr>
        <w:t>P</w:t>
      </w:r>
      <w:r w:rsidRPr="009C3288">
        <w:rPr>
          <w:rFonts w:ascii="Verdana" w:hAnsi="Verdana"/>
          <w:sz w:val="16"/>
          <w:szCs w:val="16"/>
        </w:rPr>
        <w:t xml:space="preserve">rognoza </w:t>
      </w:r>
      <w:r>
        <w:rPr>
          <w:rFonts w:ascii="Verdana" w:hAnsi="Verdana"/>
          <w:sz w:val="16"/>
          <w:szCs w:val="16"/>
        </w:rPr>
        <w:t>F</w:t>
      </w:r>
      <w:r w:rsidRPr="009C3288">
        <w:rPr>
          <w:rFonts w:ascii="Verdana" w:hAnsi="Verdana"/>
          <w:sz w:val="16"/>
          <w:szCs w:val="16"/>
        </w:rPr>
        <w:t>inansowa</w:t>
      </w:r>
      <w:r>
        <w:rPr>
          <w:rFonts w:ascii="Verdana" w:hAnsi="Verdana"/>
          <w:sz w:val="16"/>
          <w:szCs w:val="16"/>
        </w:rPr>
        <w:t xml:space="preserve"> (WPF)</w:t>
      </w:r>
      <w:r w:rsidRPr="009C3288">
        <w:rPr>
          <w:rFonts w:ascii="Verdana" w:hAnsi="Verdana"/>
          <w:sz w:val="16"/>
          <w:szCs w:val="16"/>
        </w:rPr>
        <w:t xml:space="preserve"> stanowi</w:t>
      </w:r>
      <w:r>
        <w:rPr>
          <w:rFonts w:ascii="Verdana" w:hAnsi="Verdana"/>
          <w:sz w:val="16"/>
          <w:szCs w:val="16"/>
        </w:rPr>
        <w:t>ąca</w:t>
      </w:r>
      <w:r w:rsidRPr="009C3288">
        <w:rPr>
          <w:rFonts w:ascii="Verdana" w:hAnsi="Verdana"/>
          <w:sz w:val="16"/>
          <w:szCs w:val="16"/>
        </w:rPr>
        <w:t xml:space="preserve"> instrument zarządzania finansami </w:t>
      </w:r>
      <w:r>
        <w:rPr>
          <w:rFonts w:ascii="Verdana" w:hAnsi="Verdana"/>
          <w:sz w:val="16"/>
          <w:szCs w:val="16"/>
        </w:rPr>
        <w:t>m.st. Warszawy</w:t>
      </w:r>
      <w:r w:rsidRPr="009C3288">
        <w:rPr>
          <w:rFonts w:ascii="Verdana" w:hAnsi="Verdana"/>
          <w:sz w:val="16"/>
          <w:szCs w:val="16"/>
        </w:rPr>
        <w:t xml:space="preserve"> </w:t>
      </w:r>
      <w:r>
        <w:rPr>
          <w:rFonts w:ascii="Verdana" w:hAnsi="Verdana"/>
          <w:sz w:val="16"/>
          <w:szCs w:val="16"/>
        </w:rPr>
        <w:t>opracowywana jest</w:t>
      </w:r>
      <w:r w:rsidRPr="000A6485">
        <w:rPr>
          <w:rFonts w:ascii="Verdana" w:hAnsi="Verdana"/>
          <w:sz w:val="16"/>
          <w:szCs w:val="16"/>
        </w:rPr>
        <w:t xml:space="preserve"> zgodnie z przepisami</w:t>
      </w:r>
      <w:r>
        <w:rPr>
          <w:rFonts w:ascii="Verdana" w:hAnsi="Verdana"/>
          <w:sz w:val="16"/>
          <w:szCs w:val="16"/>
        </w:rPr>
        <w:t xml:space="preserve"> ustawy z </w:t>
      </w:r>
      <w:r w:rsidRPr="000A6485">
        <w:rPr>
          <w:rFonts w:ascii="Verdana" w:hAnsi="Verdana"/>
          <w:sz w:val="16"/>
          <w:szCs w:val="16"/>
        </w:rPr>
        <w:t xml:space="preserve">27 sierpnia 2009 r. </w:t>
      </w:r>
      <w:r w:rsidRPr="00494813">
        <w:rPr>
          <w:rFonts w:ascii="Verdana" w:hAnsi="Verdana" w:cs="Arial"/>
          <w:i/>
          <w:iCs/>
          <w:sz w:val="16"/>
          <w:szCs w:val="16"/>
        </w:rPr>
        <w:t>o finansach publicznych</w:t>
      </w:r>
      <w:r w:rsidRPr="000A6485">
        <w:rPr>
          <w:rFonts w:ascii="Verdana" w:hAnsi="Verdana" w:cs="Arial"/>
          <w:iCs/>
          <w:sz w:val="16"/>
          <w:szCs w:val="16"/>
        </w:rPr>
        <w:t xml:space="preserve"> (</w:t>
      </w:r>
      <w:r>
        <w:rPr>
          <w:rFonts w:ascii="Verdana" w:hAnsi="Verdana"/>
          <w:iCs/>
          <w:sz w:val="16"/>
          <w:szCs w:val="16"/>
        </w:rPr>
        <w:t>Dz. U. z 2023</w:t>
      </w:r>
      <w:r w:rsidRPr="0010494C">
        <w:rPr>
          <w:rFonts w:ascii="Verdana" w:hAnsi="Verdana"/>
          <w:iCs/>
          <w:sz w:val="16"/>
          <w:szCs w:val="16"/>
        </w:rPr>
        <w:t xml:space="preserve"> r. poz.</w:t>
      </w:r>
      <w:r>
        <w:rPr>
          <w:rFonts w:ascii="Verdana" w:hAnsi="Verdana"/>
          <w:iCs/>
          <w:sz w:val="16"/>
          <w:szCs w:val="16"/>
        </w:rPr>
        <w:t xml:space="preserve"> 1270, 1273, 1407, 1429, 1641, 1693 i 1872</w:t>
      </w:r>
      <w:r w:rsidRPr="000A6485">
        <w:rPr>
          <w:rFonts w:ascii="Verdana" w:hAnsi="Verdana"/>
          <w:sz w:val="16"/>
          <w:szCs w:val="16"/>
        </w:rPr>
        <w:t>)</w:t>
      </w:r>
      <w:r w:rsidRPr="000A6485">
        <w:rPr>
          <w:rFonts w:ascii="Verdana" w:hAnsi="Verdana" w:cs="Arial"/>
          <w:iCs/>
          <w:sz w:val="16"/>
          <w:szCs w:val="16"/>
        </w:rPr>
        <w:t xml:space="preserve"> – zwanej dalej </w:t>
      </w:r>
      <w:r w:rsidRPr="000A6485">
        <w:rPr>
          <w:rFonts w:ascii="Verdana" w:hAnsi="Verdana" w:cs="Arial"/>
          <w:i/>
          <w:iCs/>
          <w:sz w:val="16"/>
          <w:szCs w:val="16"/>
        </w:rPr>
        <w:t>ustawą o finansach publicznych</w:t>
      </w:r>
      <w:r w:rsidRPr="000A6485">
        <w:rPr>
          <w:rFonts w:ascii="Verdana" w:hAnsi="Verdana" w:cs="Arial"/>
          <w:iCs/>
          <w:sz w:val="16"/>
          <w:szCs w:val="16"/>
        </w:rPr>
        <w:t xml:space="preserve">. </w:t>
      </w:r>
    </w:p>
    <w:p w:rsidR="00CA374E" w:rsidRPr="000A6485" w:rsidRDefault="00CA374E" w:rsidP="00CA374E">
      <w:pPr>
        <w:spacing w:before="60" w:after="60"/>
        <w:ind w:firstLine="539"/>
        <w:jc w:val="both"/>
        <w:rPr>
          <w:rFonts w:ascii="Verdana" w:hAnsi="Verdana" w:cs="Arial"/>
          <w:iCs/>
          <w:sz w:val="16"/>
          <w:szCs w:val="16"/>
        </w:rPr>
      </w:pPr>
      <w:r w:rsidRPr="000A6485">
        <w:rPr>
          <w:rFonts w:ascii="Verdana" w:hAnsi="Verdana"/>
          <w:sz w:val="16"/>
          <w:szCs w:val="16"/>
        </w:rPr>
        <w:t xml:space="preserve">WPF jest dokumentem strategicznym służącym ocenie długoterminowego potencjału m.st. Warszawy, </w:t>
      </w:r>
      <w:r w:rsidRPr="000A6485">
        <w:rPr>
          <w:rFonts w:ascii="Verdana" w:hAnsi="Verdana"/>
          <w:sz w:val="16"/>
          <w:szCs w:val="16"/>
        </w:rPr>
        <w:br/>
        <w:t>tworzonym w celu opracowania prognozy niezbędnych wydatków bieżących oraz ustalenia możliwości inwestycyjnych w kontekście efektywnego zarządzania środkami zwrotnymi, finansującymi potrzeby rozwojowe.</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WPF to także dokument podnoszący poziom transparentności, przejrzystości i jawności finansów </w:t>
      </w:r>
      <w:r w:rsidRPr="000A6485">
        <w:rPr>
          <w:rFonts w:ascii="Verdana" w:hAnsi="Verdana"/>
          <w:sz w:val="16"/>
          <w:szCs w:val="16"/>
        </w:rPr>
        <w:br/>
        <w:t xml:space="preserve">m.st. Warszawy, służący między innymi ocenie jej </w:t>
      </w:r>
      <w:r>
        <w:rPr>
          <w:rFonts w:ascii="Verdana" w:hAnsi="Verdana"/>
          <w:sz w:val="16"/>
          <w:szCs w:val="16"/>
        </w:rPr>
        <w:t>sytuacji finansowej</w:t>
      </w:r>
      <w:r w:rsidRPr="000A6485">
        <w:rPr>
          <w:rFonts w:ascii="Verdana" w:hAnsi="Verdana"/>
          <w:sz w:val="16"/>
          <w:szCs w:val="16"/>
        </w:rPr>
        <w:t xml:space="preserve"> i zdolności kredytowej.</w:t>
      </w:r>
    </w:p>
    <w:p w:rsidR="00CA374E" w:rsidRPr="000A6485" w:rsidRDefault="00CA374E" w:rsidP="00CA374E">
      <w:pPr>
        <w:spacing w:before="60" w:after="60"/>
        <w:jc w:val="both"/>
        <w:rPr>
          <w:rFonts w:ascii="Verdana" w:hAnsi="Verdana" w:cs="Arial"/>
          <w:iCs/>
          <w:sz w:val="16"/>
          <w:szCs w:val="16"/>
        </w:rPr>
      </w:pPr>
      <w:r w:rsidRPr="000A6485">
        <w:rPr>
          <w:rFonts w:ascii="Verdana" w:hAnsi="Verdana" w:cs="Arial"/>
          <w:iCs/>
          <w:sz w:val="16"/>
          <w:szCs w:val="16"/>
        </w:rPr>
        <w:t>Załączniki do WPF</w:t>
      </w:r>
      <w:r>
        <w:rPr>
          <w:rFonts w:ascii="Verdana" w:hAnsi="Verdana" w:cs="Arial"/>
          <w:iCs/>
          <w:sz w:val="16"/>
          <w:szCs w:val="16"/>
        </w:rPr>
        <w:t xml:space="preserve"> m.st. Warszawy na lata </w:t>
      </w:r>
      <w:r w:rsidRPr="008F3935">
        <w:rPr>
          <w:rFonts w:ascii="Verdana" w:eastAsiaTheme="minorEastAsia" w:hAnsi="Verdana" w:cs="Verdana"/>
          <w:color w:val="000000"/>
          <w:sz w:val="16"/>
          <w:szCs w:val="16"/>
        </w:rPr>
        <w:t>2024</w:t>
      </w:r>
      <w:r w:rsidRPr="000A6485">
        <w:rPr>
          <w:rFonts w:ascii="Verdana" w:hAnsi="Verdana" w:cs="Arial"/>
          <w:iCs/>
          <w:sz w:val="16"/>
          <w:szCs w:val="16"/>
        </w:rPr>
        <w:t>-2050, tj.:</w:t>
      </w:r>
    </w:p>
    <w:p w:rsidR="00CA374E" w:rsidRPr="000A6485" w:rsidRDefault="00CA374E" w:rsidP="00CA374E">
      <w:pPr>
        <w:pStyle w:val="Akapitzlist"/>
        <w:numPr>
          <w:ilvl w:val="0"/>
          <w:numId w:val="34"/>
        </w:numPr>
        <w:spacing w:before="60" w:after="60"/>
        <w:ind w:left="567" w:hanging="207"/>
        <w:contextualSpacing w:val="0"/>
        <w:rPr>
          <w:rFonts w:ascii="Verdana" w:hAnsi="Verdana" w:cs="Arial"/>
          <w:i/>
          <w:iCs/>
          <w:sz w:val="16"/>
          <w:szCs w:val="16"/>
        </w:rPr>
      </w:pPr>
      <w:r w:rsidRPr="000A6485">
        <w:rPr>
          <w:rFonts w:ascii="Verdana" w:hAnsi="Verdana" w:cs="Arial"/>
          <w:iCs/>
          <w:sz w:val="16"/>
          <w:szCs w:val="16"/>
        </w:rPr>
        <w:t>załącznik nr 1 –</w:t>
      </w:r>
      <w:r>
        <w:rPr>
          <w:rFonts w:ascii="Verdana" w:hAnsi="Verdana" w:cs="Arial"/>
          <w:iCs/>
          <w:sz w:val="16"/>
          <w:szCs w:val="16"/>
        </w:rPr>
        <w:t xml:space="preserve"> </w:t>
      </w:r>
      <w:r>
        <w:rPr>
          <w:rFonts w:ascii="Verdana" w:hAnsi="Verdana" w:cs="Arial"/>
          <w:i/>
          <w:iCs/>
          <w:sz w:val="16"/>
          <w:szCs w:val="16"/>
        </w:rPr>
        <w:t>Wieloletnia Prognoza</w:t>
      </w:r>
      <w:r w:rsidRPr="000A6485">
        <w:rPr>
          <w:rFonts w:ascii="Verdana" w:hAnsi="Verdana" w:cs="Arial"/>
          <w:i/>
          <w:iCs/>
          <w:sz w:val="16"/>
          <w:szCs w:val="16"/>
        </w:rPr>
        <w:t xml:space="preserve"> Finan</w:t>
      </w:r>
      <w:r>
        <w:rPr>
          <w:rFonts w:ascii="Verdana" w:hAnsi="Verdana" w:cs="Arial"/>
          <w:i/>
          <w:iCs/>
          <w:sz w:val="16"/>
          <w:szCs w:val="16"/>
        </w:rPr>
        <w:t xml:space="preserve">sowa m.st. Warszawy na lata </w:t>
      </w:r>
      <w:r w:rsidRPr="008F3935">
        <w:rPr>
          <w:rFonts w:ascii="Verdana" w:eastAsiaTheme="minorEastAsia" w:hAnsi="Verdana" w:cs="Verdana"/>
          <w:i/>
          <w:color w:val="000000"/>
          <w:sz w:val="16"/>
          <w:szCs w:val="16"/>
        </w:rPr>
        <w:t>2024</w:t>
      </w:r>
      <w:r w:rsidRPr="000A6485">
        <w:rPr>
          <w:rFonts w:ascii="Verdana" w:hAnsi="Verdana" w:cs="Arial"/>
          <w:i/>
          <w:iCs/>
          <w:sz w:val="16"/>
          <w:szCs w:val="16"/>
        </w:rPr>
        <w:t>-2050</w:t>
      </w:r>
      <w:r w:rsidRPr="000A6485">
        <w:rPr>
          <w:rFonts w:ascii="Verdana" w:hAnsi="Verdana" w:cs="Arial"/>
          <w:iCs/>
          <w:sz w:val="16"/>
          <w:szCs w:val="16"/>
        </w:rPr>
        <w:t xml:space="preserve"> </w:t>
      </w:r>
      <w:r>
        <w:rPr>
          <w:rFonts w:ascii="Verdana" w:hAnsi="Verdana" w:cs="Arial"/>
          <w:iCs/>
          <w:sz w:val="16"/>
          <w:szCs w:val="16"/>
        </w:rPr>
        <w:br/>
        <w:t xml:space="preserve">                       </w:t>
      </w:r>
      <w:r w:rsidRPr="000A6485">
        <w:rPr>
          <w:rFonts w:ascii="Verdana" w:hAnsi="Verdana" w:cs="Arial"/>
          <w:iCs/>
          <w:sz w:val="16"/>
          <w:szCs w:val="16"/>
        </w:rPr>
        <w:t>(układ formalny WPF)</w:t>
      </w:r>
      <w:r w:rsidRPr="000A6485">
        <w:rPr>
          <w:rFonts w:ascii="Verdana" w:hAnsi="Verdana" w:cs="Arial"/>
          <w:i/>
          <w:iCs/>
          <w:sz w:val="16"/>
          <w:szCs w:val="16"/>
        </w:rPr>
        <w:t>;</w:t>
      </w:r>
    </w:p>
    <w:p w:rsidR="00CA374E" w:rsidRPr="000A6485" w:rsidRDefault="00CA374E" w:rsidP="00CA374E">
      <w:pPr>
        <w:pStyle w:val="Akapitzlist"/>
        <w:numPr>
          <w:ilvl w:val="0"/>
          <w:numId w:val="34"/>
        </w:numPr>
        <w:spacing w:before="60" w:after="60"/>
        <w:ind w:left="567" w:hanging="207"/>
        <w:contextualSpacing w:val="0"/>
        <w:jc w:val="both"/>
        <w:rPr>
          <w:rFonts w:ascii="Verdana" w:hAnsi="Verdana" w:cs="Arial"/>
          <w:i/>
          <w:iCs/>
          <w:sz w:val="16"/>
          <w:szCs w:val="16"/>
        </w:rPr>
      </w:pPr>
      <w:r w:rsidRPr="000A6485">
        <w:rPr>
          <w:rFonts w:ascii="Verdana" w:hAnsi="Verdana" w:cs="Arial"/>
          <w:iCs/>
          <w:sz w:val="16"/>
          <w:szCs w:val="16"/>
        </w:rPr>
        <w:t xml:space="preserve">załącznik nr 2 – </w:t>
      </w:r>
      <w:r w:rsidRPr="000A6485">
        <w:rPr>
          <w:rFonts w:ascii="Verdana" w:hAnsi="Verdana" w:cs="Arial"/>
          <w:i/>
          <w:iCs/>
          <w:sz w:val="16"/>
          <w:szCs w:val="16"/>
        </w:rPr>
        <w:t>Wykaz przedsięwzięć wielolet</w:t>
      </w:r>
      <w:r>
        <w:rPr>
          <w:rFonts w:ascii="Verdana" w:hAnsi="Verdana" w:cs="Arial"/>
          <w:i/>
          <w:iCs/>
          <w:sz w:val="16"/>
          <w:szCs w:val="16"/>
        </w:rPr>
        <w:t xml:space="preserve">nich m.st. Warszawy na lata </w:t>
      </w:r>
      <w:r w:rsidRPr="008F3935">
        <w:rPr>
          <w:rFonts w:ascii="Verdana" w:eastAsiaTheme="minorEastAsia" w:hAnsi="Verdana" w:cs="Verdana"/>
          <w:i/>
          <w:color w:val="000000"/>
          <w:sz w:val="16"/>
          <w:szCs w:val="16"/>
        </w:rPr>
        <w:t>2024</w:t>
      </w:r>
      <w:r w:rsidRPr="000A6485">
        <w:rPr>
          <w:rFonts w:ascii="Verdana" w:hAnsi="Verdana" w:cs="Arial"/>
          <w:i/>
          <w:iCs/>
          <w:sz w:val="16"/>
          <w:szCs w:val="16"/>
        </w:rPr>
        <w:t>-2050;</w:t>
      </w:r>
    </w:p>
    <w:p w:rsidR="00CA374E" w:rsidRPr="000A6485" w:rsidRDefault="00CA374E" w:rsidP="00CA374E">
      <w:pPr>
        <w:spacing w:before="60" w:after="60"/>
        <w:jc w:val="both"/>
        <w:rPr>
          <w:rFonts w:ascii="Verdana" w:hAnsi="Verdana" w:cs="Arial"/>
          <w:iCs/>
          <w:sz w:val="16"/>
          <w:szCs w:val="16"/>
        </w:rPr>
      </w:pPr>
      <w:r w:rsidRPr="000A6485">
        <w:rPr>
          <w:rFonts w:ascii="Verdana" w:hAnsi="Verdana"/>
          <w:sz w:val="16"/>
          <w:szCs w:val="16"/>
        </w:rPr>
        <w:t xml:space="preserve">są zgodne co do formy z wzorami powyższych załączników określonymi w rozporządzeniu Ministra Finansów </w:t>
      </w:r>
      <w:r w:rsidRPr="000A6485">
        <w:rPr>
          <w:rFonts w:ascii="Verdana" w:hAnsi="Verdana"/>
          <w:sz w:val="16"/>
          <w:szCs w:val="16"/>
        </w:rPr>
        <w:br/>
      </w:r>
      <w:r>
        <w:rPr>
          <w:rFonts w:ascii="Verdana" w:hAnsi="Verdana"/>
          <w:sz w:val="16"/>
          <w:szCs w:val="16"/>
        </w:rPr>
        <w:t xml:space="preserve">z </w:t>
      </w:r>
      <w:r w:rsidRPr="000A6485">
        <w:rPr>
          <w:rFonts w:ascii="Verdana" w:hAnsi="Verdana"/>
          <w:sz w:val="16"/>
          <w:szCs w:val="16"/>
        </w:rPr>
        <w:t xml:space="preserve">10 stycznia 2013 r.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sidRPr="000A6485">
        <w:rPr>
          <w:rFonts w:ascii="Verdana" w:hAnsi="Verdana"/>
          <w:sz w:val="16"/>
          <w:szCs w:val="16"/>
        </w:rPr>
        <w:br/>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wydanym na podstawie art. 230b ustawy o finansach publicznych, który został wprowadz</w:t>
      </w:r>
      <w:r>
        <w:rPr>
          <w:rFonts w:ascii="Verdana" w:hAnsi="Verdana"/>
          <w:sz w:val="16"/>
          <w:szCs w:val="16"/>
        </w:rPr>
        <w:t xml:space="preserve">ony art. 8 ust. 9 ustawy z </w:t>
      </w:r>
      <w:r w:rsidRPr="000A6485">
        <w:rPr>
          <w:rFonts w:ascii="Verdana" w:hAnsi="Verdana"/>
          <w:sz w:val="16"/>
          <w:szCs w:val="16"/>
        </w:rPr>
        <w:t xml:space="preserve">7 grudnia 2012 r. </w:t>
      </w:r>
      <w:r w:rsidRPr="00D14800">
        <w:rPr>
          <w:rFonts w:ascii="Verdana" w:hAnsi="Verdana"/>
          <w:i/>
          <w:sz w:val="16"/>
          <w:szCs w:val="16"/>
        </w:rPr>
        <w:t>o zmianie niektórych ustaw w związku z realizacją ustawy budżetowej</w:t>
      </w:r>
      <w:r>
        <w:rPr>
          <w:rFonts w:ascii="Verdana" w:hAnsi="Verdana"/>
          <w:sz w:val="16"/>
          <w:szCs w:val="16"/>
        </w:rPr>
        <w:t xml:space="preserve"> (Dz. </w:t>
      </w:r>
      <w:r w:rsidRPr="000A6485">
        <w:rPr>
          <w:rFonts w:ascii="Verdana" w:hAnsi="Verdana"/>
          <w:sz w:val="16"/>
          <w:szCs w:val="16"/>
        </w:rPr>
        <w:t xml:space="preserve">U. z 2012 r. poz. 1456 oraz z 2013 r. poz. 1199). </w:t>
      </w:r>
    </w:p>
    <w:p w:rsidR="00CA374E" w:rsidRDefault="00CA374E" w:rsidP="00CA374E">
      <w:pPr>
        <w:spacing w:before="60" w:after="60"/>
        <w:ind w:firstLine="539"/>
        <w:jc w:val="both"/>
        <w:rPr>
          <w:rFonts w:ascii="Verdana" w:hAnsi="Verdana"/>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8F3935">
        <w:rPr>
          <w:rFonts w:ascii="Verdana" w:eastAsiaTheme="minorEastAsia" w:hAnsi="Verdana" w:cs="Verdana"/>
          <w:color w:val="000000"/>
          <w:sz w:val="16"/>
          <w:szCs w:val="16"/>
        </w:rPr>
        <w:t>2024</w:t>
      </w:r>
      <w:r w:rsidRPr="00DD26A6">
        <w:rPr>
          <w:rFonts w:ascii="Verdana" w:hAnsi="Verdana" w:cs="Arial"/>
          <w:iCs/>
          <w:sz w:val="16"/>
          <w:szCs w:val="16"/>
        </w:rPr>
        <w:t>-2050 został</w:t>
      </w:r>
      <w:r>
        <w:rPr>
          <w:rFonts w:ascii="Verdana" w:hAnsi="Verdana" w:cs="Arial"/>
          <w:iCs/>
          <w:sz w:val="16"/>
          <w:szCs w:val="16"/>
        </w:rPr>
        <w:t>a opracowana</w:t>
      </w:r>
      <w:r w:rsidRPr="00DD26A6">
        <w:rPr>
          <w:rFonts w:ascii="Verdana" w:hAnsi="Verdana" w:cs="Arial"/>
          <w:iCs/>
          <w:sz w:val="16"/>
          <w:szCs w:val="16"/>
        </w:rPr>
        <w:t xml:space="preserve"> w oparciu o istotne elementy Wieloletniej Prognozy Finansow</w:t>
      </w:r>
      <w:r>
        <w:rPr>
          <w:rFonts w:ascii="Verdana" w:hAnsi="Verdana" w:cs="Arial"/>
          <w:iCs/>
          <w:sz w:val="16"/>
          <w:szCs w:val="16"/>
        </w:rPr>
        <w:t xml:space="preserve">ej m.st. Warszawy edycji </w:t>
      </w:r>
      <w:r w:rsidRPr="008F3935">
        <w:rPr>
          <w:rFonts w:ascii="Verdana" w:eastAsiaTheme="minorEastAsia" w:hAnsi="Verdana" w:cs="Verdana"/>
          <w:color w:val="000000"/>
          <w:sz w:val="16"/>
          <w:szCs w:val="16"/>
        </w:rPr>
        <w:t>2023</w:t>
      </w:r>
      <w:r>
        <w:rPr>
          <w:rFonts w:ascii="Verdana" w:hAnsi="Verdana" w:cs="Arial"/>
          <w:iCs/>
          <w:sz w:val="16"/>
          <w:szCs w:val="16"/>
        </w:rPr>
        <w:t>-2050</w:t>
      </w:r>
      <w:r w:rsidRPr="00DD26A6">
        <w:rPr>
          <w:rFonts w:ascii="Verdana" w:hAnsi="Verdana" w:cs="Arial"/>
          <w:iCs/>
          <w:sz w:val="16"/>
          <w:szCs w:val="16"/>
        </w:rPr>
        <w:t xml:space="preserve"> </w:t>
      </w:r>
      <w:r>
        <w:rPr>
          <w:rFonts w:ascii="Verdana" w:hAnsi="Verdana"/>
          <w:sz w:val="16"/>
          <w:szCs w:val="16"/>
        </w:rPr>
        <w:t>i jest powiązana</w:t>
      </w:r>
      <w:r w:rsidRPr="00DD26A6">
        <w:rPr>
          <w:rFonts w:ascii="Verdana" w:hAnsi="Verdana"/>
          <w:sz w:val="16"/>
          <w:szCs w:val="16"/>
        </w:rPr>
        <w:t xml:space="preserve"> </w:t>
      </w:r>
      <w:r>
        <w:rPr>
          <w:rFonts w:ascii="Verdana" w:hAnsi="Verdana"/>
          <w:sz w:val="16"/>
          <w:szCs w:val="16"/>
        </w:rPr>
        <w:t xml:space="preserve">z budżetem </w:t>
      </w:r>
      <w:r>
        <w:rPr>
          <w:rFonts w:ascii="Verdana" w:hAnsi="Verdana"/>
          <w:sz w:val="16"/>
          <w:szCs w:val="16"/>
        </w:rPr>
        <w:br/>
      </w:r>
      <w:r w:rsidRPr="00DD26A6">
        <w:rPr>
          <w:rFonts w:ascii="Verdana" w:hAnsi="Verdana"/>
          <w:sz w:val="16"/>
          <w:szCs w:val="16"/>
        </w:rPr>
        <w:t xml:space="preserve">m.st. Warszawy na </w:t>
      </w:r>
      <w:r w:rsidRPr="008F3935">
        <w:rPr>
          <w:rFonts w:ascii="Verdana" w:eastAsiaTheme="minorEastAsia" w:hAnsi="Verdana" w:cs="Verdana"/>
          <w:color w:val="000000"/>
          <w:sz w:val="16"/>
          <w:szCs w:val="16"/>
        </w:rPr>
        <w:t>2024</w:t>
      </w:r>
      <w:r w:rsidRPr="00DD26A6">
        <w:rPr>
          <w:rFonts w:ascii="Verdana" w:hAnsi="Verdana"/>
          <w:sz w:val="16"/>
          <w:szCs w:val="16"/>
        </w:rPr>
        <w:t xml:space="preserve"> r. </w:t>
      </w:r>
    </w:p>
    <w:p w:rsidR="00CA374E" w:rsidRPr="000F322D" w:rsidRDefault="00CA374E" w:rsidP="00CA374E">
      <w:pPr>
        <w:spacing w:before="60" w:after="60"/>
        <w:ind w:firstLine="567"/>
        <w:jc w:val="both"/>
        <w:rPr>
          <w:rFonts w:ascii="Verdana" w:hAnsi="Verdana" w:cs="Arial"/>
          <w:b/>
          <w:i/>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8F3935">
        <w:rPr>
          <w:rFonts w:ascii="Verdana" w:eastAsiaTheme="minorEastAsia" w:hAnsi="Verdana" w:cs="Verdana"/>
          <w:color w:val="000000"/>
          <w:sz w:val="16"/>
          <w:szCs w:val="16"/>
        </w:rPr>
        <w:t>2024</w:t>
      </w:r>
      <w:r w:rsidRPr="00DD26A6">
        <w:rPr>
          <w:rFonts w:ascii="Verdana" w:hAnsi="Verdana" w:cs="Arial"/>
          <w:iCs/>
          <w:sz w:val="16"/>
          <w:szCs w:val="16"/>
        </w:rPr>
        <w:t>-2050</w:t>
      </w:r>
      <w:r>
        <w:rPr>
          <w:rFonts w:ascii="Verdana" w:hAnsi="Verdana"/>
          <w:sz w:val="16"/>
          <w:szCs w:val="16"/>
        </w:rPr>
        <w:t xml:space="preserve"> została opracowana </w:t>
      </w:r>
      <w:r w:rsidRPr="00AC083A">
        <w:rPr>
          <w:rFonts w:ascii="Verdana" w:hAnsi="Verdana"/>
          <w:sz w:val="16"/>
          <w:szCs w:val="16"/>
        </w:rPr>
        <w:t xml:space="preserve">z uwzględnieniem planowanych </w:t>
      </w:r>
      <w:r>
        <w:rPr>
          <w:rFonts w:ascii="Verdana" w:hAnsi="Verdana"/>
          <w:sz w:val="16"/>
          <w:szCs w:val="16"/>
        </w:rPr>
        <w:t xml:space="preserve">na </w:t>
      </w:r>
      <w:r w:rsidRPr="008F3935">
        <w:rPr>
          <w:rFonts w:ascii="Verdana" w:eastAsiaTheme="minorEastAsia" w:hAnsi="Verdana" w:cs="Verdana"/>
          <w:color w:val="000000"/>
          <w:sz w:val="16"/>
          <w:szCs w:val="16"/>
        </w:rPr>
        <w:t>2024</w:t>
      </w:r>
      <w:r>
        <w:rPr>
          <w:rFonts w:ascii="Verdana" w:hAnsi="Verdana"/>
          <w:sz w:val="16"/>
          <w:szCs w:val="16"/>
        </w:rPr>
        <w:t xml:space="preserve"> r. </w:t>
      </w:r>
      <w:r w:rsidRPr="00AC083A">
        <w:rPr>
          <w:rFonts w:ascii="Verdana" w:hAnsi="Verdana"/>
          <w:sz w:val="16"/>
          <w:szCs w:val="16"/>
        </w:rPr>
        <w:t xml:space="preserve">dochodów z podatków dochodowych od osób fizycznych (PIT) i osób prawnych (CIT) </w:t>
      </w:r>
      <w:r>
        <w:rPr>
          <w:rFonts w:ascii="Verdana" w:hAnsi="Verdana"/>
          <w:sz w:val="16"/>
          <w:szCs w:val="16"/>
        </w:rPr>
        <w:t>oraz dochodów z subwencji ogólnej, 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(tzw. Janosikowe) na poziomie zgodnym z kwotami podanymi przez Ministerstwo </w:t>
      </w:r>
      <w:r>
        <w:rPr>
          <w:rFonts w:ascii="Verdana" w:hAnsi="Verdana"/>
          <w:sz w:val="16"/>
          <w:szCs w:val="16"/>
        </w:rPr>
        <w:t xml:space="preserve">Finansów </w:t>
      </w:r>
      <w:r>
        <w:rPr>
          <w:rFonts w:ascii="Verdana" w:hAnsi="Verdana"/>
          <w:sz w:val="16"/>
          <w:szCs w:val="16"/>
        </w:rPr>
        <w:br/>
      </w:r>
      <w:r w:rsidRPr="00AC083A">
        <w:rPr>
          <w:rFonts w:ascii="Verdana" w:hAnsi="Verdana"/>
          <w:sz w:val="16"/>
          <w:szCs w:val="16"/>
        </w:rPr>
        <w:t xml:space="preserve">w pismach </w:t>
      </w:r>
      <w:r>
        <w:rPr>
          <w:rFonts w:ascii="Verdana" w:hAnsi="Verdana"/>
          <w:sz w:val="16"/>
          <w:szCs w:val="16"/>
        </w:rP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sidRPr="00AC083A">
        <w:rPr>
          <w:rFonts w:ascii="Verdana" w:hAnsi="Verdana"/>
          <w:sz w:val="16"/>
          <w:szCs w:val="16"/>
        </w:rPr>
        <w:t>.</w:t>
      </w:r>
      <w:r>
        <w:rPr>
          <w:rFonts w:ascii="Verdana" w:hAnsi="Verdana"/>
          <w:sz w:val="16"/>
          <w:szCs w:val="16"/>
        </w:rPr>
        <w:t xml:space="preserve"> Zgodnie z informacją </w:t>
      </w:r>
      <w:r w:rsidRPr="004B78EB">
        <w:rPr>
          <w:rFonts w:ascii="Verdana" w:hAnsi="Verdana"/>
          <w:sz w:val="16"/>
          <w:szCs w:val="16"/>
        </w:rPr>
        <w:t>przedstawioną przez Ministerstwo Finansów</w:t>
      </w:r>
      <w:r>
        <w:rPr>
          <w:rFonts w:ascii="Verdana" w:hAnsi="Verdana"/>
          <w:sz w:val="16"/>
          <w:szCs w:val="16"/>
        </w:rPr>
        <w:t xml:space="preserve"> w powyższych pismach,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 stanowiącej rekompensatę </w:t>
      </w:r>
      <w:r w:rsidRPr="004B78EB">
        <w:rPr>
          <w:rFonts w:ascii="Verdana" w:hAnsi="Verdana"/>
          <w:sz w:val="16"/>
          <w:szCs w:val="16"/>
        </w:rPr>
        <w:t xml:space="preserve">ograniczenia dochodów </w:t>
      </w:r>
      <w:r>
        <w:rPr>
          <w:rFonts w:ascii="Verdana" w:hAnsi="Verdana"/>
          <w:sz w:val="16"/>
          <w:szCs w:val="16"/>
        </w:rPr>
        <w:t xml:space="preserve">samorządów </w:t>
      </w:r>
      <w:r w:rsidRPr="004B78EB">
        <w:rPr>
          <w:rFonts w:ascii="Verdana" w:hAnsi="Verdana"/>
          <w:sz w:val="16"/>
          <w:szCs w:val="16"/>
        </w:rPr>
        <w:t>z PIT</w:t>
      </w:r>
      <w:r>
        <w:rPr>
          <w:rFonts w:ascii="Verdana" w:hAnsi="Verdana"/>
          <w:sz w:val="16"/>
          <w:szCs w:val="16"/>
        </w:rPr>
        <w:t xml:space="preserve"> na skutek rozwiązań prawnych objętych pakietem ustaw tzw. Polskiego Ładu obowiązujących od 2022 r. </w:t>
      </w:r>
    </w:p>
    <w:p w:rsidR="00CA374E" w:rsidRDefault="00CA374E" w:rsidP="00CA374E">
      <w:pPr>
        <w:spacing w:before="60" w:after="60"/>
        <w:ind w:firstLine="567"/>
        <w:jc w:val="both"/>
        <w:rPr>
          <w:rFonts w:ascii="Verdana" w:hAnsi="Verdana" w:cs="Arial"/>
          <w:b/>
          <w:sz w:val="16"/>
          <w:szCs w:val="16"/>
        </w:rPr>
      </w:pPr>
      <w:r>
        <w:rPr>
          <w:rFonts w:ascii="Verdana" w:hAnsi="Verdana" w:cs="Arial"/>
          <w:sz w:val="16"/>
          <w:szCs w:val="16"/>
        </w:rPr>
        <w:t>Ustawa</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 odniesieniu do reguły indywidualnego limitu obsługi długu, określonej w art. 243 </w:t>
      </w:r>
      <w:r w:rsidRPr="00E7313D">
        <w:rPr>
          <w:rFonts w:ascii="Verdana" w:hAnsi="Verdana" w:cs="Arial"/>
          <w:sz w:val="16"/>
          <w:szCs w:val="16"/>
        </w:rPr>
        <w:t>ustawy o finansach</w:t>
      </w:r>
      <w:r>
        <w:rPr>
          <w:rFonts w:ascii="Verdana" w:hAnsi="Verdana" w:cs="Arial"/>
          <w:i/>
          <w:sz w:val="16"/>
          <w:szCs w:val="16"/>
        </w:rPr>
        <w:t xml:space="preserve"> </w:t>
      </w:r>
      <w:r w:rsidRPr="00B11B2B">
        <w:rPr>
          <w:rFonts w:ascii="Verdana" w:hAnsi="Verdana" w:cs="Arial"/>
          <w:sz w:val="16"/>
          <w:szCs w:val="16"/>
        </w:rPr>
        <w:t>publicznych</w:t>
      </w:r>
      <w:r>
        <w:rPr>
          <w:rFonts w:ascii="Verdana" w:hAnsi="Verdana" w:cs="Arial"/>
          <w:sz w:val="16"/>
          <w:szCs w:val="16"/>
        </w:rPr>
        <w:t>, poprzez</w:t>
      </w:r>
      <w:r w:rsidRPr="00006222">
        <w:rPr>
          <w:rFonts w:ascii="Verdana" w:hAnsi="Verdana" w:cs="Arial"/>
          <w:sz w:val="16"/>
          <w:szCs w:val="16"/>
        </w:rPr>
        <w:t xml:space="preserve"> art. 7 </w:t>
      </w:r>
      <w:r w:rsidRPr="00AC1B12">
        <w:rPr>
          <w:rFonts w:ascii="Verdana" w:hAnsi="Verdana" w:cs="Arial"/>
          <w:b/>
          <w:sz w:val="16"/>
          <w:szCs w:val="16"/>
        </w:rPr>
        <w:t xml:space="preserve">zobowiązała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wyboru dla lat 2022-2025 długości okresu stosowanego w badaniu spełnienia reguły indywidualnego 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Zgodnie z </w:t>
      </w:r>
      <w:r>
        <w:rPr>
          <w:rFonts w:ascii="Verdana" w:hAnsi="Verdana" w:cs="Arial"/>
          <w:sz w:val="16"/>
          <w:szCs w:val="16"/>
        </w:rPr>
        <w:t xml:space="preserve">uchwalonym </w:t>
      </w:r>
      <w:r w:rsidRPr="00006222">
        <w:rPr>
          <w:rFonts w:ascii="Verdana" w:hAnsi="Verdana" w:cs="Arial"/>
          <w:sz w:val="16"/>
          <w:szCs w:val="16"/>
        </w:rPr>
        <w:t xml:space="preserve">przepisem okres ten,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trzy wcześniejsze lata lub </w:t>
      </w:r>
      <w:r>
        <w:rPr>
          <w:rFonts w:ascii="Verdana" w:hAnsi="Verdana" w:cs="Arial"/>
          <w:sz w:val="16"/>
          <w:szCs w:val="16"/>
        </w:rPr>
        <w:t>mógł</w:t>
      </w:r>
      <w:r w:rsidRPr="00006222">
        <w:rPr>
          <w:rFonts w:ascii="Verdana" w:hAnsi="Verdana" w:cs="Arial"/>
          <w:sz w:val="16"/>
          <w:szCs w:val="16"/>
        </w:rPr>
        <w:t xml:space="preserve"> zostać </w:t>
      </w:r>
      <w:r>
        <w:rPr>
          <w:rFonts w:ascii="Verdana" w:hAnsi="Verdana" w:cs="Arial"/>
          <w:sz w:val="16"/>
          <w:szCs w:val="16"/>
        </w:rPr>
        <w:t xml:space="preserve">wydłużony na siedem poprzedzających lat. </w:t>
      </w:r>
      <w:r w:rsidRPr="00E339B7">
        <w:rPr>
          <w:rFonts w:ascii="Verdana" w:hAnsi="Verdana" w:cs="Arial"/>
          <w:b/>
          <w:sz w:val="16"/>
          <w:szCs w:val="16"/>
        </w:rPr>
        <w:t xml:space="preserve">Prezydent </w:t>
      </w:r>
      <w:r>
        <w:rPr>
          <w:rFonts w:ascii="Verdana" w:hAnsi="Verdana" w:cs="Arial"/>
          <w:b/>
          <w:sz w:val="16"/>
          <w:szCs w:val="16"/>
        </w:rPr>
        <w:br/>
      </w:r>
      <w:r w:rsidRPr="00E339B7">
        <w:rPr>
          <w:rFonts w:ascii="Verdana" w:hAnsi="Verdana" w:cs="Arial"/>
          <w:b/>
          <w:sz w:val="16"/>
          <w:szCs w:val="16"/>
        </w:rPr>
        <w:t>m.st. Warszawy jako organ wykonawczy dokonał dla lat 2022-2025 wyboru 7-letniego okresu stosowanego do wyliczenia relacji, o której mowa w art. 243 ustawy o finansach publicznych</w:t>
      </w:r>
      <w:r w:rsidRPr="00011AAA">
        <w:rPr>
          <w:rStyle w:val="Odwoanieprzypisudolnego"/>
          <w:rFonts w:ascii="Verdana" w:hAnsi="Verdana"/>
          <w:bCs/>
          <w:iCs/>
          <w:color w:val="000000"/>
          <w:sz w:val="16"/>
          <w:szCs w:val="16"/>
        </w:rPr>
        <w:footnoteReference w:id="1"/>
      </w:r>
      <w:r>
        <w:rPr>
          <w:rFonts w:ascii="Verdana" w:hAnsi="Verdana" w:cs="Arial"/>
          <w:b/>
          <w:sz w:val="16"/>
          <w:szCs w:val="16"/>
        </w:rPr>
        <w:t xml:space="preserve"> oraz poinformował o wyborze Regionalną Izbę Obrachunkową w Warszawie w piśmie z 26 listopada </w:t>
      </w:r>
      <w:r>
        <w:rPr>
          <w:rFonts w:ascii="Verdana" w:hAnsi="Verdana" w:cs="Arial"/>
          <w:b/>
          <w:sz w:val="16"/>
          <w:szCs w:val="16"/>
        </w:rPr>
        <w:br/>
      </w:r>
      <w:r>
        <w:rPr>
          <w:rFonts w:ascii="Verdana" w:hAnsi="Verdana" w:cs="Arial"/>
          <w:b/>
          <w:sz w:val="16"/>
          <w:szCs w:val="16"/>
        </w:rPr>
        <w:lastRenderedPageBreak/>
        <w:t xml:space="preserve">2021 r. nr GP-OR.0050.1795.2021 i Radę m.st. Warszawy w piśmie z 26 listopada 2021 r. </w:t>
      </w:r>
      <w:r>
        <w:rPr>
          <w:rFonts w:ascii="Verdana" w:hAnsi="Verdana" w:cs="Arial"/>
          <w:b/>
          <w:sz w:val="16"/>
          <w:szCs w:val="16"/>
        </w:rPr>
        <w:br/>
        <w:t>nr DR-7-OW.3150.6.2021.KPI</w:t>
      </w:r>
      <w:r w:rsidRPr="00E339B7">
        <w:rPr>
          <w:rFonts w:ascii="Verdana" w:hAnsi="Verdana" w:cs="Arial"/>
          <w:b/>
          <w:sz w:val="16"/>
          <w:szCs w:val="16"/>
        </w:rPr>
        <w:t>.</w:t>
      </w:r>
    </w:p>
    <w:p w:rsidR="00CA374E" w:rsidRPr="000A6485" w:rsidRDefault="00CA374E" w:rsidP="00CA374E">
      <w:pPr>
        <w:spacing w:before="240" w:after="120" w:line="240" w:lineRule="auto"/>
        <w:ind w:left="284" w:hanging="284"/>
        <w:rPr>
          <w:rFonts w:ascii="Verdana" w:hAnsi="Verdana"/>
          <w:sz w:val="22"/>
          <w:szCs w:val="22"/>
        </w:rPr>
      </w:pPr>
      <w:r w:rsidRPr="000A6485">
        <w:rPr>
          <w:rFonts w:ascii="Verdana" w:hAnsi="Verdana"/>
          <w:b/>
          <w:bCs/>
          <w:sz w:val="22"/>
          <w:szCs w:val="22"/>
        </w:rPr>
        <w:t xml:space="preserve">2. Źródła danych i informacji wykorzystanych do opracowania  </w:t>
      </w:r>
      <w:r w:rsidRPr="000A6485">
        <w:rPr>
          <w:rFonts w:ascii="Verdana" w:hAnsi="Verdana"/>
          <w:b/>
          <w:bCs/>
          <w:sz w:val="22"/>
          <w:szCs w:val="22"/>
        </w:rPr>
        <w:br/>
        <w:t xml:space="preserve">Wieloletniej Prognozy Finansowej m.st. Warszawy na lata </w:t>
      </w:r>
      <w:r w:rsidRPr="008F3935">
        <w:rPr>
          <w:rFonts w:ascii="Verdana" w:hAnsi="Verdana"/>
          <w:b/>
          <w:bCs/>
          <w:sz w:val="22"/>
          <w:szCs w:val="22"/>
        </w:rPr>
        <w:t>2024</w:t>
      </w:r>
      <w:r w:rsidRPr="000A6485">
        <w:rPr>
          <w:rFonts w:ascii="Verdana" w:hAnsi="Verdana"/>
          <w:b/>
          <w:bCs/>
          <w:sz w:val="22"/>
          <w:szCs w:val="22"/>
        </w:rPr>
        <w:t>-2050</w:t>
      </w:r>
    </w:p>
    <w:p w:rsidR="00CA374E" w:rsidRPr="000A6485" w:rsidRDefault="00CA374E" w:rsidP="00CA374E">
      <w:pPr>
        <w:spacing w:before="240" w:after="60"/>
        <w:ind w:firstLine="567"/>
        <w:jc w:val="both"/>
        <w:rPr>
          <w:rFonts w:ascii="Verdana" w:hAnsi="Verdana"/>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8F3935">
        <w:rPr>
          <w:rFonts w:ascii="Verdana" w:eastAsiaTheme="minorEastAsia" w:hAnsi="Verdana" w:cs="Verdana"/>
          <w:color w:val="000000"/>
          <w:sz w:val="16"/>
          <w:szCs w:val="16"/>
        </w:rPr>
        <w:t>2024</w:t>
      </w:r>
      <w:r w:rsidRPr="00DD26A6">
        <w:rPr>
          <w:rFonts w:ascii="Verdana" w:hAnsi="Verdana" w:cs="Arial"/>
          <w:iCs/>
          <w:sz w:val="16"/>
          <w:szCs w:val="16"/>
        </w:rPr>
        <w:t>-2050</w:t>
      </w:r>
      <w:r w:rsidRPr="000A6485">
        <w:rPr>
          <w:rFonts w:ascii="Verdana" w:hAnsi="Verdana"/>
          <w:sz w:val="16"/>
          <w:szCs w:val="16"/>
        </w:rPr>
        <w:t>, zwan</w:t>
      </w:r>
      <w:r>
        <w:rPr>
          <w:rFonts w:ascii="Verdana" w:hAnsi="Verdana"/>
          <w:sz w:val="16"/>
          <w:szCs w:val="16"/>
        </w:rPr>
        <w:t>a</w:t>
      </w:r>
      <w:r w:rsidRPr="000A6485">
        <w:rPr>
          <w:rFonts w:ascii="Verdana" w:hAnsi="Verdana"/>
          <w:sz w:val="16"/>
          <w:szCs w:val="16"/>
        </w:rPr>
        <w:t xml:space="preserve"> dalej WPF </w:t>
      </w:r>
      <w:r w:rsidRPr="008F3935">
        <w:rPr>
          <w:rFonts w:ascii="Verdana" w:eastAsiaTheme="minorEastAsia" w:hAnsi="Verdana" w:cs="Verdana"/>
          <w:color w:val="000000"/>
          <w:sz w:val="16"/>
          <w:szCs w:val="16"/>
        </w:rPr>
        <w:t>2024</w:t>
      </w:r>
      <w:r w:rsidRPr="000A6485">
        <w:rPr>
          <w:rFonts w:ascii="Verdana" w:hAnsi="Verdana"/>
          <w:sz w:val="16"/>
          <w:szCs w:val="16"/>
        </w:rPr>
        <w:t>-2050, został</w:t>
      </w:r>
      <w:r>
        <w:rPr>
          <w:rFonts w:ascii="Verdana" w:hAnsi="Verdana"/>
          <w:sz w:val="16"/>
          <w:szCs w:val="16"/>
        </w:rPr>
        <w:t>a</w:t>
      </w:r>
      <w:r w:rsidRPr="000A6485">
        <w:rPr>
          <w:rFonts w:ascii="Verdana" w:hAnsi="Verdana"/>
          <w:sz w:val="16"/>
          <w:szCs w:val="16"/>
        </w:rPr>
        <w:t xml:space="preserve"> opracowan</w:t>
      </w:r>
      <w:r>
        <w:rPr>
          <w:rFonts w:ascii="Verdana" w:hAnsi="Verdana"/>
          <w:sz w:val="16"/>
          <w:szCs w:val="16"/>
        </w:rPr>
        <w:t>a</w:t>
      </w:r>
      <w:r w:rsidRPr="000A6485">
        <w:rPr>
          <w:rFonts w:ascii="Verdana" w:hAnsi="Verdana"/>
          <w:sz w:val="16"/>
          <w:szCs w:val="16"/>
        </w:rPr>
        <w:t xml:space="preserve"> w szczególności w oparciu o następujące dokumenty:</w:t>
      </w:r>
    </w:p>
    <w:p w:rsidR="00CA374E" w:rsidRPr="000A6485"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 xml:space="preserve">Program </w:t>
      </w:r>
      <w:r>
        <w:rPr>
          <w:rFonts w:ascii="Verdana" w:hAnsi="Verdana"/>
          <w:i/>
          <w:sz w:val="16"/>
          <w:szCs w:val="16"/>
        </w:rPr>
        <w:t>Konwergencji – aktualizacja 2023</w:t>
      </w:r>
      <w:r w:rsidRPr="000A6485">
        <w:rPr>
          <w:rFonts w:ascii="Verdana" w:hAnsi="Verdana"/>
          <w:i/>
          <w:sz w:val="16"/>
          <w:szCs w:val="16"/>
        </w:rPr>
        <w:t xml:space="preserve">, </w:t>
      </w:r>
      <w:r w:rsidRPr="000A6485">
        <w:rPr>
          <w:rFonts w:ascii="Verdana" w:hAnsi="Verdana"/>
          <w:sz w:val="16"/>
          <w:szCs w:val="16"/>
        </w:rPr>
        <w:t>k</w:t>
      </w:r>
      <w:r>
        <w:rPr>
          <w:rFonts w:ascii="Verdana" w:hAnsi="Verdana"/>
          <w:sz w:val="16"/>
          <w:szCs w:val="16"/>
        </w:rPr>
        <w:t>wiecień 2023</w:t>
      </w:r>
      <w:r w:rsidRPr="000A6485">
        <w:rPr>
          <w:rFonts w:ascii="Verdana" w:hAnsi="Verdana"/>
          <w:sz w:val="16"/>
          <w:szCs w:val="16"/>
        </w:rPr>
        <w:t xml:space="preserve"> r.;</w:t>
      </w:r>
    </w:p>
    <w:p w:rsidR="00CA374E" w:rsidRPr="000A6485"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sidRPr="00C86707">
        <w:rPr>
          <w:rFonts w:ascii="Verdana" w:hAnsi="Verdana"/>
          <w:i/>
          <w:sz w:val="16"/>
          <w:szCs w:val="16"/>
        </w:rPr>
        <w:t xml:space="preserve">Wytyczne dotyczące stosowania jednolitych wskaźników makroekonomicznych będących podstawą oszacowania skutków finansowych projektowanych ustaw – aktualizacja </w:t>
      </w:r>
      <w:r>
        <w:rPr>
          <w:rFonts w:ascii="Verdana" w:hAnsi="Verdana"/>
          <w:i/>
          <w:sz w:val="16"/>
          <w:szCs w:val="16"/>
        </w:rPr>
        <w:t>październik 2023</w:t>
      </w:r>
      <w:r w:rsidRPr="00C86707">
        <w:rPr>
          <w:rFonts w:ascii="Verdana" w:hAnsi="Verdana"/>
          <w:i/>
          <w:sz w:val="16"/>
          <w:szCs w:val="16"/>
        </w:rPr>
        <w:t xml:space="preserve"> r</w:t>
      </w:r>
      <w:r w:rsidRPr="000A6485">
        <w:rPr>
          <w:rFonts w:ascii="Verdana" w:hAnsi="Verdana"/>
          <w:i/>
          <w:sz w:val="16"/>
          <w:szCs w:val="16"/>
        </w:rPr>
        <w:t>.</w:t>
      </w:r>
      <w:r w:rsidRPr="000A6485">
        <w:rPr>
          <w:rFonts w:ascii="Verdana" w:hAnsi="Verdana"/>
          <w:iCs/>
          <w:sz w:val="16"/>
          <w:szCs w:val="16"/>
        </w:rPr>
        <w:t xml:space="preserve">, Ministerstwo Finansów </w:t>
      </w:r>
      <w:r>
        <w:rPr>
          <w:rFonts w:ascii="Verdana" w:hAnsi="Verdana"/>
          <w:iCs/>
          <w:sz w:val="16"/>
          <w:szCs w:val="16"/>
        </w:rPr>
        <w:t>październik 2023</w:t>
      </w:r>
      <w:r w:rsidRPr="000A6485">
        <w:rPr>
          <w:rFonts w:ascii="Verdana" w:hAnsi="Verdana"/>
          <w:iCs/>
          <w:sz w:val="16"/>
          <w:szCs w:val="16"/>
        </w:rPr>
        <w:t xml:space="preserve"> r.;</w:t>
      </w:r>
    </w:p>
    <w:p w:rsidR="00CA374E" w:rsidRPr="000A6485"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Informacja kwartalna o stanie finansów publicznych</w:t>
      </w:r>
      <w:r>
        <w:rPr>
          <w:rFonts w:ascii="Verdana" w:hAnsi="Verdana"/>
          <w:i/>
          <w:sz w:val="16"/>
          <w:szCs w:val="16"/>
        </w:rPr>
        <w:t xml:space="preserve"> w I kwartale 2023</w:t>
      </w:r>
      <w:r w:rsidRPr="000A6485">
        <w:rPr>
          <w:rFonts w:ascii="Verdana" w:hAnsi="Verdana"/>
          <w:i/>
          <w:sz w:val="16"/>
          <w:szCs w:val="16"/>
        </w:rPr>
        <w:t xml:space="preserve"> r.</w:t>
      </w:r>
      <w:r w:rsidRPr="000A6485">
        <w:rPr>
          <w:rFonts w:ascii="Verdana" w:hAnsi="Verdana"/>
          <w:sz w:val="16"/>
          <w:szCs w:val="16"/>
        </w:rPr>
        <w:t xml:space="preserve">, Ministerstwo Finansów </w:t>
      </w:r>
      <w:r>
        <w:rPr>
          <w:rFonts w:ascii="Verdana" w:hAnsi="Verdana"/>
          <w:sz w:val="16"/>
          <w:szCs w:val="16"/>
        </w:rPr>
        <w:t>kwiecień 2023</w:t>
      </w:r>
      <w:r w:rsidRPr="000A6485">
        <w:rPr>
          <w:rFonts w:ascii="Verdana" w:hAnsi="Verdana"/>
          <w:sz w:val="16"/>
          <w:szCs w:val="16"/>
        </w:rPr>
        <w:t xml:space="preserve"> r.;</w:t>
      </w:r>
    </w:p>
    <w:p w:rsidR="00CA374E"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sz w:val="16"/>
          <w:szCs w:val="16"/>
        </w:rPr>
        <w:t>Projekt ustawy budżetowej na rok 20</w:t>
      </w:r>
      <w:r>
        <w:rPr>
          <w:rFonts w:ascii="Verdana" w:hAnsi="Verdana"/>
          <w:i/>
          <w:sz w:val="16"/>
          <w:szCs w:val="16"/>
        </w:rPr>
        <w:t>24</w:t>
      </w:r>
      <w:r w:rsidRPr="000A6485">
        <w:rPr>
          <w:rFonts w:ascii="Verdana" w:hAnsi="Verdana"/>
          <w:i/>
          <w:sz w:val="16"/>
          <w:szCs w:val="16"/>
        </w:rPr>
        <w:t>,</w:t>
      </w:r>
      <w:r>
        <w:rPr>
          <w:rFonts w:ascii="Verdana" w:hAnsi="Verdana"/>
          <w:sz w:val="16"/>
          <w:szCs w:val="16"/>
        </w:rPr>
        <w:t xml:space="preserve"> wrzesień 2023</w:t>
      </w:r>
      <w:r w:rsidRPr="000A6485">
        <w:rPr>
          <w:rFonts w:ascii="Verdana" w:hAnsi="Verdana"/>
          <w:sz w:val="16"/>
          <w:szCs w:val="16"/>
        </w:rPr>
        <w:t xml:space="preserve"> r.;</w:t>
      </w:r>
    </w:p>
    <w:p w:rsidR="00CA374E"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Pr>
          <w:rFonts w:ascii="Verdana" w:hAnsi="Verdana"/>
          <w:sz w:val="16"/>
          <w:szCs w:val="16"/>
        </w:rPr>
        <w:t xml:space="preserve">Projekt ustawy </w:t>
      </w:r>
      <w:r w:rsidRPr="0022307F">
        <w:rPr>
          <w:rFonts w:ascii="Verdana" w:hAnsi="Verdana"/>
          <w:i/>
          <w:sz w:val="16"/>
          <w:szCs w:val="16"/>
        </w:rPr>
        <w:t>o szczególnych rozwiązaniach służących realizacji ustawy budżetowej na rok 202</w:t>
      </w:r>
      <w:r>
        <w:rPr>
          <w:rFonts w:ascii="Verdana" w:hAnsi="Verdana"/>
          <w:i/>
          <w:sz w:val="16"/>
          <w:szCs w:val="16"/>
        </w:rPr>
        <w:t xml:space="preserve">4, </w:t>
      </w:r>
      <w:r>
        <w:rPr>
          <w:rFonts w:ascii="Verdana" w:hAnsi="Verdana"/>
          <w:sz w:val="16"/>
          <w:szCs w:val="16"/>
        </w:rPr>
        <w:t>wrzesień 2023</w:t>
      </w:r>
      <w:r w:rsidRPr="000A6485">
        <w:rPr>
          <w:rFonts w:ascii="Verdana" w:hAnsi="Verdana"/>
          <w:sz w:val="16"/>
          <w:szCs w:val="16"/>
        </w:rPr>
        <w:t xml:space="preserve"> r.</w:t>
      </w:r>
      <w:r>
        <w:rPr>
          <w:rFonts w:ascii="Verdana" w:hAnsi="Verdana"/>
          <w:sz w:val="16"/>
          <w:szCs w:val="16"/>
        </w:rPr>
        <w:t>;</w:t>
      </w:r>
    </w:p>
    <w:p w:rsidR="00CA374E" w:rsidRPr="00841EE5" w:rsidRDefault="00CA374E" w:rsidP="00CA374E">
      <w:pPr>
        <w:numPr>
          <w:ilvl w:val="0"/>
          <w:numId w:val="4"/>
        </w:numPr>
        <w:tabs>
          <w:tab w:val="clear" w:pos="720"/>
          <w:tab w:val="num" w:pos="540"/>
        </w:tabs>
        <w:spacing w:before="60" w:after="60"/>
        <w:ind w:left="540" w:hanging="180"/>
        <w:jc w:val="both"/>
        <w:rPr>
          <w:rFonts w:ascii="Verdana" w:hAnsi="Verdana"/>
          <w:iCs/>
          <w:sz w:val="16"/>
          <w:szCs w:val="16"/>
        </w:rPr>
      </w:pPr>
      <w:r>
        <w:rPr>
          <w:rFonts w:ascii="Verdana" w:hAnsi="Verdana"/>
          <w:iCs/>
          <w:sz w:val="16"/>
          <w:szCs w:val="16"/>
        </w:rPr>
        <w:t>i</w:t>
      </w:r>
      <w:r w:rsidRPr="00841EE5">
        <w:rPr>
          <w:rFonts w:ascii="Verdana" w:hAnsi="Verdana"/>
          <w:iCs/>
          <w:sz w:val="16"/>
          <w:szCs w:val="16"/>
        </w:rPr>
        <w:t xml:space="preserve">nformacje o wysokości subwencji oraz </w:t>
      </w:r>
      <w:r>
        <w:rPr>
          <w:rFonts w:ascii="Verdana" w:hAnsi="Verdana"/>
          <w:iCs/>
          <w:sz w:val="16"/>
          <w:szCs w:val="16"/>
        </w:rPr>
        <w:t>dochodach z tytułu udziału w podatkach dochodowych</w:t>
      </w:r>
      <w:r w:rsidRPr="00841EE5">
        <w:rPr>
          <w:rFonts w:ascii="Verdana" w:hAnsi="Verdana"/>
          <w:iCs/>
          <w:sz w:val="16"/>
          <w:szCs w:val="16"/>
        </w:rPr>
        <w:t xml:space="preserve"> od osób fizycznych</w:t>
      </w:r>
      <w:r>
        <w:rPr>
          <w:rFonts w:ascii="Verdana" w:hAnsi="Verdana"/>
          <w:iCs/>
          <w:sz w:val="16"/>
          <w:szCs w:val="16"/>
        </w:rPr>
        <w:t xml:space="preserve"> (PIT) i prawnych (CIT)</w:t>
      </w:r>
      <w:r w:rsidRPr="00841EE5">
        <w:rPr>
          <w:rFonts w:ascii="Verdana" w:hAnsi="Verdana"/>
          <w:iCs/>
          <w:sz w:val="16"/>
          <w:szCs w:val="16"/>
        </w:rPr>
        <w:t xml:space="preserve"> przekazane przez Ministerstwo Finansów w pismach:</w:t>
      </w:r>
      <w:r w:rsidRPr="00AC083A">
        <w:rPr>
          <w:rFonts w:ascii="Verdana" w:hAnsi="Verdana"/>
          <w:sz w:val="16"/>
          <w:szCs w:val="16"/>
        </w:rPr>
        <w:t xml:space="preserve">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Pr>
          <w:rFonts w:ascii="Verdana" w:eastAsiaTheme="minorEastAsia" w:hAnsi="Verdana" w:cs="Verdana"/>
          <w:color w:val="000000"/>
          <w:sz w:val="16"/>
          <w:szCs w:val="16"/>
        </w:rPr>
        <w:t xml:space="preserve"> </w:t>
      </w:r>
      <w:r>
        <w:rPr>
          <w:rFonts w:ascii="Verdana" w:hAnsi="Verdana"/>
          <w:iCs/>
          <w:sz w:val="16"/>
          <w:szCs w:val="16"/>
        </w:rPr>
        <w:t>z 13 października 2023</w:t>
      </w:r>
      <w:r w:rsidRPr="00841EE5">
        <w:rPr>
          <w:rFonts w:ascii="Verdana" w:hAnsi="Verdana"/>
          <w:iCs/>
          <w:sz w:val="16"/>
          <w:szCs w:val="16"/>
        </w:rPr>
        <w:t xml:space="preserve"> r.;</w:t>
      </w:r>
    </w:p>
    <w:p w:rsidR="00CA374E" w:rsidRDefault="00CA374E" w:rsidP="00CA374E">
      <w:pPr>
        <w:numPr>
          <w:ilvl w:val="0"/>
          <w:numId w:val="4"/>
        </w:numPr>
        <w:tabs>
          <w:tab w:val="clear" w:pos="720"/>
          <w:tab w:val="num" w:pos="540"/>
        </w:tabs>
        <w:spacing w:before="60" w:after="60"/>
        <w:ind w:left="540" w:hanging="180"/>
        <w:jc w:val="both"/>
        <w:rPr>
          <w:rFonts w:ascii="Verdana" w:hAnsi="Verdana"/>
          <w:sz w:val="16"/>
          <w:szCs w:val="16"/>
        </w:rPr>
      </w:pPr>
      <w:r w:rsidRPr="000A6485">
        <w:rPr>
          <w:rFonts w:ascii="Verdana" w:hAnsi="Verdana"/>
          <w:i/>
          <w:iCs/>
          <w:sz w:val="16"/>
          <w:szCs w:val="16"/>
        </w:rPr>
        <w:t>Wieloletnia Prognoza Finansowa</w:t>
      </w:r>
      <w:r>
        <w:rPr>
          <w:rFonts w:ascii="Verdana" w:hAnsi="Verdana"/>
          <w:i/>
          <w:iCs/>
          <w:sz w:val="16"/>
          <w:szCs w:val="16"/>
        </w:rPr>
        <w:t xml:space="preserve"> m.st. Warszawy na lata 2023</w:t>
      </w:r>
      <w:r w:rsidRPr="000A6485">
        <w:rPr>
          <w:rFonts w:ascii="Verdana" w:hAnsi="Verdana"/>
          <w:i/>
          <w:iCs/>
          <w:sz w:val="16"/>
          <w:szCs w:val="16"/>
        </w:rPr>
        <w:t>-2050</w:t>
      </w:r>
      <w:r w:rsidRPr="000A6485">
        <w:rPr>
          <w:rFonts w:ascii="Verdana" w:hAnsi="Verdana"/>
          <w:sz w:val="16"/>
          <w:szCs w:val="16"/>
        </w:rPr>
        <w:t xml:space="preserve">, </w:t>
      </w:r>
      <w:r>
        <w:rPr>
          <w:rFonts w:ascii="Verdana" w:hAnsi="Verdana"/>
          <w:sz w:val="16"/>
          <w:szCs w:val="16"/>
        </w:rPr>
        <w:t>grudzień 2022</w:t>
      </w:r>
      <w:r w:rsidRPr="000A6485">
        <w:rPr>
          <w:rFonts w:ascii="Verdana" w:hAnsi="Verdana"/>
          <w:sz w:val="16"/>
          <w:szCs w:val="16"/>
        </w:rPr>
        <w:t xml:space="preserve"> r. z </w:t>
      </w:r>
      <w:proofErr w:type="spellStart"/>
      <w:r w:rsidRPr="000A6485">
        <w:rPr>
          <w:rFonts w:ascii="Verdana" w:hAnsi="Verdana"/>
          <w:sz w:val="16"/>
          <w:szCs w:val="16"/>
        </w:rPr>
        <w:t>późn</w:t>
      </w:r>
      <w:proofErr w:type="spellEnd"/>
      <w:r w:rsidRPr="000A6485">
        <w:rPr>
          <w:rFonts w:ascii="Verdana" w:hAnsi="Verdana"/>
          <w:sz w:val="16"/>
          <w:szCs w:val="16"/>
        </w:rPr>
        <w:t>. zm.</w:t>
      </w:r>
      <w:r>
        <w:rPr>
          <w:rFonts w:ascii="Verdana" w:hAnsi="Verdana"/>
          <w:sz w:val="16"/>
          <w:szCs w:val="16"/>
        </w:rPr>
        <w:t>;</w:t>
      </w:r>
    </w:p>
    <w:p w:rsidR="00CA374E" w:rsidRPr="00187595" w:rsidRDefault="00CA374E" w:rsidP="00CA374E">
      <w:pPr>
        <w:numPr>
          <w:ilvl w:val="0"/>
          <w:numId w:val="4"/>
        </w:numPr>
        <w:tabs>
          <w:tab w:val="clear" w:pos="720"/>
          <w:tab w:val="num" w:pos="567"/>
        </w:tabs>
        <w:spacing w:before="60" w:after="60"/>
        <w:ind w:left="567" w:hanging="218"/>
        <w:jc w:val="both"/>
        <w:rPr>
          <w:rFonts w:ascii="Verdana" w:hAnsi="Verdana"/>
          <w:sz w:val="16"/>
          <w:szCs w:val="16"/>
        </w:rPr>
      </w:pPr>
      <w:r>
        <w:rPr>
          <w:rFonts w:ascii="Verdana" w:hAnsi="Verdana" w:cs="Arial"/>
          <w:sz w:val="16"/>
          <w:szCs w:val="16"/>
        </w:rPr>
        <w:t>ustawa</w:t>
      </w:r>
      <w:r w:rsidRPr="00AC083A">
        <w:rPr>
          <w:rFonts w:ascii="Verdana" w:hAnsi="Verdana" w:cs="Arial"/>
          <w:sz w:val="16"/>
          <w:szCs w:val="16"/>
        </w:rPr>
        <w:t xml:space="preserve"> z 14 października 2021 r. </w:t>
      </w:r>
      <w:r w:rsidRPr="00AC083A">
        <w:rPr>
          <w:rFonts w:ascii="Verdana" w:hAnsi="Verdana" w:cs="Arial"/>
          <w:i/>
          <w:sz w:val="16"/>
          <w:szCs w:val="16"/>
        </w:rPr>
        <w:t>o zmianie ustawy o dochodach jednostek samorządu terytorialnego oraz niektórych innych ustaw</w:t>
      </w:r>
      <w:r w:rsidRPr="00AC083A">
        <w:rPr>
          <w:rFonts w:ascii="Verdana" w:hAnsi="Verdana" w:cs="Arial"/>
          <w:sz w:val="16"/>
          <w:szCs w:val="16"/>
        </w:rPr>
        <w:t xml:space="preserve"> (</w:t>
      </w:r>
      <w:r>
        <w:rPr>
          <w:rFonts w:ascii="Verdana" w:hAnsi="Verdana" w:cs="Arial"/>
          <w:iCs/>
          <w:sz w:val="16"/>
          <w:szCs w:val="16"/>
        </w:rPr>
        <w:t xml:space="preserve">Dz. U. </w:t>
      </w:r>
      <w:r w:rsidRPr="00AC083A">
        <w:rPr>
          <w:rFonts w:ascii="Verdana" w:hAnsi="Verdana" w:cs="Arial"/>
          <w:iCs/>
          <w:sz w:val="16"/>
          <w:szCs w:val="16"/>
        </w:rPr>
        <w:t>poz. 1927</w:t>
      </w:r>
      <w:r>
        <w:rPr>
          <w:rFonts w:ascii="Verdana" w:hAnsi="Verdana" w:cs="Arial"/>
          <w:sz w:val="16"/>
          <w:szCs w:val="16"/>
        </w:rPr>
        <w:t>);</w:t>
      </w:r>
    </w:p>
    <w:p w:rsidR="00CA374E" w:rsidRPr="006F1F01" w:rsidRDefault="00CA374E" w:rsidP="00CA374E">
      <w:pPr>
        <w:pStyle w:val="Akapitzlist"/>
        <w:numPr>
          <w:ilvl w:val="0"/>
          <w:numId w:val="4"/>
        </w:numPr>
        <w:tabs>
          <w:tab w:val="clear" w:pos="720"/>
          <w:tab w:val="num" w:pos="567"/>
        </w:tabs>
        <w:spacing w:before="60" w:after="60"/>
        <w:ind w:left="567" w:hanging="218"/>
        <w:contextualSpacing w:val="0"/>
        <w:jc w:val="both"/>
        <w:rPr>
          <w:rFonts w:ascii="Verdana" w:hAnsi="Verdana" w:cs="Arial"/>
          <w:i/>
          <w:sz w:val="16"/>
          <w:szCs w:val="16"/>
        </w:rPr>
      </w:pPr>
      <w:r>
        <w:rPr>
          <w:rFonts w:ascii="Verdana" w:hAnsi="Verdana" w:cs="Arial"/>
          <w:sz w:val="16"/>
          <w:szCs w:val="16"/>
        </w:rPr>
        <w:t>ustawa z 29</w:t>
      </w:r>
      <w:r w:rsidRPr="00AC083A">
        <w:rPr>
          <w:rFonts w:ascii="Verdana" w:hAnsi="Verdana" w:cs="Arial"/>
          <w:sz w:val="16"/>
          <w:szCs w:val="16"/>
        </w:rPr>
        <w:t xml:space="preserve"> października 2021 r. </w:t>
      </w:r>
      <w:r w:rsidRPr="00AC083A">
        <w:rPr>
          <w:rFonts w:ascii="Verdana" w:hAnsi="Verdana" w:cs="Arial"/>
          <w:i/>
          <w:sz w:val="16"/>
          <w:szCs w:val="16"/>
        </w:rPr>
        <w:t xml:space="preserve">o zmianie ustawy o podatku dochodowym od osób fizycznych, ustawy </w:t>
      </w:r>
      <w:r>
        <w:rPr>
          <w:rFonts w:ascii="Verdana" w:hAnsi="Verdana" w:cs="Arial"/>
          <w:i/>
          <w:sz w:val="16"/>
          <w:szCs w:val="16"/>
        </w:rPr>
        <w:br/>
      </w:r>
      <w:r w:rsidRPr="00AC083A">
        <w:rPr>
          <w:rFonts w:ascii="Verdana" w:hAnsi="Verdana" w:cs="Arial"/>
          <w:i/>
          <w:sz w:val="16"/>
          <w:szCs w:val="16"/>
        </w:rPr>
        <w:t>o podatku dochodowym od osób prawnych oraz niektórych innych ustaw</w:t>
      </w:r>
      <w:r>
        <w:rPr>
          <w:rFonts w:ascii="Verdana" w:hAnsi="Verdana" w:cs="Arial"/>
          <w:sz w:val="16"/>
          <w:szCs w:val="16"/>
        </w:rPr>
        <w:t xml:space="preserve"> (Dz. U. z 2021 r. poz. 2105, 2349, 2427 i 2469, z 2022 r. poz. 1265, 1301, 1719 i 2180 oraz z 2023 r. poz. 1059, 1414 i 1598);</w:t>
      </w:r>
    </w:p>
    <w:p w:rsidR="00CA374E" w:rsidRDefault="00CA374E" w:rsidP="00CA374E">
      <w:pPr>
        <w:numPr>
          <w:ilvl w:val="0"/>
          <w:numId w:val="4"/>
        </w:numPr>
        <w:tabs>
          <w:tab w:val="clear" w:pos="720"/>
          <w:tab w:val="num" w:pos="567"/>
        </w:tabs>
        <w:spacing w:before="60" w:after="60"/>
        <w:ind w:left="567" w:hanging="283"/>
        <w:jc w:val="both"/>
        <w:rPr>
          <w:rFonts w:ascii="Verdana" w:hAnsi="Verdana"/>
          <w:iCs/>
          <w:sz w:val="16"/>
          <w:szCs w:val="16"/>
        </w:rPr>
      </w:pPr>
      <w:r>
        <w:rPr>
          <w:rFonts w:ascii="Verdana" w:hAnsi="Verdana"/>
          <w:iCs/>
          <w:sz w:val="16"/>
          <w:szCs w:val="16"/>
        </w:rPr>
        <w:t>ustawa</w:t>
      </w:r>
      <w:r w:rsidRPr="008B2941">
        <w:rPr>
          <w:rFonts w:ascii="Verdana" w:hAnsi="Verdana"/>
          <w:iCs/>
          <w:sz w:val="16"/>
          <w:szCs w:val="16"/>
        </w:rPr>
        <w:t xml:space="preserve"> z 9 czerwca 2022 r. </w:t>
      </w:r>
      <w:r w:rsidRPr="008B2941">
        <w:rPr>
          <w:rFonts w:ascii="Verdana" w:hAnsi="Verdana"/>
          <w:i/>
          <w:iCs/>
          <w:sz w:val="16"/>
          <w:szCs w:val="16"/>
        </w:rPr>
        <w:t>o zmianie ustawy o podatku dochodowym od osób fizycznych oraz niektórych innych ustaw</w:t>
      </w:r>
      <w:r w:rsidRPr="008B2941">
        <w:rPr>
          <w:rFonts w:ascii="Verdana" w:hAnsi="Verdana"/>
          <w:iCs/>
          <w:sz w:val="16"/>
          <w:szCs w:val="16"/>
        </w:rPr>
        <w:t xml:space="preserve"> (</w:t>
      </w:r>
      <w:r>
        <w:rPr>
          <w:rFonts w:ascii="Verdana" w:hAnsi="Verdana"/>
          <w:iCs/>
          <w:sz w:val="16"/>
          <w:szCs w:val="16"/>
        </w:rPr>
        <w:t>Dz. U. poz. 1265, 1964 i 2180</w:t>
      </w:r>
      <w:r w:rsidRPr="008B2941">
        <w:rPr>
          <w:rFonts w:ascii="Verdana" w:hAnsi="Verdana"/>
          <w:iCs/>
          <w:sz w:val="16"/>
          <w:szCs w:val="16"/>
        </w:rPr>
        <w:t>)</w:t>
      </w:r>
      <w:r>
        <w:rPr>
          <w:rFonts w:ascii="Verdana" w:hAnsi="Verdana"/>
          <w:iCs/>
          <w:sz w:val="16"/>
          <w:szCs w:val="16"/>
        </w:rPr>
        <w:t>;</w:t>
      </w:r>
    </w:p>
    <w:p w:rsidR="00CA374E" w:rsidRPr="003113E4" w:rsidRDefault="00CA374E" w:rsidP="00CA374E">
      <w:pPr>
        <w:pStyle w:val="Akapitzlist"/>
        <w:numPr>
          <w:ilvl w:val="0"/>
          <w:numId w:val="4"/>
        </w:numPr>
        <w:tabs>
          <w:tab w:val="clear" w:pos="720"/>
          <w:tab w:val="num" w:pos="567"/>
        </w:tabs>
        <w:spacing w:before="60" w:after="60"/>
        <w:ind w:left="567" w:hanging="283"/>
        <w:contextualSpacing w:val="0"/>
        <w:jc w:val="both"/>
        <w:rPr>
          <w:rFonts w:ascii="Verdana" w:hAnsi="Verdana" w:cs="Arial"/>
          <w:i/>
          <w:sz w:val="16"/>
          <w:szCs w:val="16"/>
        </w:rPr>
      </w:pPr>
      <w:r>
        <w:rPr>
          <w:rFonts w:ascii="Verdana" w:hAnsi="Verdana"/>
          <w:iCs/>
          <w:sz w:val="16"/>
          <w:szCs w:val="16"/>
        </w:rPr>
        <w:t>ustawa</w:t>
      </w:r>
      <w:r w:rsidRPr="008B2941">
        <w:rPr>
          <w:rFonts w:ascii="Verdana" w:hAnsi="Verdana"/>
          <w:iCs/>
          <w:sz w:val="16"/>
          <w:szCs w:val="16"/>
        </w:rPr>
        <w:t xml:space="preserve"> z 15 września 2022 r. </w:t>
      </w:r>
      <w:r w:rsidRPr="008B2941">
        <w:rPr>
          <w:rFonts w:ascii="Verdana" w:hAnsi="Verdana"/>
          <w:i/>
          <w:iCs/>
          <w:sz w:val="16"/>
          <w:szCs w:val="16"/>
        </w:rPr>
        <w:t xml:space="preserve">o zmianie ustawy o dochodach jednostek samorządu terytorialnego </w:t>
      </w:r>
      <w:r w:rsidRPr="008B2941">
        <w:rPr>
          <w:rFonts w:ascii="Verdana" w:hAnsi="Verdana"/>
          <w:i/>
          <w:iCs/>
          <w:sz w:val="16"/>
          <w:szCs w:val="16"/>
        </w:rPr>
        <w:br/>
        <w:t>oraz niektórych innych ustaw</w:t>
      </w:r>
      <w:r w:rsidRPr="008B2941">
        <w:rPr>
          <w:rFonts w:ascii="Verdana" w:hAnsi="Verdana"/>
          <w:iCs/>
          <w:sz w:val="16"/>
          <w:szCs w:val="16"/>
        </w:rPr>
        <w:t xml:space="preserve"> (</w:t>
      </w:r>
      <w:r>
        <w:rPr>
          <w:rFonts w:ascii="Verdana" w:hAnsi="Verdana"/>
          <w:iCs/>
          <w:sz w:val="16"/>
          <w:szCs w:val="16"/>
        </w:rPr>
        <w:t>Dz. U. poz. 1964</w:t>
      </w:r>
      <w:r w:rsidRPr="008B2941">
        <w:rPr>
          <w:rFonts w:ascii="Verdana" w:hAnsi="Verdana"/>
          <w:iCs/>
          <w:sz w:val="16"/>
          <w:szCs w:val="16"/>
        </w:rPr>
        <w:t>)</w:t>
      </w:r>
      <w:r>
        <w:rPr>
          <w:rFonts w:ascii="Verdana" w:hAnsi="Verdana"/>
          <w:iCs/>
          <w:sz w:val="16"/>
          <w:szCs w:val="16"/>
        </w:rPr>
        <w:t>,</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W WPF </w:t>
      </w:r>
      <w:r w:rsidRPr="008F3935">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uwzględniono również analizy własne obejmujące:</w:t>
      </w:r>
    </w:p>
    <w:p w:rsidR="00CA374E" w:rsidRPr="000A6485" w:rsidRDefault="00CA374E" w:rsidP="00CA374E">
      <w:pPr>
        <w:numPr>
          <w:ilvl w:val="0"/>
          <w:numId w:val="57"/>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tendencje w zakresie kształtowania się dochodów m.st. Warszawy z poszczególnych źródeł i wpływu na ich wysokość zmieniających się uwarunkowań wewnętrznych i zmian warunków w otoczeniu zewnętrznym,</w:t>
      </w:r>
    </w:p>
    <w:p w:rsidR="00CA374E" w:rsidRPr="000A6485" w:rsidRDefault="00CA374E" w:rsidP="00CA374E">
      <w:pPr>
        <w:numPr>
          <w:ilvl w:val="0"/>
          <w:numId w:val="57"/>
        </w:numPr>
        <w:tabs>
          <w:tab w:val="clear" w:pos="1080"/>
          <w:tab w:val="num" w:pos="567"/>
        </w:tabs>
        <w:spacing w:before="60" w:after="60"/>
        <w:ind w:left="567" w:hanging="283"/>
        <w:jc w:val="both"/>
        <w:rPr>
          <w:rFonts w:ascii="Verdana" w:hAnsi="Verdana"/>
          <w:sz w:val="16"/>
          <w:szCs w:val="16"/>
        </w:rPr>
      </w:pPr>
      <w:r w:rsidRPr="000A6485">
        <w:rPr>
          <w:rFonts w:ascii="Verdana" w:hAnsi="Verdana"/>
          <w:sz w:val="16"/>
          <w:szCs w:val="16"/>
        </w:rPr>
        <w:t>uwarunkowania w kształtowaniu wydatków Miasta,</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z uwzględnieniem negatywnych dla możliwości </w:t>
      </w:r>
      <w:r>
        <w:rPr>
          <w:rFonts w:ascii="Verdana" w:hAnsi="Verdana"/>
          <w:sz w:val="16"/>
          <w:szCs w:val="16"/>
        </w:rPr>
        <w:t>budżetowych</w:t>
      </w:r>
      <w:r w:rsidRPr="000A6485">
        <w:rPr>
          <w:rFonts w:ascii="Verdana" w:hAnsi="Verdana"/>
          <w:sz w:val="16"/>
          <w:szCs w:val="16"/>
        </w:rPr>
        <w:t xml:space="preserve"> </w:t>
      </w:r>
      <w:r>
        <w:rPr>
          <w:rFonts w:ascii="Verdana" w:hAnsi="Verdana"/>
          <w:sz w:val="16"/>
          <w:szCs w:val="16"/>
        </w:rPr>
        <w:t>m.st. Warszawy rozwiązań prawnych</w:t>
      </w:r>
      <w:r w:rsidRPr="000270E2">
        <w:rPr>
          <w:rFonts w:ascii="Verdana" w:hAnsi="Verdana"/>
          <w:sz w:val="16"/>
          <w:szCs w:val="16"/>
        </w:rPr>
        <w:t xml:space="preserve"> </w:t>
      </w:r>
      <w:r>
        <w:rPr>
          <w:rFonts w:ascii="Verdana" w:hAnsi="Verdana"/>
          <w:sz w:val="16"/>
          <w:szCs w:val="16"/>
        </w:rPr>
        <w:t xml:space="preserve">wprowadzonych w ramach rządowego programu Polski Ład, które spowodowały </w:t>
      </w:r>
      <w:r w:rsidRPr="000270E2">
        <w:rPr>
          <w:rFonts w:ascii="Verdana" w:hAnsi="Verdana"/>
          <w:sz w:val="16"/>
          <w:szCs w:val="16"/>
        </w:rPr>
        <w:t xml:space="preserve">zasadnicze zmiany systemowe </w:t>
      </w:r>
      <w:r>
        <w:rPr>
          <w:rFonts w:ascii="Verdana" w:hAnsi="Verdana"/>
          <w:sz w:val="16"/>
          <w:szCs w:val="16"/>
        </w:rPr>
        <w:br/>
      </w:r>
      <w:r w:rsidRPr="000270E2">
        <w:rPr>
          <w:rFonts w:ascii="Verdana" w:hAnsi="Verdana"/>
          <w:sz w:val="16"/>
          <w:szCs w:val="16"/>
        </w:rPr>
        <w:t xml:space="preserve">w finansach samorządów w trwały sposób </w:t>
      </w:r>
      <w:r>
        <w:rPr>
          <w:rFonts w:ascii="Verdana" w:hAnsi="Verdana"/>
          <w:sz w:val="16"/>
          <w:szCs w:val="16"/>
        </w:rPr>
        <w:t>ujemnie</w:t>
      </w:r>
      <w:r w:rsidRPr="000270E2">
        <w:rPr>
          <w:rFonts w:ascii="Verdana" w:hAnsi="Verdana"/>
          <w:sz w:val="16"/>
          <w:szCs w:val="16"/>
        </w:rPr>
        <w:t xml:space="preserve"> oddziałujące na potencjał dochodowy m.st. Warszawy, bez adekwa</w:t>
      </w:r>
      <w:r>
        <w:rPr>
          <w:rFonts w:ascii="Verdana" w:hAnsi="Verdana"/>
          <w:sz w:val="16"/>
          <w:szCs w:val="16"/>
        </w:rPr>
        <w:t>tnych rozwiązań kompensacyjnych, które nałożyły się na niekorzystne dla dochodów samorządów</w:t>
      </w:r>
      <w:r w:rsidRPr="000A6485">
        <w:rPr>
          <w:rFonts w:ascii="Verdana" w:hAnsi="Verdana"/>
          <w:sz w:val="16"/>
          <w:szCs w:val="16"/>
        </w:rPr>
        <w:t xml:space="preserve"> zmian</w:t>
      </w:r>
      <w:r>
        <w:rPr>
          <w:rFonts w:ascii="Verdana" w:hAnsi="Verdana"/>
          <w:sz w:val="16"/>
          <w:szCs w:val="16"/>
        </w:rPr>
        <w:t>y prawne wprowadzone w latach 2018-2019</w:t>
      </w:r>
      <w:r w:rsidRPr="000A6485">
        <w:rPr>
          <w:rFonts w:ascii="Verdana" w:hAnsi="Verdana"/>
          <w:sz w:val="16"/>
          <w:szCs w:val="16"/>
        </w:rPr>
        <w:t xml:space="preserve"> w zakresie podatku doch</w:t>
      </w:r>
      <w:r>
        <w:rPr>
          <w:rFonts w:ascii="Verdana" w:hAnsi="Verdana"/>
          <w:sz w:val="16"/>
          <w:szCs w:val="16"/>
        </w:rPr>
        <w:t xml:space="preserve">odowego od osób fizycznych PIT </w:t>
      </w:r>
      <w:r w:rsidRPr="000A6485">
        <w:rPr>
          <w:rFonts w:ascii="Verdana" w:hAnsi="Verdana"/>
          <w:sz w:val="16"/>
          <w:szCs w:val="16"/>
        </w:rPr>
        <w:t xml:space="preserve">oraz </w:t>
      </w:r>
      <w:r>
        <w:rPr>
          <w:rFonts w:ascii="Verdana" w:hAnsi="Verdana"/>
          <w:sz w:val="16"/>
          <w:szCs w:val="16"/>
        </w:rPr>
        <w:t>dotyczące</w:t>
      </w:r>
      <w:r w:rsidRPr="000A6485">
        <w:rPr>
          <w:rFonts w:ascii="Verdana" w:hAnsi="Verdana"/>
          <w:sz w:val="16"/>
          <w:szCs w:val="16"/>
        </w:rPr>
        <w:t xml:space="preserve"> przekształcenia prawa użytkowania wieczystego gruntów </w:t>
      </w:r>
      <w:r>
        <w:rPr>
          <w:rFonts w:ascii="Verdana" w:hAnsi="Verdana"/>
          <w:sz w:val="16"/>
          <w:szCs w:val="16"/>
        </w:rPr>
        <w:t xml:space="preserve">przeznaczonych </w:t>
      </w:r>
      <w:r w:rsidRPr="000A6485">
        <w:rPr>
          <w:rFonts w:ascii="Verdana" w:hAnsi="Verdana"/>
          <w:sz w:val="16"/>
          <w:szCs w:val="16"/>
        </w:rPr>
        <w:t xml:space="preserve">na cele mieszkaniowe </w:t>
      </w:r>
      <w:r>
        <w:rPr>
          <w:rFonts w:ascii="Verdana" w:hAnsi="Verdana"/>
          <w:sz w:val="16"/>
          <w:szCs w:val="16"/>
        </w:rPr>
        <w:br/>
      </w:r>
      <w:r w:rsidRPr="000A6485">
        <w:rPr>
          <w:rFonts w:ascii="Verdana" w:hAnsi="Verdana"/>
          <w:sz w:val="16"/>
          <w:szCs w:val="16"/>
        </w:rPr>
        <w:t>w prawo własnoś</w:t>
      </w:r>
      <w:r>
        <w:rPr>
          <w:rFonts w:ascii="Verdana" w:hAnsi="Verdana"/>
          <w:sz w:val="16"/>
          <w:szCs w:val="16"/>
        </w:rPr>
        <w:t>ci (z bonifikatami) powodujące</w:t>
      </w:r>
      <w:r w:rsidRPr="000A6485">
        <w:rPr>
          <w:rFonts w:ascii="Verdana" w:hAnsi="Verdana"/>
          <w:sz w:val="16"/>
          <w:szCs w:val="16"/>
        </w:rPr>
        <w:t xml:space="preserve"> utratę dochodów związanych </w:t>
      </w:r>
      <w:r>
        <w:rPr>
          <w:rFonts w:ascii="Verdana" w:hAnsi="Verdana"/>
          <w:sz w:val="16"/>
          <w:szCs w:val="16"/>
        </w:rPr>
        <w:t xml:space="preserve">z użytkowaniem wieczystym. </w:t>
      </w:r>
    </w:p>
    <w:p w:rsidR="00CA374E" w:rsidRDefault="00CA374E" w:rsidP="00CA374E">
      <w:pPr>
        <w:spacing w:before="60" w:after="60"/>
        <w:jc w:val="both"/>
        <w:rPr>
          <w:rFonts w:ascii="Verdana" w:hAnsi="Verdana"/>
          <w:sz w:val="16"/>
          <w:szCs w:val="16"/>
        </w:rPr>
      </w:pPr>
      <w:r w:rsidRPr="000A6485">
        <w:rPr>
          <w:rFonts w:ascii="Verdana" w:hAnsi="Verdana"/>
          <w:sz w:val="16"/>
          <w:szCs w:val="16"/>
        </w:rPr>
        <w:t xml:space="preserve">W </w:t>
      </w:r>
      <w:r>
        <w:rPr>
          <w:rFonts w:ascii="Verdana" w:hAnsi="Verdana"/>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sz w:val="16"/>
          <w:szCs w:val="16"/>
        </w:rPr>
        <w:t>-2050 ujęto planowane do uzyskania środki z unijnej perspektywy finansowej obejmującej lata 2014-2020</w:t>
      </w:r>
      <w:r>
        <w:rPr>
          <w:rFonts w:ascii="Verdana" w:hAnsi="Verdana"/>
          <w:sz w:val="16"/>
          <w:szCs w:val="16"/>
        </w:rPr>
        <w:t xml:space="preserve"> (z okresem rozliczeniowym do 2025 r.)</w:t>
      </w:r>
      <w:r w:rsidRPr="000A6485">
        <w:rPr>
          <w:rFonts w:ascii="Verdana" w:hAnsi="Verdana"/>
          <w:sz w:val="16"/>
          <w:szCs w:val="16"/>
        </w:rPr>
        <w:t>.</w:t>
      </w:r>
      <w:r>
        <w:rPr>
          <w:rFonts w:ascii="Verdana" w:hAnsi="Verdana"/>
          <w:sz w:val="16"/>
          <w:szCs w:val="16"/>
        </w:rPr>
        <w:br w:type="page"/>
      </w:r>
    </w:p>
    <w:p w:rsidR="00CA374E" w:rsidRPr="000A6485" w:rsidRDefault="00CA374E" w:rsidP="00CA374E">
      <w:pPr>
        <w:spacing w:before="240" w:after="120" w:line="240" w:lineRule="auto"/>
        <w:ind w:left="425" w:hanging="425"/>
        <w:rPr>
          <w:rFonts w:ascii="Verdana" w:hAnsi="Verdana"/>
          <w:b/>
          <w:bCs/>
          <w:sz w:val="22"/>
          <w:szCs w:val="22"/>
        </w:rPr>
      </w:pPr>
      <w:r w:rsidRPr="000A6485">
        <w:rPr>
          <w:rFonts w:ascii="Verdana" w:hAnsi="Verdana"/>
          <w:b/>
          <w:bCs/>
          <w:sz w:val="22"/>
          <w:szCs w:val="22"/>
        </w:rPr>
        <w:lastRenderedPageBreak/>
        <w:t>3.  Cele opracowania Wieloletniej Prognozy Finansowej m.st. Warszawy</w:t>
      </w:r>
    </w:p>
    <w:p w:rsidR="00CA374E" w:rsidRPr="000A6485" w:rsidRDefault="00CA374E" w:rsidP="00CA374E">
      <w:pPr>
        <w:spacing w:before="240" w:after="240" w:line="240" w:lineRule="auto"/>
        <w:rPr>
          <w:rFonts w:ascii="Verdana" w:hAnsi="Verdana"/>
          <w:b/>
          <w:bCs/>
          <w:sz w:val="20"/>
          <w:szCs w:val="20"/>
        </w:rPr>
      </w:pPr>
      <w:r w:rsidRPr="000A6485">
        <w:rPr>
          <w:rFonts w:ascii="Verdana" w:hAnsi="Verdana"/>
          <w:b/>
          <w:bCs/>
          <w:sz w:val="20"/>
          <w:szCs w:val="20"/>
        </w:rPr>
        <w:t xml:space="preserve">3.1 Ograniczenie ryzyka w zarządzaniu finansami m.st. Warszawy </w:t>
      </w:r>
      <w:r w:rsidRPr="000A6485">
        <w:rPr>
          <w:rFonts w:ascii="Verdana" w:hAnsi="Verdana"/>
          <w:b/>
          <w:bCs/>
          <w:sz w:val="20"/>
          <w:szCs w:val="20"/>
        </w:rPr>
        <w:br/>
        <w:t xml:space="preserve">      w perspektywie wieloletniej</w:t>
      </w:r>
    </w:p>
    <w:p w:rsidR="00CA374E" w:rsidRPr="000A6485" w:rsidRDefault="00CA374E" w:rsidP="00CA374E">
      <w:pPr>
        <w:spacing w:before="60" w:after="60"/>
        <w:ind w:firstLine="540"/>
        <w:jc w:val="both"/>
        <w:rPr>
          <w:rFonts w:ascii="Verdana" w:hAnsi="Verdana"/>
          <w:iCs/>
          <w:sz w:val="16"/>
          <w:szCs w:val="16"/>
        </w:rPr>
      </w:pPr>
      <w:r w:rsidRPr="000A6485">
        <w:rPr>
          <w:rFonts w:ascii="Verdana" w:hAnsi="Verdana"/>
          <w:iCs/>
          <w:sz w:val="16"/>
          <w:szCs w:val="16"/>
        </w:rPr>
        <w:t>Prognozowanie i planowanie w perspektywie wieloletniej podyktowane jest w głównej mierze charakterem prowadzonej działalności:</w:t>
      </w:r>
    </w:p>
    <w:p w:rsidR="00CA374E" w:rsidRPr="000A6485" w:rsidRDefault="00CA374E" w:rsidP="00CA374E">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ciągłością funkcjonowania jednostek organizacyjnych,</w:t>
      </w:r>
    </w:p>
    <w:p w:rsidR="00CA374E" w:rsidRPr="000A6485" w:rsidRDefault="00CA374E" w:rsidP="00CA374E">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realizacją zadań inwestycyjnych w okresach przekraczających rok budżetowy,</w:t>
      </w:r>
    </w:p>
    <w:p w:rsidR="00CA374E" w:rsidRPr="000A6485" w:rsidRDefault="00CA374E" w:rsidP="00CA374E">
      <w:pPr>
        <w:numPr>
          <w:ilvl w:val="0"/>
          <w:numId w:val="1"/>
        </w:numPr>
        <w:tabs>
          <w:tab w:val="left" w:pos="567"/>
        </w:tabs>
        <w:spacing w:before="60" w:after="60"/>
        <w:ind w:left="567" w:hanging="283"/>
        <w:jc w:val="both"/>
        <w:rPr>
          <w:rFonts w:ascii="Verdana" w:hAnsi="Verdana"/>
          <w:iCs/>
          <w:sz w:val="16"/>
          <w:szCs w:val="16"/>
        </w:rPr>
      </w:pPr>
      <w:r w:rsidRPr="000A6485">
        <w:rPr>
          <w:rFonts w:ascii="Verdana" w:hAnsi="Verdana"/>
          <w:iCs/>
          <w:sz w:val="16"/>
          <w:szCs w:val="16"/>
        </w:rPr>
        <w:t>wieloletnimi skutkami decyzji finansowych podejmowanych w danym roku budżetowym.</w:t>
      </w:r>
    </w:p>
    <w:p w:rsidR="00CA374E" w:rsidRPr="000A6485" w:rsidRDefault="00CA374E" w:rsidP="00CA374E">
      <w:pPr>
        <w:spacing w:before="60" w:after="60"/>
        <w:ind w:firstLine="540"/>
        <w:jc w:val="both"/>
        <w:rPr>
          <w:rFonts w:ascii="Verdana" w:hAnsi="Verdana"/>
          <w:iCs/>
          <w:sz w:val="16"/>
          <w:szCs w:val="16"/>
        </w:rPr>
      </w:pPr>
      <w:r w:rsidRPr="000A6485">
        <w:rPr>
          <w:rFonts w:ascii="Verdana" w:hAnsi="Verdana"/>
          <w:iCs/>
          <w:sz w:val="16"/>
          <w:szCs w:val="16"/>
        </w:rPr>
        <w:t>Ponadto wśród wydatków m.st. Warszawy znajdują się wydatki obligatoryjne zdeterminowane ustawami bądź zawartymi przez Miasto umowami długookresowymi (</w:t>
      </w:r>
      <w:r>
        <w:rPr>
          <w:rFonts w:ascii="Verdana" w:hAnsi="Verdana"/>
          <w:iCs/>
          <w:sz w:val="16"/>
          <w:szCs w:val="16"/>
        </w:rPr>
        <w:t xml:space="preserve">m.in. </w:t>
      </w:r>
      <w:r w:rsidRPr="000A6485">
        <w:rPr>
          <w:rFonts w:ascii="Verdana" w:hAnsi="Verdana"/>
          <w:iCs/>
          <w:sz w:val="16"/>
          <w:szCs w:val="16"/>
        </w:rPr>
        <w:t xml:space="preserve">wpłata do budżetu państwa z przeznaczeniem </w:t>
      </w:r>
      <w:r w:rsidRPr="000A6485">
        <w:rPr>
          <w:rFonts w:ascii="Verdana" w:hAnsi="Verdana"/>
          <w:iCs/>
          <w:sz w:val="16"/>
          <w:szCs w:val="16"/>
        </w:rPr>
        <w:br/>
        <w:t>na subwencję równoważącą dla gmin i powiatów</w:t>
      </w:r>
      <w:r>
        <w:rPr>
          <w:rFonts w:ascii="Verdana" w:hAnsi="Verdana"/>
          <w:iCs/>
          <w:sz w:val="16"/>
          <w:szCs w:val="16"/>
        </w:rPr>
        <w:t>, tj. tzw. Janosikowe</w:t>
      </w:r>
      <w:r w:rsidRPr="000A6485">
        <w:rPr>
          <w:rFonts w:ascii="Verdana" w:hAnsi="Verdana"/>
          <w:iCs/>
          <w:sz w:val="16"/>
          <w:szCs w:val="16"/>
        </w:rPr>
        <w:t xml:space="preserve">, zakup usług komunikacji miejskiej </w:t>
      </w:r>
      <w:r>
        <w:rPr>
          <w:rFonts w:ascii="Verdana" w:hAnsi="Verdana"/>
          <w:iCs/>
          <w:sz w:val="16"/>
          <w:szCs w:val="16"/>
        </w:rPr>
        <w:br/>
      </w:r>
      <w:r w:rsidRPr="000A6485">
        <w:rPr>
          <w:rFonts w:ascii="Verdana" w:hAnsi="Verdana"/>
          <w:iCs/>
          <w:sz w:val="16"/>
          <w:szCs w:val="16"/>
        </w:rPr>
        <w:t>na podstawie wieloletnich umów, koszty obsługi długu).</w:t>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t>3.2 Podstawa do zaciągania zobowiązań wieloletnich</w:t>
      </w:r>
    </w:p>
    <w:p w:rsidR="00CA374E" w:rsidRPr="000A6485" w:rsidRDefault="00CA374E" w:rsidP="00CA374E">
      <w:pPr>
        <w:spacing w:before="120" w:after="120"/>
        <w:ind w:firstLine="539"/>
        <w:jc w:val="both"/>
        <w:rPr>
          <w:rFonts w:ascii="Verdana" w:hAnsi="Verdana"/>
          <w:iCs/>
          <w:sz w:val="16"/>
          <w:szCs w:val="16"/>
        </w:rPr>
      </w:pPr>
      <w:r w:rsidRPr="000A6485">
        <w:rPr>
          <w:rFonts w:ascii="Verdana" w:hAnsi="Verdana"/>
          <w:iCs/>
          <w:sz w:val="16"/>
          <w:szCs w:val="16"/>
        </w:rPr>
        <w:t xml:space="preserve">WPF wytycza długookresowe ramy finansowe działalności m.st. Warszawy ustalając m.in. możliwości finansowania nowych zadań, dając podstawę do zaciągania długoterminowych zobowiązań. WPF umożliwia dokonywanie weryfikacji możliwości sfinansowania długoterminowych przedsięwzięć. Parametry budżetowe ujęte w WPF stanowią podstawę projektowania kolejnych rocznych budżetów. Prognozowana dostępność środków </w:t>
      </w:r>
      <w:r w:rsidRPr="000A6485">
        <w:rPr>
          <w:rFonts w:ascii="Verdana" w:hAnsi="Verdana"/>
          <w:iCs/>
          <w:sz w:val="16"/>
          <w:szCs w:val="16"/>
        </w:rPr>
        <w:br/>
        <w:t xml:space="preserve">w planach finansowych dysponentów jest przesłanką do określenia pułapu nowo zaciąganych zobowiązań wieloletnich, zapewniając zachowanie bezpieczeństwa budżetowego. W efekcie zgodnie z ustawą </w:t>
      </w:r>
      <w:r w:rsidRPr="000A6485">
        <w:rPr>
          <w:rFonts w:ascii="Verdana" w:hAnsi="Verdana"/>
          <w:iCs/>
          <w:sz w:val="16"/>
          <w:szCs w:val="16"/>
        </w:rPr>
        <w:br/>
        <w:t xml:space="preserve">o finansach publicznych uchwała w sprawie WPF zawiera upoważnienie dla Prezydenta Miasta do zaciągania zobowiązań związanych z realizacją zamieszczonych w niej przedsięwzięć. </w:t>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t>3.3 Wypełnienie zapisów ustawowych</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t xml:space="preserve">Zgodnie z ustawą o finansach publicznych WPF obejmuje okres roku budżetowego oraz co najmniej trzech kolejnych lat. Okres objęty WPF nie może być krótszy niż okres, na który przyjęto limity wydatków </w:t>
      </w:r>
      <w:r w:rsidRPr="000A6485">
        <w:rPr>
          <w:rFonts w:ascii="Verdana" w:hAnsi="Verdana"/>
          <w:sz w:val="16"/>
          <w:szCs w:val="16"/>
        </w:rPr>
        <w:br/>
        <w:t>na tzw. przedsięwzięcia. W warunkach m.st. Warszawy horyzont czasowy WPF wyznaczają planowane zobowiązania z tytułu obsługi przewidywanych do zaciągnięcia zobowiązań dłużnych.</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sz w:val="16"/>
          <w:szCs w:val="16"/>
        </w:rPr>
        <w:t>Na podstawie delegacji zawartej w art. 230b ustawy</w:t>
      </w:r>
      <w:r>
        <w:rPr>
          <w:rFonts w:ascii="Verdana" w:hAnsi="Verdana"/>
          <w:sz w:val="16"/>
          <w:szCs w:val="16"/>
        </w:rPr>
        <w:t xml:space="preserve"> o finansach publicznych</w:t>
      </w:r>
      <w:r w:rsidRPr="000A6485">
        <w:rPr>
          <w:rFonts w:ascii="Verdana" w:hAnsi="Verdana"/>
          <w:sz w:val="16"/>
          <w:szCs w:val="16"/>
        </w:rPr>
        <w:t xml:space="preserve"> Minister Finansów w dniu </w:t>
      </w:r>
      <w:r>
        <w:rPr>
          <w:rFonts w:ascii="Verdana" w:hAnsi="Verdana"/>
          <w:sz w:val="16"/>
          <w:szCs w:val="16"/>
        </w:rPr>
        <w:br/>
      </w:r>
      <w:r w:rsidRPr="000A6485">
        <w:rPr>
          <w:rFonts w:ascii="Verdana" w:hAnsi="Verdana"/>
          <w:sz w:val="16"/>
          <w:szCs w:val="16"/>
        </w:rPr>
        <w:t xml:space="preserve">10 stycznia 2013 r. wydał rozporządzenie </w:t>
      </w:r>
      <w:r w:rsidRPr="00494813">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 Rozporządzeniu określono m.in. wzór wieloletniej prognozy finansowej jednostki samorządu terytorialnego (załącznik nr 1) oraz wzór wykazu przedsięwzięć wieloletnich (załącznik </w:t>
      </w:r>
      <w:r>
        <w:rPr>
          <w:rFonts w:ascii="Verdana" w:hAnsi="Verdana"/>
          <w:sz w:val="16"/>
          <w:szCs w:val="16"/>
        </w:rPr>
        <w:br/>
      </w:r>
      <w:r w:rsidRPr="000A6485">
        <w:rPr>
          <w:rFonts w:ascii="Verdana" w:hAnsi="Verdana"/>
          <w:sz w:val="16"/>
          <w:szCs w:val="16"/>
        </w:rPr>
        <w:t xml:space="preserve">nr 2). WPF </w:t>
      </w:r>
      <w:r w:rsidRPr="008F3935">
        <w:rPr>
          <w:rFonts w:ascii="Verdana" w:eastAsiaTheme="minorEastAsia" w:hAnsi="Verdana" w:cs="Verdana"/>
          <w:color w:val="000000"/>
          <w:sz w:val="16"/>
          <w:szCs w:val="16"/>
        </w:rPr>
        <w:t>2024</w:t>
      </w:r>
      <w:r w:rsidRPr="000A6485">
        <w:rPr>
          <w:rFonts w:ascii="Verdana" w:hAnsi="Verdana"/>
          <w:sz w:val="16"/>
          <w:szCs w:val="16"/>
        </w:rPr>
        <w:t>-2050 ujmuje</w:t>
      </w:r>
      <w:r>
        <w:rPr>
          <w:rFonts w:ascii="Verdana" w:hAnsi="Verdana"/>
          <w:sz w:val="16"/>
          <w:szCs w:val="16"/>
        </w:rPr>
        <w:t>,</w:t>
      </w:r>
      <w:r w:rsidRPr="000A6485">
        <w:rPr>
          <w:rFonts w:ascii="Verdana" w:hAnsi="Verdana"/>
          <w:sz w:val="16"/>
          <w:szCs w:val="16"/>
        </w:rPr>
        <w:t xml:space="preserve"> zgodnie z właściwymi przepisami</w:t>
      </w:r>
      <w:r>
        <w:rPr>
          <w:rFonts w:ascii="Verdana" w:hAnsi="Verdana"/>
          <w:sz w:val="16"/>
          <w:szCs w:val="16"/>
        </w:rPr>
        <w:t>,</w:t>
      </w:r>
      <w:r w:rsidRPr="000A6485">
        <w:rPr>
          <w:rFonts w:ascii="Verdana" w:hAnsi="Verdana"/>
          <w:sz w:val="16"/>
          <w:szCs w:val="16"/>
        </w:rPr>
        <w:t xml:space="preserve"> dochody i wydatki z zakresu finansowania programów, projektów lub zadań z udziałem środków unijnych. Uwzględnia informacje odnoszące się do długu </w:t>
      </w:r>
      <w:r>
        <w:rPr>
          <w:rFonts w:ascii="Verdana" w:hAnsi="Verdana"/>
          <w:sz w:val="16"/>
          <w:szCs w:val="16"/>
        </w:rPr>
        <w:t>jednostki samorządu terytorialnego</w:t>
      </w:r>
      <w:r w:rsidRPr="000A6485">
        <w:rPr>
          <w:rFonts w:ascii="Verdana" w:hAnsi="Verdana"/>
          <w:sz w:val="16"/>
          <w:szCs w:val="16"/>
        </w:rPr>
        <w:t xml:space="preserve"> i jego spłat. Zawiera informacje o stopniu wypełnienia relacji określonych </w:t>
      </w:r>
      <w:r>
        <w:rPr>
          <w:rFonts w:ascii="Verdana" w:hAnsi="Verdana"/>
          <w:sz w:val="16"/>
          <w:szCs w:val="16"/>
        </w:rPr>
        <w:br/>
      </w:r>
      <w:r w:rsidRPr="000A6485">
        <w:rPr>
          <w:rFonts w:ascii="Verdana" w:hAnsi="Verdana"/>
          <w:sz w:val="16"/>
          <w:szCs w:val="16"/>
        </w:rPr>
        <w:t xml:space="preserve">w art. 242-243 ustawy o finansach publicznych (reguła dopuszczalnego poziomu wydatków bieżących i reguła indywidualnego limitu obsługi długu). W wykazie przedsięwzięć wieloletnich ujęte </w:t>
      </w:r>
      <w:r w:rsidRPr="00576682">
        <w:rPr>
          <w:rFonts w:ascii="Verdana" w:hAnsi="Verdana"/>
          <w:sz w:val="16"/>
          <w:szCs w:val="16"/>
        </w:rPr>
        <w:t xml:space="preserve">zostały przedsięwzięcia dotyczące programów, projektów lub zadań realizowanych z udziałem środków unijnych oraz związane </w:t>
      </w:r>
      <w:r>
        <w:rPr>
          <w:rFonts w:ascii="Verdana" w:hAnsi="Verdana"/>
          <w:sz w:val="16"/>
          <w:szCs w:val="16"/>
        </w:rPr>
        <w:br/>
      </w:r>
      <w:r w:rsidRPr="00576682">
        <w:rPr>
          <w:rFonts w:ascii="Verdana" w:hAnsi="Verdana"/>
          <w:sz w:val="16"/>
          <w:szCs w:val="16"/>
        </w:rPr>
        <w:t>z umowami partnerstwa publiczno-prywatnego</w:t>
      </w:r>
      <w:r>
        <w:rPr>
          <w:rFonts w:ascii="Verdana" w:hAnsi="Verdana"/>
          <w:sz w:val="16"/>
          <w:szCs w:val="16"/>
        </w:rPr>
        <w:t>.</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t xml:space="preserve">Wartości przyjęte w WPF powinny być zgodne z budżetem co najmniej w zakresie wyniku budżetu </w:t>
      </w:r>
      <w:r w:rsidRPr="000A6485">
        <w:rPr>
          <w:rFonts w:ascii="Verdana" w:hAnsi="Verdana"/>
          <w:sz w:val="16"/>
          <w:szCs w:val="16"/>
        </w:rPr>
        <w:br/>
        <w:t xml:space="preserve">i związanych z nim kwot przychodów i rozchodów oraz długu. W WPF </w:t>
      </w:r>
      <w:r w:rsidRPr="008F3935">
        <w:rPr>
          <w:rFonts w:ascii="Verdana" w:eastAsiaTheme="minorEastAsia" w:hAnsi="Verdana" w:cs="Verdana"/>
          <w:color w:val="000000"/>
          <w:sz w:val="16"/>
          <w:szCs w:val="16"/>
        </w:rPr>
        <w:t>2024</w:t>
      </w:r>
      <w:r w:rsidRPr="000A6485">
        <w:rPr>
          <w:rFonts w:ascii="Verdana" w:hAnsi="Verdana"/>
          <w:sz w:val="16"/>
          <w:szCs w:val="16"/>
        </w:rPr>
        <w:t>-2050 zapewniona została pełna zgodność z</w:t>
      </w:r>
      <w:r>
        <w:rPr>
          <w:rFonts w:ascii="Verdana" w:hAnsi="Verdana"/>
          <w:sz w:val="16"/>
          <w:szCs w:val="16"/>
        </w:rPr>
        <w:t xml:space="preserve"> budżetem</w:t>
      </w:r>
      <w:r w:rsidRPr="000A6485">
        <w:rPr>
          <w:rFonts w:ascii="Verdana" w:hAnsi="Verdana"/>
          <w:sz w:val="16"/>
          <w:szCs w:val="16"/>
        </w:rPr>
        <w:t xml:space="preserve"> </w:t>
      </w:r>
      <w:r>
        <w:rPr>
          <w:rFonts w:ascii="Verdana" w:hAnsi="Verdana"/>
          <w:sz w:val="16"/>
          <w:szCs w:val="16"/>
        </w:rPr>
        <w:t xml:space="preserve">m.st. Warszawy na </w:t>
      </w:r>
      <w:r w:rsidRPr="008F3935">
        <w:rPr>
          <w:rFonts w:ascii="Verdana" w:eastAsiaTheme="minorEastAsia" w:hAnsi="Verdana" w:cs="Verdana"/>
          <w:color w:val="000000"/>
          <w:sz w:val="16"/>
          <w:szCs w:val="16"/>
        </w:rPr>
        <w:t>2024</w:t>
      </w:r>
      <w:r w:rsidRPr="000A6485">
        <w:rPr>
          <w:rFonts w:ascii="Verdana" w:hAnsi="Verdana"/>
          <w:sz w:val="16"/>
          <w:szCs w:val="16"/>
        </w:rPr>
        <w:t xml:space="preserve"> r.</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lastRenderedPageBreak/>
        <w:t xml:space="preserve">Projekt uchwały w sprawie WPF wraz z projektem uchwały budżetowej Prezydent Miasta przedstawia </w:t>
      </w:r>
      <w:r w:rsidRPr="000A6485">
        <w:rPr>
          <w:rFonts w:ascii="Verdana" w:hAnsi="Verdana"/>
          <w:sz w:val="16"/>
          <w:szCs w:val="16"/>
        </w:rPr>
        <w:br/>
        <w:t>w terminie do 15 listopada Radzie Miasta oraz Regionalnej Izbie Obrachunkowej celem zaopiniowania.</w:t>
      </w:r>
    </w:p>
    <w:p w:rsidR="00CA374E" w:rsidRPr="000A6485" w:rsidRDefault="00CA374E" w:rsidP="00CA374E">
      <w:pPr>
        <w:spacing w:before="60" w:after="60"/>
        <w:ind w:firstLine="540"/>
        <w:jc w:val="both"/>
        <w:rPr>
          <w:rFonts w:ascii="Verdana" w:hAnsi="Verdana"/>
          <w:b/>
          <w:bCs/>
          <w:sz w:val="16"/>
          <w:szCs w:val="16"/>
        </w:rPr>
      </w:pPr>
      <w:r w:rsidRPr="000A6485">
        <w:rPr>
          <w:rFonts w:ascii="Verdana" w:hAnsi="Verdana"/>
          <w:sz w:val="16"/>
          <w:szCs w:val="16"/>
        </w:rPr>
        <w:t>Rada Miasta uchwala WPF przed uchwaleniem budżetu, w terminie do 31 grudnia roku, w szczególnych przypadkach nie później niż do 31 stycznia roku budżetowego.</w:t>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t>3.4 Spełnienie zasady jawności i przejrzystości finansów publicznych</w:t>
      </w:r>
    </w:p>
    <w:p w:rsidR="00CA374E" w:rsidRPr="000A6485" w:rsidRDefault="00CA374E" w:rsidP="00CA374E">
      <w:pPr>
        <w:spacing w:before="60" w:after="60"/>
        <w:ind w:firstLine="539"/>
        <w:jc w:val="both"/>
        <w:rPr>
          <w:rFonts w:ascii="Verdana" w:hAnsi="Verdana" w:cs="Arial"/>
          <w:iCs/>
          <w:sz w:val="16"/>
          <w:szCs w:val="16"/>
        </w:rPr>
      </w:pPr>
      <w:r w:rsidRPr="000A6485">
        <w:rPr>
          <w:rFonts w:ascii="Verdana" w:hAnsi="Verdana"/>
          <w:sz w:val="16"/>
          <w:szCs w:val="16"/>
        </w:rPr>
        <w:t xml:space="preserve">Zgodnie z art. 33 ustawy </w:t>
      </w:r>
      <w:r w:rsidRPr="000A6485">
        <w:rPr>
          <w:rFonts w:ascii="Verdana" w:hAnsi="Verdana" w:cs="Arial"/>
          <w:iCs/>
          <w:sz w:val="16"/>
          <w:szCs w:val="16"/>
        </w:rPr>
        <w:t xml:space="preserve">o finansach publicznych gospodarka środkami publicznymi jest jawna. </w:t>
      </w:r>
      <w:r w:rsidRPr="000A6485">
        <w:rPr>
          <w:rFonts w:ascii="Verdana" w:hAnsi="Verdana" w:cs="Arial"/>
          <w:iCs/>
          <w:sz w:val="16"/>
          <w:szCs w:val="16"/>
        </w:rPr>
        <w:br/>
        <w:t>W praktyce oznacza to dostęp mieszkańców do informacji o działalności finansowej jednostki samorządu terytorialnego.</w:t>
      </w:r>
    </w:p>
    <w:p w:rsidR="00CA374E" w:rsidRPr="000A6485" w:rsidRDefault="00CA374E" w:rsidP="00CA374E">
      <w:pPr>
        <w:spacing w:before="60" w:after="60"/>
        <w:ind w:firstLine="539"/>
        <w:jc w:val="both"/>
        <w:rPr>
          <w:rFonts w:ascii="Verdana" w:hAnsi="Verdana" w:cs="Arial"/>
          <w:iCs/>
          <w:sz w:val="16"/>
          <w:szCs w:val="16"/>
        </w:rPr>
      </w:pPr>
      <w:r w:rsidRPr="000A6485">
        <w:rPr>
          <w:rFonts w:ascii="Verdana" w:hAnsi="Verdana" w:cs="Arial"/>
          <w:iCs/>
          <w:sz w:val="16"/>
          <w:szCs w:val="16"/>
        </w:rPr>
        <w:t xml:space="preserve">Jasne i przejrzyste zasady zarządzania finansami mają istotne znaczenie m.in. dla pozyskiwania zewnętrznego finansowania działalności m.st. Warszawy. Przejrzyste finanse wzmacniają wiarygodność kredytową Miasta i wpływają pozytywnie na oceny ratingowe.  </w:t>
      </w:r>
    </w:p>
    <w:p w:rsidR="00CA374E" w:rsidRPr="000A6485" w:rsidRDefault="00CA374E" w:rsidP="00CA374E">
      <w:pPr>
        <w:spacing w:before="60" w:after="60"/>
        <w:ind w:firstLine="539"/>
        <w:jc w:val="both"/>
        <w:rPr>
          <w:rFonts w:ascii="Verdana" w:hAnsi="Verdana" w:cs="Arial"/>
          <w:iCs/>
          <w:sz w:val="16"/>
          <w:szCs w:val="16"/>
        </w:rPr>
      </w:pPr>
      <w:r w:rsidRPr="000A6485">
        <w:rPr>
          <w:rFonts w:ascii="Verdana" w:hAnsi="Verdana" w:cs="Arial"/>
          <w:iCs/>
          <w:sz w:val="16"/>
          <w:szCs w:val="16"/>
        </w:rPr>
        <w:t>Zarówno zakres,</w:t>
      </w:r>
      <w:r>
        <w:rPr>
          <w:rFonts w:ascii="Verdana" w:hAnsi="Verdana" w:cs="Arial"/>
          <w:iCs/>
          <w:sz w:val="16"/>
          <w:szCs w:val="16"/>
        </w:rPr>
        <w:t xml:space="preserve"> jak i forma prezentacji </w:t>
      </w:r>
      <w:r w:rsidRPr="000A6485">
        <w:rPr>
          <w:rFonts w:ascii="Verdana" w:hAnsi="Verdana"/>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sz w:val="16"/>
          <w:szCs w:val="16"/>
        </w:rPr>
        <w:t xml:space="preserve">-2050 </w:t>
      </w:r>
      <w:r w:rsidRPr="000A6485">
        <w:rPr>
          <w:rFonts w:ascii="Verdana" w:hAnsi="Verdana" w:cs="Arial"/>
          <w:iCs/>
          <w:sz w:val="16"/>
          <w:szCs w:val="16"/>
        </w:rPr>
        <w:t xml:space="preserve">wypełniają standardy w obszarze jawności </w:t>
      </w:r>
      <w:r>
        <w:rPr>
          <w:rFonts w:ascii="Verdana" w:hAnsi="Verdana" w:cs="Arial"/>
          <w:iCs/>
          <w:sz w:val="16"/>
          <w:szCs w:val="16"/>
        </w:rPr>
        <w:br/>
      </w:r>
      <w:r w:rsidRPr="000A6485">
        <w:rPr>
          <w:rFonts w:ascii="Verdana" w:hAnsi="Verdana" w:cs="Arial"/>
          <w:iCs/>
          <w:sz w:val="16"/>
          <w:szCs w:val="16"/>
        </w:rPr>
        <w:t>i przejrzystości finansów m.st. Warszawy, zwłaszcza poprzez nakreślenie szczegółowej pespektywy finansowej Miasta w horyzoncie przekraczającym rok budżetowy.</w:t>
      </w:r>
    </w:p>
    <w:p w:rsidR="00CA374E" w:rsidRPr="000A6485" w:rsidRDefault="00CA374E" w:rsidP="00CA374E">
      <w:pPr>
        <w:spacing w:before="240" w:after="120" w:line="240" w:lineRule="auto"/>
        <w:ind w:left="284" w:hanging="284"/>
        <w:rPr>
          <w:rFonts w:ascii="Verdana" w:hAnsi="Verdana"/>
          <w:b/>
          <w:bCs/>
          <w:sz w:val="22"/>
          <w:szCs w:val="22"/>
        </w:rPr>
      </w:pPr>
      <w:r w:rsidRPr="000A6485">
        <w:rPr>
          <w:rFonts w:ascii="Verdana" w:hAnsi="Verdana"/>
          <w:b/>
          <w:bCs/>
          <w:sz w:val="22"/>
          <w:szCs w:val="22"/>
        </w:rPr>
        <w:t xml:space="preserve">4. Uwarunkowania prawno-budżetowe Wieloletniej Prognozy Finansowej  </w:t>
      </w:r>
      <w:r w:rsidRPr="000A6485">
        <w:rPr>
          <w:rFonts w:ascii="Verdana" w:hAnsi="Verdana"/>
          <w:b/>
          <w:bCs/>
          <w:sz w:val="22"/>
          <w:szCs w:val="22"/>
        </w:rPr>
        <w:br/>
        <w:t xml:space="preserve"> m.st. Warszawy</w:t>
      </w:r>
    </w:p>
    <w:p w:rsidR="00CA374E" w:rsidRPr="000A6485" w:rsidRDefault="00CA374E" w:rsidP="00CA374E">
      <w:pPr>
        <w:spacing w:before="240" w:after="240" w:line="240" w:lineRule="auto"/>
        <w:ind w:left="567" w:hanging="567"/>
        <w:rPr>
          <w:rFonts w:ascii="Verdana" w:hAnsi="Verdana"/>
          <w:b/>
          <w:bCs/>
          <w:sz w:val="20"/>
          <w:szCs w:val="20"/>
        </w:rPr>
      </w:pPr>
      <w:r w:rsidRPr="000A6485">
        <w:rPr>
          <w:rFonts w:ascii="Verdana" w:hAnsi="Verdana"/>
          <w:b/>
          <w:bCs/>
          <w:sz w:val="20"/>
          <w:szCs w:val="20"/>
        </w:rPr>
        <w:t>4.1 Unormowania ustawy o finansach publicznych</w:t>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t>4.1.1 Reguła wydatkowa w zakresie wydatków bieżących</w:t>
      </w:r>
    </w:p>
    <w:p w:rsidR="00CA374E" w:rsidRPr="0085401F" w:rsidRDefault="00CA374E" w:rsidP="00CA374E">
      <w:pPr>
        <w:pStyle w:val="Akapitzlist"/>
        <w:numPr>
          <w:ilvl w:val="0"/>
          <w:numId w:val="51"/>
        </w:numPr>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Podstawowe założenia reguły</w:t>
      </w:r>
    </w:p>
    <w:p w:rsidR="00CA374E" w:rsidRPr="000A6485" w:rsidRDefault="00CA374E" w:rsidP="00CA374E">
      <w:pPr>
        <w:spacing w:before="120" w:after="120"/>
        <w:jc w:val="both"/>
        <w:rPr>
          <w:rFonts w:ascii="Verdana" w:hAnsi="Verdana"/>
          <w:sz w:val="16"/>
          <w:szCs w:val="16"/>
        </w:rPr>
      </w:pPr>
      <w:r>
        <w:rPr>
          <w:rFonts w:ascii="Verdana" w:hAnsi="Verdana" w:cs="Arial"/>
          <w:sz w:val="16"/>
          <w:szCs w:val="16"/>
        </w:rPr>
        <w:t>U</w:t>
      </w:r>
      <w:r w:rsidRPr="00011AAA">
        <w:rPr>
          <w:rFonts w:ascii="Verdana" w:hAnsi="Verdana"/>
          <w:sz w:val="16"/>
          <w:szCs w:val="16"/>
        </w:rPr>
        <w:t xml:space="preserve">stawa o finansach publicznych w art. 242 </w:t>
      </w:r>
      <w:r>
        <w:rPr>
          <w:rFonts w:ascii="Verdana" w:hAnsi="Verdana"/>
          <w:sz w:val="16"/>
          <w:szCs w:val="16"/>
        </w:rPr>
        <w:t>reguluje</w:t>
      </w:r>
      <w:r w:rsidRPr="00011AAA">
        <w:rPr>
          <w:rFonts w:ascii="Verdana" w:hAnsi="Verdana"/>
          <w:sz w:val="16"/>
          <w:szCs w:val="16"/>
        </w:rPr>
        <w:t xml:space="preserve">, że </w:t>
      </w:r>
      <w:r w:rsidRPr="00011AAA">
        <w:rPr>
          <w:rFonts w:ascii="Verdana" w:hAnsi="Verdana"/>
          <w:b/>
          <w:sz w:val="16"/>
          <w:szCs w:val="16"/>
        </w:rPr>
        <w:t xml:space="preserve">jednostka samorządu terytorialnego nie może planować </w:t>
      </w:r>
      <w:r>
        <w:rPr>
          <w:rFonts w:ascii="Verdana" w:hAnsi="Verdana"/>
          <w:b/>
          <w:sz w:val="16"/>
          <w:szCs w:val="16"/>
        </w:rPr>
        <w:t xml:space="preserve">i zrealizować </w:t>
      </w:r>
      <w:r w:rsidRPr="00011AAA">
        <w:rPr>
          <w:rFonts w:ascii="Verdana" w:hAnsi="Verdana"/>
          <w:b/>
          <w:sz w:val="16"/>
          <w:szCs w:val="16"/>
        </w:rPr>
        <w:t>większych wydatków bieżących niż dochody bieżące</w:t>
      </w:r>
      <w:r w:rsidRPr="00011AAA">
        <w:rPr>
          <w:rFonts w:ascii="Verdana" w:hAnsi="Verdana"/>
          <w:sz w:val="16"/>
          <w:szCs w:val="16"/>
        </w:rPr>
        <w:t xml:space="preserve"> </w:t>
      </w:r>
      <w:r w:rsidRPr="00864F97">
        <w:rPr>
          <w:rFonts w:ascii="Verdana" w:hAnsi="Verdana"/>
          <w:b/>
          <w:sz w:val="16"/>
          <w:szCs w:val="16"/>
        </w:rPr>
        <w:t xml:space="preserve">powiększone </w:t>
      </w:r>
      <w:r>
        <w:rPr>
          <w:rFonts w:ascii="Verdana" w:hAnsi="Verdana"/>
          <w:b/>
          <w:sz w:val="16"/>
          <w:szCs w:val="16"/>
        </w:rPr>
        <w:br/>
      </w:r>
      <w:r w:rsidRPr="00864F97">
        <w:rPr>
          <w:rFonts w:ascii="Verdana" w:hAnsi="Verdana"/>
          <w:b/>
          <w:sz w:val="16"/>
          <w:szCs w:val="16"/>
        </w:rPr>
        <w:t>o nadwyżkę</w:t>
      </w:r>
      <w:r w:rsidRPr="00011AAA">
        <w:rPr>
          <w:rFonts w:ascii="Verdana" w:hAnsi="Verdana"/>
          <w:b/>
          <w:sz w:val="16"/>
          <w:szCs w:val="16"/>
        </w:rPr>
        <w:t xml:space="preserve"> budżetową z lat ubiegłych</w:t>
      </w:r>
      <w:r>
        <w:rPr>
          <w:rFonts w:ascii="Verdana" w:hAnsi="Verdana"/>
          <w:sz w:val="16"/>
          <w:szCs w:val="16"/>
        </w:rPr>
        <w:t xml:space="preserve"> </w:t>
      </w:r>
      <w:r w:rsidRPr="00864F97">
        <w:rPr>
          <w:rFonts w:ascii="Verdana" w:hAnsi="Verdana"/>
          <w:b/>
          <w:sz w:val="16"/>
          <w:szCs w:val="16"/>
        </w:rPr>
        <w:t xml:space="preserve">oraz </w:t>
      </w:r>
      <w:r w:rsidRPr="00DE76F4">
        <w:rPr>
          <w:rFonts w:ascii="Verdana" w:hAnsi="Verdana"/>
          <w:b/>
          <w:sz w:val="16"/>
          <w:szCs w:val="16"/>
        </w:rPr>
        <w:t>spłaty udzielonych pożyczek w latach ubiegłych</w:t>
      </w:r>
      <w:r>
        <w:rPr>
          <w:rFonts w:ascii="Verdana" w:hAnsi="Verdana"/>
          <w:b/>
          <w:sz w:val="16"/>
          <w:szCs w:val="16"/>
        </w:rPr>
        <w:t xml:space="preserve"> i</w:t>
      </w:r>
      <w:r w:rsidRPr="00777B22">
        <w:rPr>
          <w:rFonts w:ascii="Verdana" w:hAnsi="Verdana"/>
          <w:b/>
          <w:sz w:val="16"/>
          <w:szCs w:val="16"/>
        </w:rPr>
        <w:t xml:space="preserve"> środki pochodzące z lokat</w:t>
      </w:r>
      <w:r w:rsidRPr="00864F97">
        <w:rPr>
          <w:rFonts w:ascii="Verdana" w:hAnsi="Verdana"/>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B00822">
        <w:rPr>
          <w:rFonts w:ascii="Verdana" w:hAnsi="Verdana" w:cs="Verdana"/>
          <w:b/>
          <w:color w:val="000000"/>
          <w:sz w:val="16"/>
          <w:szCs w:val="16"/>
        </w:rPr>
        <w:t xml:space="preserve">miany wprowadzone w 2021 r. w związku </w:t>
      </w:r>
      <w:r>
        <w:rPr>
          <w:rFonts w:ascii="Verdana" w:hAnsi="Verdana" w:cs="Verdana"/>
          <w:b/>
          <w:color w:val="000000"/>
          <w:sz w:val="16"/>
          <w:szCs w:val="16"/>
        </w:rPr>
        <w:br/>
      </w:r>
      <w:r w:rsidRPr="00B00822">
        <w:rPr>
          <w:rFonts w:ascii="Verdana" w:hAnsi="Verdana" w:cs="Verdana"/>
          <w:b/>
          <w:color w:val="000000"/>
          <w:sz w:val="16"/>
          <w:szCs w:val="16"/>
        </w:rPr>
        <w:t>z pakietem rozwiązań legislacyjnych wchodzących w skład tzw. Programu Polski Ład</w:t>
      </w:r>
    </w:p>
    <w:p w:rsidR="00CA374E" w:rsidRDefault="00CA374E" w:rsidP="00CA374E">
      <w:pPr>
        <w:spacing w:before="120" w:after="120"/>
        <w:jc w:val="both"/>
        <w:rPr>
          <w:rFonts w:ascii="Verdana" w:hAnsi="Verdana"/>
          <w:iCs/>
          <w:sz w:val="16"/>
          <w:szCs w:val="16"/>
        </w:rPr>
      </w:pPr>
      <w:r>
        <w:rPr>
          <w:rFonts w:ascii="Verdana" w:hAnsi="Verdana" w:cs="Arial"/>
          <w:sz w:val="16"/>
          <w:szCs w:val="16"/>
        </w:rPr>
        <w:t>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i 2427</w:t>
      </w:r>
      <w:r w:rsidRPr="00E7313D">
        <w:rPr>
          <w:rFonts w:ascii="Verdana" w:hAnsi="Verdana" w:cs="Arial"/>
          <w:sz w:val="16"/>
          <w:szCs w:val="16"/>
        </w:rPr>
        <w:t>)</w:t>
      </w:r>
      <w:r>
        <w:rPr>
          <w:rFonts w:ascii="Verdana" w:hAnsi="Verdana" w:cs="Arial"/>
          <w:sz w:val="16"/>
          <w:szCs w:val="16"/>
        </w:rPr>
        <w:t xml:space="preserve"> </w:t>
      </w:r>
      <w:r w:rsidRPr="00401A00">
        <w:rPr>
          <w:rFonts w:ascii="Verdana" w:hAnsi="Verdana" w:cs="Arial"/>
          <w:sz w:val="16"/>
          <w:szCs w:val="16"/>
        </w:rPr>
        <w:t>l</w:t>
      </w:r>
      <w:r w:rsidRPr="00401A00">
        <w:rPr>
          <w:rFonts w:ascii="Verdana" w:hAnsi="Verdana"/>
          <w:iCs/>
          <w:sz w:val="16"/>
          <w:szCs w:val="16"/>
        </w:rPr>
        <w:t xml:space="preserve">imit wydatków bieżących w 2022 r., </w:t>
      </w:r>
      <w:r>
        <w:rPr>
          <w:rFonts w:ascii="Verdana" w:hAnsi="Verdana"/>
          <w:iCs/>
          <w:sz w:val="16"/>
          <w:szCs w:val="16"/>
        </w:rPr>
        <w:br/>
      </w:r>
      <w:r w:rsidRPr="00401A00">
        <w:rPr>
          <w:rFonts w:ascii="Verdana" w:hAnsi="Verdana"/>
          <w:iCs/>
          <w:sz w:val="16"/>
          <w:szCs w:val="16"/>
        </w:rPr>
        <w:t>co do zasady wyznaczany poziomem dochodów bieżących,</w:t>
      </w:r>
      <w:r w:rsidRPr="00016858">
        <w:rPr>
          <w:rFonts w:ascii="Verdana" w:hAnsi="Verdana"/>
          <w:b/>
          <w:iCs/>
          <w:sz w:val="16"/>
          <w:szCs w:val="16"/>
        </w:rPr>
        <w:t xml:space="preserve"> </w:t>
      </w:r>
      <w:r>
        <w:rPr>
          <w:rFonts w:ascii="Verdana" w:hAnsi="Verdana"/>
          <w:b/>
          <w:iCs/>
          <w:sz w:val="16"/>
          <w:szCs w:val="16"/>
        </w:rPr>
        <w:t>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co oznacza że niespełnienie reguły w danym roku lub latach musi zostać co najmniej skompensowane nadwyżkami wygenerowanymi w pozostałym okresie rozliczeniowym obejmującym lata 2022-2025.</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Następne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 </w:t>
      </w:r>
      <w:r>
        <w:rPr>
          <w:rFonts w:ascii="Verdana" w:hAnsi="Verdana" w:cs="Verdana"/>
          <w:b/>
          <w:color w:val="000000"/>
          <w:sz w:val="16"/>
          <w:szCs w:val="16"/>
        </w:rPr>
        <w:t xml:space="preserve">marcu </w:t>
      </w:r>
      <w:r w:rsidRPr="00B00822">
        <w:rPr>
          <w:rFonts w:ascii="Verdana" w:hAnsi="Verdana" w:cs="Verdana"/>
          <w:b/>
          <w:color w:val="000000"/>
          <w:sz w:val="16"/>
          <w:szCs w:val="16"/>
        </w:rPr>
        <w:t xml:space="preserve">2022 r. w związku </w:t>
      </w:r>
      <w:r>
        <w:rPr>
          <w:rFonts w:ascii="Verdana" w:hAnsi="Verdana" w:cs="Verdana"/>
          <w:b/>
          <w:color w:val="000000"/>
          <w:sz w:val="16"/>
          <w:szCs w:val="16"/>
        </w:rPr>
        <w:br/>
      </w:r>
      <w:r w:rsidRPr="00B00822">
        <w:rPr>
          <w:rFonts w:ascii="Verdana" w:hAnsi="Verdana" w:cs="Verdana"/>
          <w:b/>
          <w:color w:val="000000"/>
          <w:sz w:val="16"/>
          <w:szCs w:val="16"/>
        </w:rPr>
        <w:t>z konfliktem zbrojnym na terytorium Ukrainy</w:t>
      </w:r>
    </w:p>
    <w:p w:rsidR="00CA374E" w:rsidRPr="00891B2D" w:rsidRDefault="00CA374E" w:rsidP="00CA374E">
      <w:pPr>
        <w:spacing w:before="120" w:after="60"/>
        <w:jc w:val="both"/>
        <w:rPr>
          <w:rFonts w:ascii="Verdana" w:hAnsi="Verdana" w:cs="Arial"/>
          <w:sz w:val="16"/>
          <w:szCs w:val="16"/>
        </w:rPr>
      </w:pPr>
      <w:r>
        <w:rPr>
          <w:rFonts w:ascii="Verdana" w:hAnsi="Verdana" w:cs="Arial"/>
          <w:sz w:val="16"/>
          <w:szCs w:val="16"/>
        </w:rPr>
        <w:t>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 xml:space="preserve">wydatki bieżące pomniejsza się o wydatki bieżące ponoszone w celu realizacji zadań związanych z pomocą obywatelom Ukrainy w związku z konfliktem zbrojnym </w:t>
      </w:r>
      <w:r w:rsidRPr="00891B2D">
        <w:rPr>
          <w:rFonts w:ascii="Verdana" w:hAnsi="Verdana" w:cs="Arial"/>
          <w:b/>
          <w:sz w:val="16"/>
          <w:szCs w:val="16"/>
        </w:rPr>
        <w:lastRenderedPageBreak/>
        <w:t>na terytorium tego państwa w części, w jakiej nie są one finansowane środkami publicznymi otrzymanymi na ten cel</w:t>
      </w:r>
      <w:r w:rsidRPr="00891B2D">
        <w:rPr>
          <w:rFonts w:ascii="Verdana" w:hAnsi="Verdana" w:cs="Arial"/>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994353">
        <w:rPr>
          <w:rFonts w:ascii="Verdana" w:hAnsi="Verdana" w:cs="Verdana"/>
          <w:b/>
          <w:color w:val="000000"/>
          <w:sz w:val="16"/>
          <w:szCs w:val="16"/>
        </w:rPr>
        <w:t xml:space="preserve">Po raz trzeci łagodzące zmiany w regule wprowadzono we wrześniu 2022 r. w związku ze skutkami zmian podatkowych wprowadzonych w ramach tzw. Programu Polski Ład oraz </w:t>
      </w:r>
      <w:r w:rsidRPr="00994353">
        <w:rPr>
          <w:rFonts w:ascii="Verdana" w:hAnsi="Verdana" w:cs="Verdana"/>
          <w:b/>
          <w:color w:val="000000"/>
          <w:sz w:val="16"/>
          <w:szCs w:val="16"/>
        </w:rPr>
        <w:br/>
        <w:t>w zw</w:t>
      </w:r>
      <w:r>
        <w:rPr>
          <w:rFonts w:ascii="Verdana" w:hAnsi="Verdana" w:cs="Verdana"/>
          <w:b/>
          <w:color w:val="000000"/>
          <w:sz w:val="16"/>
          <w:szCs w:val="16"/>
        </w:rPr>
        <w:t>iązku z kryzysem energetycznym</w:t>
      </w:r>
    </w:p>
    <w:p w:rsidR="00CA374E" w:rsidRDefault="00CA374E" w:rsidP="00CA374E">
      <w:pPr>
        <w:spacing w:before="120" w:after="120"/>
        <w:jc w:val="both"/>
        <w:rPr>
          <w:rFonts w:ascii="Verdana" w:hAnsi="Verdana"/>
          <w:iCs/>
          <w:sz w:val="16"/>
          <w:szCs w:val="16"/>
        </w:rPr>
      </w:pPr>
      <w:r>
        <w:rPr>
          <w:rFonts w:ascii="Verdana" w:hAnsi="Verdana" w:cs="Arial"/>
          <w:sz w:val="16"/>
          <w:szCs w:val="16"/>
        </w:rPr>
        <w:t>Zgodnie z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401A00">
        <w:rPr>
          <w:rFonts w:ascii="Verdana" w:hAnsi="Verdana"/>
          <w:iCs/>
          <w:sz w:val="16"/>
          <w:szCs w:val="16"/>
        </w:rPr>
        <w:t>,</w:t>
      </w:r>
      <w:r w:rsidRPr="00016858">
        <w:rPr>
          <w:rFonts w:ascii="Verdana" w:hAnsi="Verdana"/>
          <w:b/>
          <w:iCs/>
          <w:sz w:val="16"/>
          <w:szCs w:val="16"/>
        </w:rPr>
        <w:t xml:space="preserve"> </w:t>
      </w:r>
      <w:r w:rsidRPr="00401A00">
        <w:rPr>
          <w:rFonts w:ascii="Verdana" w:hAnsi="Verdana"/>
          <w:iCs/>
          <w:sz w:val="16"/>
          <w:szCs w:val="16"/>
        </w:rPr>
        <w:t xml:space="preserve">co do zasady wyznaczany poziomem dochodów bieżących, </w:t>
      </w:r>
      <w:r w:rsidRPr="00016858">
        <w:rPr>
          <w:rFonts w:ascii="Verdana" w:hAnsi="Verdana"/>
          <w:b/>
          <w:iCs/>
          <w:sz w:val="16"/>
          <w:szCs w:val="16"/>
        </w:rPr>
        <w:t>zostaje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CA374E" w:rsidRPr="0085401F" w:rsidRDefault="00CA374E" w:rsidP="00CA374E">
      <w:pPr>
        <w:pStyle w:val="Akapitzlist"/>
        <w:numPr>
          <w:ilvl w:val="0"/>
          <w:numId w:val="51"/>
        </w:numPr>
        <w:spacing w:before="240" w:after="12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Reguła obowiązująca</w:t>
      </w:r>
    </w:p>
    <w:p w:rsidR="00CA374E" w:rsidRPr="005423DD" w:rsidRDefault="00CA374E" w:rsidP="00CA374E">
      <w:pPr>
        <w:spacing w:before="60" w:after="60"/>
        <w:jc w:val="both"/>
        <w:rPr>
          <w:rFonts w:ascii="Verdana" w:hAnsi="Verdana" w:cs="Arial"/>
          <w:sz w:val="16"/>
          <w:szCs w:val="16"/>
        </w:rPr>
      </w:pPr>
      <w:r w:rsidRPr="005423DD">
        <w:rPr>
          <w:rFonts w:ascii="Verdana" w:hAnsi="Verdana" w:cs="Arial"/>
          <w:sz w:val="16"/>
          <w:szCs w:val="16"/>
        </w:rPr>
        <w:t xml:space="preserve">Z uwagi na skutki budżetowe </w:t>
      </w:r>
      <w:r w:rsidRPr="005423DD">
        <w:rPr>
          <w:rFonts w:ascii="Verdana" w:hAnsi="Verdana" w:cs="Verdana"/>
          <w:color w:val="000000"/>
          <w:sz w:val="16"/>
          <w:szCs w:val="16"/>
        </w:rPr>
        <w:t xml:space="preserve">pandemii </w:t>
      </w:r>
      <w:proofErr w:type="spellStart"/>
      <w:r w:rsidRPr="005423DD">
        <w:rPr>
          <w:rFonts w:ascii="Verdana" w:hAnsi="Verdana" w:cs="Verdana"/>
          <w:color w:val="000000"/>
          <w:sz w:val="16"/>
          <w:szCs w:val="16"/>
        </w:rPr>
        <w:t>koronawirusa</w:t>
      </w:r>
      <w:proofErr w:type="spellEnd"/>
      <w:r w:rsidRPr="005423DD">
        <w:rPr>
          <w:rFonts w:ascii="Verdana" w:hAnsi="Verdana" w:cs="Verdana"/>
          <w:color w:val="000000"/>
          <w:sz w:val="16"/>
          <w:szCs w:val="16"/>
        </w:rPr>
        <w:t xml:space="preserve"> SARS-CoV-2 wywołującego chorobę COVID-19 i </w:t>
      </w:r>
      <w:r w:rsidRPr="005423DD">
        <w:rPr>
          <w:rFonts w:ascii="Verdana" w:hAnsi="Verdana" w:cs="Arial"/>
          <w:sz w:val="16"/>
          <w:szCs w:val="16"/>
        </w:rPr>
        <w:t xml:space="preserve">zmiany </w:t>
      </w:r>
      <w:r w:rsidRPr="005423DD">
        <w:rPr>
          <w:rFonts w:ascii="Verdana" w:hAnsi="Verdana" w:cs="Arial"/>
          <w:sz w:val="16"/>
          <w:szCs w:val="16"/>
        </w:rPr>
        <w:br/>
        <w:t xml:space="preserve">w systemie dochodów jednostek samorządu terytorialnego wprowadzone w ramach programu Polski Ład oraz ze względu na pomoc udzielaną obywatelom Ukrainy finansowaną ze środków samorządowych, formuła reguły wydatkowej w zakresie wydatków bieżących została złagodzona, z tym że przepisy związane z COVID-19 obowiązywały w latach 2020-2021. </w:t>
      </w:r>
    </w:p>
    <w:p w:rsidR="00CA374E" w:rsidRPr="005423DD" w:rsidRDefault="00CA374E" w:rsidP="00CA374E">
      <w:pPr>
        <w:spacing w:before="120" w:after="120"/>
        <w:jc w:val="both"/>
        <w:rPr>
          <w:rFonts w:ascii="Verdana" w:hAnsi="Verdana"/>
          <w:iCs/>
          <w:sz w:val="16"/>
          <w:szCs w:val="16"/>
        </w:rPr>
      </w:pPr>
      <w:r w:rsidRPr="005423DD">
        <w:rPr>
          <w:rFonts w:ascii="Verdana" w:hAnsi="Verdana" w:cs="Arial"/>
          <w:b/>
          <w:sz w:val="16"/>
          <w:szCs w:val="16"/>
        </w:rPr>
        <w:t>W związku z powyższym</w:t>
      </w:r>
      <w:r w:rsidRPr="005423DD">
        <w:rPr>
          <w:rFonts w:ascii="Verdana" w:hAnsi="Verdana" w:cs="Arial"/>
          <w:sz w:val="16"/>
          <w:szCs w:val="16"/>
        </w:rPr>
        <w:t xml:space="preserve"> </w:t>
      </w:r>
      <w:r w:rsidRPr="005423DD">
        <w:rPr>
          <w:rFonts w:ascii="Verdana" w:hAnsi="Verdana"/>
          <w:b/>
          <w:sz w:val="16"/>
          <w:szCs w:val="16"/>
        </w:rPr>
        <w:t>przepisy regulujące działanie reguły określone w art. 242 ustawy o finansach publicznych zos</w:t>
      </w:r>
      <w:r>
        <w:rPr>
          <w:rFonts w:ascii="Verdana" w:hAnsi="Verdana"/>
          <w:b/>
          <w:sz w:val="16"/>
          <w:szCs w:val="16"/>
        </w:rPr>
        <w:t>tały złagodzone w ten sposób, że</w:t>
      </w:r>
      <w:r w:rsidRPr="005423DD">
        <w:rPr>
          <w:rFonts w:ascii="Verdana" w:hAnsi="Verdana"/>
          <w:b/>
          <w:sz w:val="16"/>
          <w:szCs w:val="16"/>
        </w:rPr>
        <w:t xml:space="preserve"> spod limitu wydatków bieżących zostały wyłączone </w:t>
      </w:r>
      <w:r w:rsidRPr="005423DD">
        <w:rPr>
          <w:rFonts w:ascii="Verdana" w:hAnsi="Verdana" w:cs="Arial"/>
          <w:b/>
          <w:sz w:val="16"/>
          <w:szCs w:val="16"/>
        </w:rPr>
        <w:t xml:space="preserve">wydatki ponoszone w celu realizacji zadań związanych z pomocą obywatelom Ukrainy w związku </w:t>
      </w:r>
      <w:r>
        <w:rPr>
          <w:rFonts w:ascii="Verdana" w:hAnsi="Verdana" w:cs="Arial"/>
          <w:b/>
          <w:sz w:val="16"/>
          <w:szCs w:val="16"/>
        </w:rPr>
        <w:br/>
      </w:r>
      <w:r w:rsidRPr="005423DD">
        <w:rPr>
          <w:rFonts w:ascii="Verdana" w:hAnsi="Verdana" w:cs="Arial"/>
          <w:b/>
          <w:sz w:val="16"/>
          <w:szCs w:val="16"/>
        </w:rPr>
        <w:t>z konfliktem zbrojnym na terytorium tego państwa w części, w jakiej nie były one finansowane środkami publicznymi otrzymanymi na ten cel, natomiast limit co do zasady wyznaczony wysokością</w:t>
      </w:r>
      <w:r w:rsidRPr="005423DD">
        <w:rPr>
          <w:rFonts w:ascii="Verdana" w:hAnsi="Verdana"/>
          <w:b/>
          <w:sz w:val="16"/>
          <w:szCs w:val="16"/>
        </w:rPr>
        <w:t xml:space="preserve"> dochodów bieżących powiększonych o nadwyżkę budżetową z lat ubiegłych oraz spłaty udzielonych pożyczek w latach ubiegłych został podwyższony o tzw. wolne środki jako nadwyżki środków pieniężnych na rachunku bieżących budżetu JST, w tym wynikające z rozliczeń wyemitowanych papierów wartościowych, kredytów i pożyczek z lat ubiegłych oraz ponadto </w:t>
      </w:r>
      <w:r w:rsidRPr="005423DD">
        <w:rPr>
          <w:rFonts w:ascii="Verdana" w:hAnsi="Verdana" w:cs="Arial"/>
          <w:b/>
          <w:sz w:val="16"/>
          <w:szCs w:val="16"/>
        </w:rPr>
        <w:t>badanie spełnienia reguły odbywa się łącznie dla lat 2022–2025, w związku z czym jednostka samorządu terytorialnego może w latach 2022-2025 w danym roku budżetowym przekroczyć relację, o której mowa w art. 242, pod warunkiem że w latach 2022–2025 suma przekroczeń tej relacji w poszczególnych latach nie będzie wyższa od sumy nadwyżek wynikających z tej relacji w poszczególnych latach.</w:t>
      </w:r>
    </w:p>
    <w:p w:rsidR="00CA374E" w:rsidRPr="000A6485" w:rsidRDefault="00CA374E" w:rsidP="00CA374E">
      <w:pPr>
        <w:spacing w:before="120" w:after="120"/>
        <w:jc w:val="both"/>
        <w:rPr>
          <w:rFonts w:ascii="Verdana" w:hAnsi="Verdana" w:cs="Arial"/>
          <w:bCs/>
          <w:sz w:val="16"/>
          <w:szCs w:val="16"/>
        </w:rPr>
      </w:pPr>
      <w:r w:rsidRPr="000A6485">
        <w:rPr>
          <w:rFonts w:ascii="Verdana" w:hAnsi="Verdana" w:cs="Arial"/>
          <w:bCs/>
          <w:sz w:val="16"/>
          <w:szCs w:val="16"/>
        </w:rPr>
        <w:t>Ustawową regułę limitu wydatków bieżących prezentują poniższe wzory: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3"/>
      </w:tblGrid>
      <w:tr w:rsidR="00CA374E" w:rsidRPr="000A6485" w:rsidTr="00067F5A">
        <w:tc>
          <w:tcPr>
            <w:tcW w:w="4678" w:type="dxa"/>
          </w:tcPr>
          <w:p w:rsidR="00CA374E" w:rsidRPr="000A6485" w:rsidRDefault="00CA374E" w:rsidP="00067F5A">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2022-2025 łącznie</w:t>
            </w:r>
          </w:p>
          <w:p w:rsidR="00CA374E" w:rsidRPr="000A6485" w:rsidRDefault="00CA374E" w:rsidP="00067F5A">
            <w:pPr>
              <w:spacing w:before="120" w:after="120"/>
              <w:jc w:val="both"/>
              <w:rPr>
                <w:rFonts w:ascii="Verdana" w:hAnsi="Verdana" w:cs="Arial"/>
                <w:b/>
                <w:sz w:val="20"/>
                <w:szCs w:val="20"/>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sSub>
                  <m:sSubPr>
                    <m:ctrlPr>
                      <w:rPr>
                        <w:rFonts w:ascii="Cambria Math" w:hAnsi="Cambria Math" w:cs="Arial"/>
                        <w:b/>
                        <w:sz w:val="20"/>
                        <w:szCs w:val="20"/>
                      </w:rPr>
                    </m:ctrlPr>
                  </m:sSubPr>
                  <m:e>
                    <m:r>
                      <m:rPr>
                        <m:sty m:val="b"/>
                      </m:rPr>
                      <w:rPr>
                        <w:rFonts w:ascii="Cambria Math" w:hAnsi="Cambria Math" w:cs="Arial"/>
                        <w:sz w:val="20"/>
                        <w:szCs w:val="20"/>
                      </w:rPr>
                      <m:t>WŚ</m:t>
                    </m:r>
                  </m:e>
                  <m:sub>
                    <m:r>
                      <m:rPr>
                        <m:sty m:val="bi"/>
                      </m:rPr>
                      <w:rPr>
                        <w:rFonts w:ascii="Cambria Math" w:hAnsi="Cambria Math" w:cs="Arial"/>
                        <w:sz w:val="20"/>
                        <w:szCs w:val="20"/>
                      </w:rPr>
                      <m:t>2022-2025</m:t>
                    </m:r>
                  </m:sub>
                </m:sSub>
              </m:oMath>
            </m:oMathPara>
          </w:p>
        </w:tc>
        <w:tc>
          <w:tcPr>
            <w:tcW w:w="4383" w:type="dxa"/>
          </w:tcPr>
          <w:p w:rsidR="00CA374E" w:rsidRPr="000A6485" w:rsidRDefault="00CA374E" w:rsidP="00067F5A">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w:t>
            </w:r>
            <w:r>
              <w:rPr>
                <w:rFonts w:ascii="Verdana" w:hAnsi="Verdana" w:cs="Arial"/>
                <w:b/>
                <w:sz w:val="16"/>
                <w:szCs w:val="16"/>
              </w:rPr>
              <w:t>6</w:t>
            </w:r>
          </w:p>
          <w:p w:rsidR="00CA374E" w:rsidRPr="000A6485" w:rsidRDefault="00CA374E" w:rsidP="00067F5A">
            <w:pPr>
              <w:spacing w:before="120" w:after="120"/>
              <w:jc w:val="both"/>
              <w:rPr>
                <w:rFonts w:ascii="Verdana" w:hAnsi="Verdana" w:cs="Arial"/>
                <w:b/>
                <w:sz w:val="18"/>
                <w:szCs w:val="18"/>
              </w:rPr>
            </w:pPr>
            <m:oMathPara>
              <m:oMath>
                <m:r>
                  <m:rPr>
                    <m:sty m:val="b"/>
                  </m:rPr>
                  <w:rPr>
                    <w:rFonts w:ascii="Cambria Math" w:hAnsi="Cambria Math" w:cs="Arial"/>
                    <w:sz w:val="20"/>
                    <w:szCs w:val="20"/>
                  </w:rPr>
                  <m:t xml:space="preserve">WB- </m:t>
                </m:r>
                <m:sSub>
                  <m:sSubPr>
                    <m:ctrlPr>
                      <w:rPr>
                        <w:rFonts w:ascii="Cambria Math" w:hAnsi="Cambria Math" w:cs="Arial"/>
                        <w:b/>
                        <w:sz w:val="20"/>
                        <w:szCs w:val="20"/>
                      </w:rPr>
                    </m:ctrlPr>
                  </m:sSubPr>
                  <m:e>
                    <m:r>
                      <m:rPr>
                        <m:sty m:val="b"/>
                      </m:rPr>
                      <w:rPr>
                        <w:rFonts w:ascii="Cambria Math" w:hAnsi="Cambria Math" w:cs="Arial"/>
                        <w:sz w:val="20"/>
                        <w:szCs w:val="20"/>
                      </w:rPr>
                      <m:t>WB</m:t>
                    </m:r>
                  </m:e>
                  <m:sub>
                    <m:r>
                      <m:rPr>
                        <m:sty m:val="b"/>
                      </m:rPr>
                      <w:rPr>
                        <w:rFonts w:ascii="Cambria Math" w:hAnsi="Cambria Math" w:cs="Arial"/>
                        <w:sz w:val="20"/>
                        <w:szCs w:val="20"/>
                      </w:rPr>
                      <m:t>UKR</m:t>
                    </m:r>
                  </m:sub>
                </m:sSub>
                <m:r>
                  <m:rPr>
                    <m:sty m:val="b"/>
                  </m:rPr>
                  <w:rPr>
                    <w:rFonts w:ascii="Cambria Math" w:hAnsi="Cambria Math" w:cs="Arial"/>
                    <w:sz w:val="20"/>
                    <w:szCs w:val="20"/>
                  </w:rPr>
                  <m:t>≤DB+NB+SP+L</m:t>
                </m:r>
              </m:oMath>
            </m:oMathPara>
          </w:p>
        </w:tc>
      </w:tr>
    </w:tbl>
    <w:p w:rsidR="00CA374E" w:rsidRPr="000A6485" w:rsidRDefault="00CA374E" w:rsidP="00CA374E">
      <w:pPr>
        <w:tabs>
          <w:tab w:val="left" w:pos="0"/>
        </w:tabs>
        <w:spacing w:before="120" w:after="120"/>
        <w:rPr>
          <w:rFonts w:ascii="Verdana" w:hAnsi="Verdana"/>
          <w:bCs/>
          <w:sz w:val="16"/>
          <w:szCs w:val="16"/>
        </w:rPr>
      </w:pPr>
      <w:r w:rsidRPr="000A6485">
        <w:rPr>
          <w:rFonts w:ascii="Verdana" w:hAnsi="Verdana"/>
          <w:sz w:val="16"/>
          <w:szCs w:val="16"/>
        </w:rPr>
        <w:t>gdzie:</w:t>
      </w:r>
      <w:r w:rsidRPr="000A6485">
        <w:rPr>
          <w:rFonts w:ascii="Verdana" w:hAnsi="Verdana"/>
          <w:b/>
          <w:sz w:val="14"/>
          <w:szCs w:val="14"/>
        </w:rPr>
        <w:t xml:space="preserve"> </w:t>
      </w:r>
      <w:r w:rsidRPr="000A6485">
        <w:rPr>
          <w:rFonts w:ascii="Verdana" w:hAnsi="Verdana"/>
          <w:b/>
          <w:sz w:val="14"/>
          <w:szCs w:val="14"/>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53"/>
      </w:tblGrid>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cs="Arial"/>
                <w:b/>
                <w:sz w:val="16"/>
                <w:szCs w:val="16"/>
              </w:rPr>
              <w:t>WB -</w:t>
            </w:r>
          </w:p>
        </w:tc>
        <w:tc>
          <w:tcPr>
            <w:tcW w:w="7653" w:type="dxa"/>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cs="Arial"/>
                <w:sz w:val="16"/>
                <w:szCs w:val="16"/>
              </w:rPr>
              <w:t>wydatki bieżące</w:t>
            </w:r>
          </w:p>
        </w:tc>
      </w:tr>
      <w:tr w:rsidR="00CA374E" w:rsidRPr="000A6485" w:rsidTr="00067F5A">
        <w:tc>
          <w:tcPr>
            <w:tcW w:w="1418" w:type="dxa"/>
          </w:tcPr>
          <w:p w:rsidR="00CA374E" w:rsidRPr="00011AAA" w:rsidRDefault="00CA374E" w:rsidP="00067F5A">
            <w:pPr>
              <w:tabs>
                <w:tab w:val="left" w:pos="0"/>
              </w:tabs>
              <w:spacing w:before="120" w:after="120" w:line="240" w:lineRule="auto"/>
              <w:rPr>
                <w:rFonts w:ascii="Verdana" w:hAnsi="Verdana"/>
                <w:b/>
                <w:bCs/>
                <w:sz w:val="16"/>
                <w:szCs w:val="16"/>
              </w:rPr>
            </w:pPr>
            <w:r>
              <w:rPr>
                <w:rFonts w:ascii="Verdana" w:hAnsi="Verdana"/>
                <w:b/>
                <w:sz w:val="16"/>
                <w:szCs w:val="16"/>
              </w:rPr>
              <w:t>WB</w:t>
            </w:r>
            <w:r w:rsidRPr="00891B2D">
              <w:rPr>
                <w:rFonts w:ascii="Verdana" w:hAnsi="Verdana"/>
                <w:b/>
                <w:sz w:val="16"/>
                <w:szCs w:val="16"/>
                <w:vertAlign w:val="subscript"/>
              </w:rPr>
              <w:t>UKR</w:t>
            </w:r>
            <w:r w:rsidRPr="00011AAA">
              <w:rPr>
                <w:rFonts w:ascii="Verdana" w:hAnsi="Verdana"/>
                <w:b/>
                <w:sz w:val="16"/>
                <w:szCs w:val="16"/>
              </w:rPr>
              <w:t xml:space="preserve">  -</w:t>
            </w:r>
          </w:p>
        </w:tc>
        <w:tc>
          <w:tcPr>
            <w:tcW w:w="7653" w:type="dxa"/>
            <w:vAlign w:val="center"/>
          </w:tcPr>
          <w:p w:rsidR="00CA374E" w:rsidRPr="00891B2D" w:rsidRDefault="00CA374E" w:rsidP="00067F5A">
            <w:pPr>
              <w:tabs>
                <w:tab w:val="left" w:pos="0"/>
              </w:tabs>
              <w:spacing w:before="120" w:after="120" w:line="240" w:lineRule="auto"/>
              <w:rPr>
                <w:rFonts w:ascii="Verdana" w:hAnsi="Verdana"/>
                <w:bCs/>
                <w:sz w:val="16"/>
                <w:szCs w:val="16"/>
              </w:rPr>
            </w:pPr>
            <w:r w:rsidRPr="00891B2D">
              <w:rPr>
                <w:rFonts w:ascii="Verdana" w:hAnsi="Verdana" w:cs="Arial"/>
                <w:sz w:val="16"/>
                <w:szCs w:val="16"/>
              </w:rPr>
              <w:t>wydatki bieżące ponoszone w celu realizacji zadań związanych z pomocą obywatelom Ukrainy w związku z konfliktem zbrojnym na terytorium tego państwa w części, w jakiej nie są one finansowane środkami publicznymi otrzymanymi na ten cel</w:t>
            </w:r>
          </w:p>
        </w:tc>
      </w:tr>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b/>
                <w:sz w:val="16"/>
                <w:szCs w:val="16"/>
              </w:rPr>
              <w:t>DB -</w:t>
            </w:r>
          </w:p>
        </w:tc>
        <w:tc>
          <w:tcPr>
            <w:tcW w:w="7653" w:type="dxa"/>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sz w:val="16"/>
                <w:szCs w:val="16"/>
              </w:rPr>
              <w:t>dochody bieżące</w:t>
            </w:r>
          </w:p>
        </w:tc>
      </w:tr>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b/>
                <w:sz w:val="16"/>
                <w:szCs w:val="16"/>
              </w:rPr>
              <w:t>NB  -</w:t>
            </w:r>
          </w:p>
        </w:tc>
        <w:tc>
          <w:tcPr>
            <w:tcW w:w="7653" w:type="dxa"/>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nadwyżki budżetu z lat ubiegłych, w tym niewykorzystane środki pieniężne na rachunku bieżącym budżetu, wynikające z rozliczenia dochodów i wydatków nimi finansowanych </w:t>
            </w:r>
            <w:r w:rsidRPr="000A6485">
              <w:rPr>
                <w:rFonts w:ascii="Verdana" w:hAnsi="Verdana"/>
                <w:sz w:val="16"/>
                <w:szCs w:val="16"/>
              </w:rPr>
              <w:lastRenderedPageBreak/>
              <w:t>związanych ze szczególnymi zasadami wykonywania budżetu określonymi w odrębnych ustawach i wynikające z rozliczenia środków unijnych</w:t>
            </w:r>
          </w:p>
        </w:tc>
      </w:tr>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b/>
                <w:sz w:val="16"/>
                <w:szCs w:val="16"/>
              </w:rPr>
              <w:lastRenderedPageBreak/>
              <w:t>SP  -</w:t>
            </w:r>
          </w:p>
        </w:tc>
        <w:tc>
          <w:tcPr>
            <w:tcW w:w="7653" w:type="dxa"/>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sz w:val="16"/>
                <w:szCs w:val="16"/>
              </w:rPr>
              <w:t>spłaty udzielonych pożyczek w latach ubiegłych</w:t>
            </w:r>
          </w:p>
        </w:tc>
      </w:tr>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sz w:val="16"/>
                <w:szCs w:val="16"/>
              </w:rPr>
            </w:pPr>
            <w:r>
              <w:rPr>
                <w:rFonts w:ascii="Verdana" w:hAnsi="Verdana"/>
                <w:b/>
                <w:sz w:val="16"/>
                <w:szCs w:val="16"/>
              </w:rPr>
              <w:t>L -</w:t>
            </w:r>
          </w:p>
        </w:tc>
        <w:tc>
          <w:tcPr>
            <w:tcW w:w="7653" w:type="dxa"/>
            <w:vAlign w:val="center"/>
          </w:tcPr>
          <w:p w:rsidR="00CA374E" w:rsidRPr="006B1907" w:rsidRDefault="00CA374E" w:rsidP="00067F5A">
            <w:pPr>
              <w:tabs>
                <w:tab w:val="left" w:pos="0"/>
              </w:tabs>
              <w:spacing w:before="120" w:after="120" w:line="240" w:lineRule="auto"/>
              <w:rPr>
                <w:rFonts w:ascii="Verdana" w:hAnsi="Verdana"/>
                <w:sz w:val="16"/>
                <w:szCs w:val="16"/>
              </w:rPr>
            </w:pPr>
            <w:r w:rsidRPr="006B1907">
              <w:rPr>
                <w:rFonts w:ascii="Verdana" w:hAnsi="Verdana"/>
                <w:iCs/>
                <w:sz w:val="16"/>
                <w:szCs w:val="16"/>
              </w:rPr>
              <w:t>środki z lokat dokonanych w latach ubiegłych</w:t>
            </w:r>
          </w:p>
        </w:tc>
      </w:tr>
      <w:tr w:rsidR="00CA374E" w:rsidRPr="000A6485" w:rsidTr="00067F5A">
        <w:tc>
          <w:tcPr>
            <w:tcW w:w="1418" w:type="dxa"/>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b/>
                <w:sz w:val="16"/>
                <w:szCs w:val="16"/>
              </w:rPr>
              <w:t>WŚ</w:t>
            </w:r>
            <w:r w:rsidRPr="00741CCC">
              <w:rPr>
                <w:rFonts w:ascii="Verdana" w:hAnsi="Verdana"/>
                <w:b/>
                <w:sz w:val="16"/>
                <w:szCs w:val="16"/>
                <w:vertAlign w:val="subscript"/>
              </w:rPr>
              <w:t>2022</w:t>
            </w:r>
            <w:r>
              <w:rPr>
                <w:rFonts w:ascii="Verdana" w:hAnsi="Verdana"/>
                <w:b/>
                <w:sz w:val="16"/>
                <w:szCs w:val="16"/>
                <w:vertAlign w:val="subscript"/>
              </w:rPr>
              <w:t>-2025</w:t>
            </w:r>
            <w:r w:rsidRPr="000A6485">
              <w:rPr>
                <w:rFonts w:ascii="Verdana" w:hAnsi="Verdana"/>
                <w:b/>
                <w:sz w:val="16"/>
                <w:szCs w:val="16"/>
              </w:rPr>
              <w:t xml:space="preserve">  -</w:t>
            </w:r>
          </w:p>
        </w:tc>
        <w:tc>
          <w:tcPr>
            <w:tcW w:w="7653" w:type="dxa"/>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sz w:val="16"/>
                <w:szCs w:val="16"/>
              </w:rPr>
              <w:t xml:space="preserve">wolne środki na rachunku bieżącym </w:t>
            </w:r>
            <w:r w:rsidRPr="000A6485">
              <w:rPr>
                <w:rFonts w:ascii="Verdana" w:hAnsi="Verdana" w:cs="Arial"/>
                <w:iCs/>
                <w:sz w:val="16"/>
                <w:szCs w:val="16"/>
              </w:rPr>
              <w:t>wynikające z rozliczeń wyemitowanych papierów wartościowych, kredytów i pożyczek z lat ubiegłych</w:t>
            </w:r>
            <w:r w:rsidRPr="000A6485">
              <w:rPr>
                <w:rFonts w:ascii="Verdana" w:hAnsi="Verdana"/>
                <w:sz w:val="16"/>
                <w:szCs w:val="16"/>
              </w:rPr>
              <w:t xml:space="preserve"> </w:t>
            </w:r>
            <w:r>
              <w:rPr>
                <w:rFonts w:ascii="Verdana" w:hAnsi="Verdana"/>
                <w:bCs/>
                <w:sz w:val="16"/>
                <w:szCs w:val="16"/>
              </w:rPr>
              <w:t>w latach 2022-2025</w:t>
            </w:r>
          </w:p>
        </w:tc>
      </w:tr>
    </w:tbl>
    <w:p w:rsidR="00CA374E" w:rsidRPr="000A6485" w:rsidRDefault="00CA374E" w:rsidP="00CA374E">
      <w:pPr>
        <w:spacing w:before="120" w:after="120"/>
        <w:rPr>
          <w:rFonts w:ascii="Verdana" w:hAnsi="Verdana"/>
          <w:b/>
          <w:bCs/>
          <w:sz w:val="18"/>
          <w:szCs w:val="18"/>
        </w:rPr>
      </w:pPr>
      <w:r w:rsidRPr="000A6485">
        <w:rPr>
          <w:rFonts w:ascii="Verdana" w:hAnsi="Verdana"/>
          <w:b/>
          <w:bCs/>
          <w:sz w:val="18"/>
          <w:szCs w:val="18"/>
        </w:rPr>
        <w:t>4.1.2 Reguła indywidualnego limitu obsługi długu</w:t>
      </w:r>
    </w:p>
    <w:p w:rsidR="00CA374E" w:rsidRPr="0085401F" w:rsidRDefault="00CA374E" w:rsidP="00CA374E">
      <w:pPr>
        <w:pStyle w:val="Akapitzlist"/>
        <w:numPr>
          <w:ilvl w:val="0"/>
          <w:numId w:val="51"/>
        </w:numPr>
        <w:spacing w:before="240" w:after="60"/>
        <w:ind w:left="426" w:hanging="284"/>
        <w:jc w:val="both"/>
        <w:rPr>
          <w:rFonts w:ascii="Verdana" w:hAnsi="Verdana" w:cs="Verdana"/>
          <w:b/>
          <w:color w:val="000000"/>
          <w:sz w:val="16"/>
          <w:szCs w:val="16"/>
        </w:rPr>
      </w:pPr>
      <w:r>
        <w:rPr>
          <w:rFonts w:ascii="Verdana" w:hAnsi="Verdana" w:cs="Verdana"/>
          <w:b/>
          <w:color w:val="000000"/>
          <w:sz w:val="16"/>
          <w:szCs w:val="16"/>
        </w:rPr>
        <w:t>Podstawowe założenia reguły</w:t>
      </w:r>
    </w:p>
    <w:p w:rsidR="00CA374E" w:rsidRPr="008F5D55" w:rsidRDefault="00CA374E" w:rsidP="00CA374E">
      <w:pPr>
        <w:spacing w:before="60" w:after="60"/>
        <w:jc w:val="both"/>
        <w:rPr>
          <w:rFonts w:ascii="Verdana" w:hAnsi="Verdana"/>
          <w:iCs/>
          <w:sz w:val="16"/>
          <w:szCs w:val="16"/>
        </w:rPr>
      </w:pPr>
      <w:r w:rsidRPr="008F5D55">
        <w:rPr>
          <w:rFonts w:ascii="Verdana" w:hAnsi="Verdana" w:cs="Verdana"/>
          <w:color w:val="000000"/>
          <w:sz w:val="16"/>
          <w:szCs w:val="16"/>
        </w:rPr>
        <w:t xml:space="preserve">Reguła, o której mowa w art. 243 ustawy o finansach publicznych, uwzględnia potencjał finansowy jednostki </w:t>
      </w:r>
      <w:r w:rsidRPr="008F5D55">
        <w:rPr>
          <w:rFonts w:ascii="Verdana" w:hAnsi="Verdana" w:cs="Verdana"/>
          <w:color w:val="000000"/>
          <w:sz w:val="16"/>
          <w:szCs w:val="16"/>
        </w:rPr>
        <w:br/>
        <w:t xml:space="preserve">i wynikającą z niego indywidualną zdolność jednostki do spłaty zobowiązań dłużnych. Formuła ta ściśle uzależnia wielkość obciążeń budżetów jednostek samorządowych z tytułu zaciągniętych zobowiązań dłużnych </w:t>
      </w:r>
      <w:r w:rsidRPr="008F5D55">
        <w:rPr>
          <w:rFonts w:ascii="Verdana" w:hAnsi="Verdana" w:cs="Verdana"/>
          <w:color w:val="000000"/>
          <w:sz w:val="16"/>
          <w:szCs w:val="16"/>
        </w:rPr>
        <w:br/>
        <w:t>od wysokości nadwyżki operacyjnej rozumianej jako nadwyżka dochodów bieżących nad wydatkami bieżącymi.</w:t>
      </w:r>
      <w:r w:rsidRPr="008F5D55">
        <w:rPr>
          <w:rFonts w:ascii="Verdana" w:hAnsi="Verdana"/>
          <w:sz w:val="16"/>
          <w:szCs w:val="16"/>
        </w:rPr>
        <w:t xml:space="preserve"> </w:t>
      </w:r>
    </w:p>
    <w:p w:rsidR="00CA374E" w:rsidRPr="008F5D55" w:rsidRDefault="00CA374E" w:rsidP="00CA374E">
      <w:pPr>
        <w:spacing w:before="60" w:after="60"/>
        <w:jc w:val="both"/>
        <w:rPr>
          <w:rFonts w:ascii="Verdana" w:hAnsi="Verdana"/>
          <w:b/>
          <w:iCs/>
          <w:sz w:val="16"/>
          <w:szCs w:val="16"/>
        </w:rPr>
      </w:pPr>
      <w:r w:rsidRPr="008F5D55">
        <w:rPr>
          <w:rFonts w:ascii="Verdana" w:hAnsi="Verdana"/>
          <w:b/>
          <w:iCs/>
          <w:sz w:val="16"/>
          <w:szCs w:val="16"/>
        </w:rPr>
        <w:t xml:space="preserve">Konstrukcja normy co do zasady zakłada, że w danym roku budżetowym wysokość obciążeń budżetu związanych z obsługą zadłużenia (kapitał i odsetki) i udzielonymi poręczeniami i gwarancjami </w:t>
      </w:r>
      <w:r>
        <w:rPr>
          <w:rFonts w:ascii="Verdana" w:hAnsi="Verdana"/>
          <w:b/>
          <w:iCs/>
          <w:sz w:val="16"/>
          <w:szCs w:val="16"/>
        </w:rPr>
        <w:br/>
      </w:r>
      <w:r w:rsidRPr="008F5D55">
        <w:rPr>
          <w:rFonts w:ascii="Verdana" w:hAnsi="Verdana"/>
          <w:b/>
          <w:iCs/>
          <w:sz w:val="16"/>
          <w:szCs w:val="16"/>
        </w:rPr>
        <w:t>w relacji do dochodów bieżących jest zdeterminowana historycznie ukształtowanym średnim poziomem relacji nadwyżki dochodów bieżących nad wydatkami bieżącymi do dochodów bieżących.</w:t>
      </w:r>
    </w:p>
    <w:p w:rsidR="00CA374E" w:rsidRDefault="00CA374E" w:rsidP="00CA374E">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wyznaczanego dla </w:t>
      </w:r>
      <w:r w:rsidRPr="000A6485">
        <w:rPr>
          <w:rFonts w:ascii="Verdana" w:hAnsi="Verdana"/>
          <w:b/>
          <w:iCs/>
          <w:sz w:val="16"/>
          <w:szCs w:val="16"/>
        </w:rPr>
        <w:t>lat 202</w:t>
      </w:r>
      <w:r>
        <w:rPr>
          <w:rFonts w:ascii="Verdana" w:hAnsi="Verdana"/>
          <w:b/>
          <w:iCs/>
          <w:sz w:val="16"/>
          <w:szCs w:val="16"/>
        </w:rPr>
        <w:t>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CA374E" w:rsidRPr="000A6485" w:rsidRDefault="00CA374E" w:rsidP="00CA374E">
      <w:pPr>
        <w:tabs>
          <w:tab w:val="left" w:pos="0"/>
        </w:tabs>
        <w:spacing w:before="60" w:after="60"/>
        <w:jc w:val="both"/>
        <w:rPr>
          <w:rFonts w:ascii="Verdana" w:hAnsi="Verdana" w:cs="Arial"/>
          <w:sz w:val="16"/>
          <w:szCs w:val="16"/>
        </w:rPr>
      </w:pPr>
      <w:r w:rsidRPr="000A6485">
        <w:rPr>
          <w:rFonts w:ascii="Verdana" w:hAnsi="Verdana" w:cs="Arial"/>
          <w:sz w:val="16"/>
          <w:szCs w:val="16"/>
        </w:rPr>
        <w:t xml:space="preserve">Przy obliczaniu powyższej relacji uwzględnia się wyłączenia, o których mowa: </w:t>
      </w:r>
    </w:p>
    <w:p w:rsidR="00CA374E" w:rsidRPr="000A6485" w:rsidRDefault="00CA374E" w:rsidP="00CA374E">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ustawy o finansach publicznych</w:t>
      </w:r>
      <w:r w:rsidRPr="000A6485">
        <w:rPr>
          <w:rFonts w:ascii="Verdana" w:hAnsi="Verdana" w:cs="Arial"/>
          <w:sz w:val="16"/>
          <w:szCs w:val="16"/>
          <w:vertAlign w:val="superscript"/>
        </w:rPr>
        <w:t xml:space="preserve"> </w:t>
      </w:r>
      <w:r w:rsidRPr="000A6485">
        <w:rPr>
          <w:rFonts w:ascii="Verdana" w:hAnsi="Verdana" w:cs="Arial"/>
          <w:sz w:val="16"/>
          <w:szCs w:val="16"/>
        </w:rPr>
        <w:t xml:space="preserve">- wyłącza się kwoty z tytułu wykupu papierów wartościowych wraz z należnymi odsetkami i dyskontem oraz spłaty kredytów i pożyczek wraz z należnymi odsetkami odpowiednio wyemitowanych lub zaciągniętych w związku z umową zawartą na realizację programu, projektu lub zadania finansowanego z udziałem środków unijnych oraz poręczenia i gwarancje udzielone samorządowym osobom prawnym realizującym zadania jednostki samorządu terytorialnego w ramach programów finansowanych z udziałem środków unijnych, w terminie nie dłuższym niż 90 dni </w:t>
      </w:r>
      <w:r w:rsidRPr="000A6485">
        <w:rPr>
          <w:rFonts w:ascii="Verdana" w:hAnsi="Verdana" w:cs="Arial"/>
          <w:sz w:val="16"/>
          <w:szCs w:val="16"/>
        </w:rPr>
        <w:br/>
        <w:t>po zakończeniu programu, projektu lub zadania i otrzymaniu refundacji z tych środków; termin ten nie ma zastosowania do odsetek i dyskonta od zobowiązań zaciągniętych na wkład krajowy;</w:t>
      </w:r>
    </w:p>
    <w:p w:rsidR="00CA374E" w:rsidRPr="000A6485" w:rsidRDefault="00CA374E" w:rsidP="00CA374E">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3a ustawy o finansach publicznych - wyłącza się wykup papierów wartościowych, spłaty rat kredytów i pożyczek wraz z należnymi odsetkami i dyskontem, odpowiednio emitowanych lub zaciągniętych w związku z umową zawartą na realizację programu, projektu lub zadania finansowanego w co najmniej 60% ze środków unijnych, w części odpowiadającej wydatkom na wkład krajowy finansowanych tymi zobowiązaniami; w przypadku programu, projektu lub zadania przynoszącego dochód, poziom finansowania ze środków unijnych, ustala się po odliczeniu zdyskontowanego dochodu obliczanego zgodnie z przepisami Unii Europejskiej dotyczącymi takiego programu, projektu lub zadania, a kwotę wydatków na wkład krajowy ustala się w wysokości jaka wynikałaby, gdyby poziom finansowania ze środków unijnych, obliczony został bez uwzględnienia zdyskontowanego dochodu;</w:t>
      </w:r>
    </w:p>
    <w:p w:rsidR="00CA374E" w:rsidRPr="000A6485" w:rsidRDefault="00CA374E" w:rsidP="00CA374E">
      <w:pPr>
        <w:pStyle w:val="Akapitzlist"/>
        <w:numPr>
          <w:ilvl w:val="0"/>
          <w:numId w:val="30"/>
        </w:numPr>
        <w:autoSpaceDE w:val="0"/>
        <w:autoSpaceDN w:val="0"/>
        <w:adjustRightInd w:val="0"/>
        <w:spacing w:before="60" w:after="60"/>
        <w:contextualSpacing w:val="0"/>
        <w:jc w:val="both"/>
        <w:rPr>
          <w:rFonts w:ascii="Verdana" w:hAnsi="Verdana" w:cs="Arial"/>
          <w:sz w:val="16"/>
          <w:szCs w:val="16"/>
        </w:rPr>
      </w:pPr>
      <w:r w:rsidRPr="000A6485">
        <w:rPr>
          <w:rFonts w:ascii="Verdana" w:hAnsi="Verdana" w:cs="Arial"/>
          <w:sz w:val="16"/>
          <w:szCs w:val="16"/>
        </w:rPr>
        <w:t>w art. 243 ust. 3b ustawy o finansach publicznych - wyłącza się, następującą wyłącznie w roku budżetowym, na który uchwalono budżet, wcześniejszą spłatę zobowiązań, która przypadałyby po roku budżetowym, na który uchwalono budżet, finansow</w:t>
      </w:r>
      <w:r>
        <w:rPr>
          <w:rFonts w:ascii="Verdana" w:hAnsi="Verdana" w:cs="Arial"/>
          <w:sz w:val="16"/>
          <w:szCs w:val="16"/>
        </w:rPr>
        <w:t>aną</w:t>
      </w:r>
      <w:r w:rsidRPr="000A6485">
        <w:rPr>
          <w:rFonts w:ascii="Verdana" w:hAnsi="Verdana" w:cs="Arial"/>
          <w:sz w:val="16"/>
          <w:szCs w:val="16"/>
        </w:rPr>
        <w:t>:</w:t>
      </w:r>
    </w:p>
    <w:p w:rsidR="00CA374E" w:rsidRPr="000A6485" w:rsidRDefault="00CA374E" w:rsidP="00CA374E">
      <w:pPr>
        <w:pStyle w:val="Akapitzlist"/>
        <w:numPr>
          <w:ilvl w:val="0"/>
          <w:numId w:val="31"/>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t xml:space="preserve">środkami pochodzącymi z nowego zobowiązania, jeżeli obniża to łączny koszt obsługi długu </w:t>
      </w:r>
      <w:r w:rsidRPr="000A6485">
        <w:rPr>
          <w:rFonts w:ascii="Verdana" w:hAnsi="Verdana" w:cs="Arial"/>
          <w:sz w:val="16"/>
          <w:szCs w:val="16"/>
        </w:rPr>
        <w:br/>
        <w:t>w całym okresie spłaty,</w:t>
      </w:r>
    </w:p>
    <w:p w:rsidR="00CA374E" w:rsidRPr="000A6485" w:rsidRDefault="00CA374E" w:rsidP="00CA374E">
      <w:pPr>
        <w:pStyle w:val="Akapitzlist"/>
        <w:numPr>
          <w:ilvl w:val="0"/>
          <w:numId w:val="31"/>
        </w:numPr>
        <w:tabs>
          <w:tab w:val="left" w:pos="1134"/>
        </w:tabs>
        <w:spacing w:before="60" w:after="60"/>
        <w:ind w:left="1418" w:hanging="284"/>
        <w:contextualSpacing w:val="0"/>
        <w:jc w:val="both"/>
        <w:rPr>
          <w:rFonts w:ascii="Verdana" w:hAnsi="Verdana" w:cs="Arial"/>
          <w:sz w:val="16"/>
          <w:szCs w:val="16"/>
        </w:rPr>
      </w:pPr>
      <w:r w:rsidRPr="000A6485">
        <w:rPr>
          <w:rFonts w:ascii="Verdana" w:hAnsi="Verdana" w:cs="Arial"/>
          <w:sz w:val="16"/>
          <w:szCs w:val="16"/>
        </w:rPr>
        <w:t>wolnymi środkami na rachunku bieżącym wynikającymi z rozliczeń wyemitowanych papierów wartościowych, kredytów i pożyczek z lat ubiegłych,</w:t>
      </w:r>
    </w:p>
    <w:p w:rsidR="00CA374E" w:rsidRPr="000A6485" w:rsidRDefault="00CA374E" w:rsidP="00CA374E">
      <w:pPr>
        <w:pStyle w:val="Akapitzlist"/>
        <w:numPr>
          <w:ilvl w:val="0"/>
          <w:numId w:val="31"/>
        </w:numPr>
        <w:autoSpaceDE w:val="0"/>
        <w:autoSpaceDN w:val="0"/>
        <w:adjustRightInd w:val="0"/>
        <w:spacing w:before="60" w:after="60"/>
        <w:ind w:left="1418" w:hanging="284"/>
        <w:contextualSpacing w:val="0"/>
        <w:jc w:val="both"/>
        <w:rPr>
          <w:rFonts w:ascii="Verdana" w:hAnsi="Verdana" w:cs="Arial"/>
          <w:sz w:val="16"/>
          <w:szCs w:val="16"/>
        </w:rPr>
      </w:pPr>
      <w:r w:rsidRPr="000A6485">
        <w:rPr>
          <w:rFonts w:ascii="Verdana" w:hAnsi="Verdana" w:cs="Arial"/>
          <w:sz w:val="16"/>
          <w:szCs w:val="16"/>
        </w:rPr>
        <w:lastRenderedPageBreak/>
        <w:t>innymi środ</w:t>
      </w:r>
      <w:r>
        <w:rPr>
          <w:rFonts w:ascii="Verdana" w:hAnsi="Verdana" w:cs="Arial"/>
          <w:sz w:val="16"/>
          <w:szCs w:val="16"/>
        </w:rPr>
        <w:t>k</w:t>
      </w:r>
      <w:r w:rsidRPr="000A6485">
        <w:rPr>
          <w:rFonts w:ascii="Verdana" w:hAnsi="Verdana" w:cs="Arial"/>
          <w:sz w:val="16"/>
          <w:szCs w:val="16"/>
        </w:rPr>
        <w:t xml:space="preserve">ami, w szczególności przychodami z prywatyzacji i </w:t>
      </w:r>
      <w:r w:rsidRPr="000A6485">
        <w:rPr>
          <w:rFonts w:ascii="Verdana" w:hAnsi="Verdana"/>
          <w:sz w:val="16"/>
          <w:szCs w:val="16"/>
        </w:rPr>
        <w:t xml:space="preserve">spłat udzielonych pożyczek </w:t>
      </w:r>
      <w:r w:rsidRPr="000A6485">
        <w:rPr>
          <w:rFonts w:ascii="Verdana" w:hAnsi="Verdana"/>
          <w:sz w:val="16"/>
          <w:szCs w:val="16"/>
        </w:rPr>
        <w:br/>
        <w:t>w latach ubiegłych, jeżeli jednostka nie zaciąga zobowiązań dłużnych na finansowanie planowanego deficytu budżetu;</w:t>
      </w:r>
    </w:p>
    <w:p w:rsidR="00CA374E" w:rsidRDefault="00CA374E" w:rsidP="00CA374E">
      <w:pPr>
        <w:pStyle w:val="Akapitzlist"/>
        <w:numPr>
          <w:ilvl w:val="0"/>
          <w:numId w:val="52"/>
        </w:numPr>
        <w:spacing w:before="60" w:after="60"/>
        <w:contextualSpacing w:val="0"/>
        <w:jc w:val="both"/>
        <w:rPr>
          <w:rFonts w:ascii="Verdana" w:hAnsi="Verdana"/>
          <w:sz w:val="16"/>
          <w:szCs w:val="16"/>
        </w:rPr>
      </w:pPr>
      <w:r w:rsidRPr="00CA5841">
        <w:rPr>
          <w:rFonts w:ascii="Verdana" w:hAnsi="Verdana"/>
          <w:sz w:val="16"/>
          <w:szCs w:val="16"/>
        </w:rPr>
        <w:t xml:space="preserve">w art. 121a ustawy z 27 sierpnia 2009 r. - </w:t>
      </w:r>
      <w:r w:rsidRPr="00CA5841">
        <w:rPr>
          <w:rFonts w:ascii="Verdana" w:hAnsi="Verdana"/>
          <w:i/>
          <w:sz w:val="16"/>
          <w:szCs w:val="16"/>
        </w:rPr>
        <w:t>Przepisy wprowadzające ustawę o finansach publicznych</w:t>
      </w:r>
      <w:r w:rsidRPr="00CA5841">
        <w:rPr>
          <w:rFonts w:ascii="Verdana" w:hAnsi="Verdana"/>
          <w:sz w:val="16"/>
          <w:szCs w:val="16"/>
        </w:rPr>
        <w:t xml:space="preserve"> </w:t>
      </w:r>
      <w:r w:rsidRPr="00CA5841">
        <w:rPr>
          <w:rFonts w:ascii="Verdana" w:hAnsi="Verdana"/>
          <w:sz w:val="16"/>
          <w:szCs w:val="16"/>
        </w:rPr>
        <w:br/>
        <w:t xml:space="preserve">(Dz. U. z 2009 r. Nr 157 poz. 1241, z </w:t>
      </w:r>
      <w:proofErr w:type="spellStart"/>
      <w:r w:rsidRPr="00CA5841">
        <w:rPr>
          <w:rFonts w:ascii="Verdana" w:hAnsi="Verdana"/>
          <w:sz w:val="16"/>
          <w:szCs w:val="16"/>
        </w:rPr>
        <w:t>późn</w:t>
      </w:r>
      <w:proofErr w:type="spellEnd"/>
      <w:r w:rsidRPr="00CA5841">
        <w:rPr>
          <w:rFonts w:ascii="Verdana" w:hAnsi="Verdana"/>
          <w:sz w:val="16"/>
          <w:szCs w:val="16"/>
        </w:rPr>
        <w:t>. zm.</w:t>
      </w:r>
      <w:r w:rsidRPr="007E44FF">
        <w:rPr>
          <w:rStyle w:val="Odwoanieprzypisudolnego"/>
          <w:rFonts w:ascii="Verdana" w:hAnsi="Verdana"/>
          <w:sz w:val="16"/>
          <w:szCs w:val="16"/>
        </w:rPr>
        <w:t xml:space="preserve"> </w:t>
      </w:r>
      <w:r w:rsidRPr="000A6485">
        <w:rPr>
          <w:rStyle w:val="Odwoanieprzypisudolnego"/>
          <w:rFonts w:ascii="Verdana" w:hAnsi="Verdana"/>
          <w:sz w:val="16"/>
          <w:szCs w:val="16"/>
        </w:rPr>
        <w:footnoteReference w:id="2"/>
      </w:r>
      <w:r w:rsidRPr="00CA5841">
        <w:rPr>
          <w:rFonts w:ascii="Verdana" w:hAnsi="Verdana"/>
          <w:sz w:val="16"/>
          <w:szCs w:val="16"/>
        </w:rPr>
        <w:t xml:space="preserve">) - wyłącza się </w:t>
      </w:r>
      <w:r w:rsidRPr="00CA5841">
        <w:rPr>
          <w:rFonts w:ascii="Verdana" w:hAnsi="Verdana" w:cs="Arial"/>
          <w:sz w:val="16"/>
          <w:szCs w:val="16"/>
        </w:rPr>
        <w:t xml:space="preserve">kwoty z tytułu wykupu wyemitowanych przed wejściem w życie ustawy </w:t>
      </w:r>
      <w:r w:rsidRPr="00CA5841">
        <w:rPr>
          <w:rFonts w:ascii="Verdana" w:hAnsi="Verdana"/>
          <w:bCs/>
          <w:iCs/>
          <w:sz w:val="16"/>
          <w:szCs w:val="16"/>
        </w:rPr>
        <w:t xml:space="preserve">o finansach publicznych, obligacji nominowanych w walutach obcych </w:t>
      </w:r>
      <w:r w:rsidRPr="00CA5841">
        <w:rPr>
          <w:rFonts w:ascii="Verdana" w:hAnsi="Verdana"/>
          <w:bCs/>
          <w:iCs/>
          <w:sz w:val="16"/>
          <w:szCs w:val="16"/>
        </w:rPr>
        <w:br/>
        <w:t>na zagranicznych rynkach kapitałowych, z wyłączeniem odsetek od tych obligacji</w:t>
      </w:r>
      <w:r w:rsidRPr="00CA5841">
        <w:rPr>
          <w:rFonts w:ascii="Verdana" w:hAnsi="Verdana"/>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Powyższą zasadę złagodzono poprzez z</w:t>
      </w:r>
      <w:r w:rsidRPr="0085401F">
        <w:rPr>
          <w:rFonts w:ascii="Verdana" w:hAnsi="Verdana" w:cs="Verdana"/>
          <w:b/>
          <w:color w:val="000000"/>
          <w:sz w:val="16"/>
          <w:szCs w:val="16"/>
        </w:rPr>
        <w:t xml:space="preserve">miany w regule wprowadzone w 2020 r. w związku </w:t>
      </w:r>
      <w:r>
        <w:rPr>
          <w:rFonts w:ascii="Verdana" w:hAnsi="Verdana" w:cs="Verdana"/>
          <w:b/>
          <w:color w:val="000000"/>
          <w:sz w:val="16"/>
          <w:szCs w:val="16"/>
        </w:rPr>
        <w:br/>
      </w:r>
      <w:r w:rsidRPr="0085401F">
        <w:rPr>
          <w:rFonts w:ascii="Verdana" w:hAnsi="Verdana" w:cs="Verdana"/>
          <w:b/>
          <w:color w:val="000000"/>
          <w:sz w:val="16"/>
          <w:szCs w:val="16"/>
        </w:rPr>
        <w:t xml:space="preserve">z pandemią </w:t>
      </w:r>
      <w:proofErr w:type="spellStart"/>
      <w:r w:rsidRPr="0085401F">
        <w:rPr>
          <w:rFonts w:ascii="Verdana" w:hAnsi="Verdana" w:cs="Verdana"/>
          <w:b/>
          <w:color w:val="000000"/>
          <w:sz w:val="16"/>
          <w:szCs w:val="16"/>
        </w:rPr>
        <w:t>koronawirusa</w:t>
      </w:r>
      <w:proofErr w:type="spellEnd"/>
      <w:r w:rsidRPr="0085401F">
        <w:rPr>
          <w:rFonts w:ascii="Verdana" w:hAnsi="Verdana" w:cs="Verdana"/>
          <w:b/>
          <w:color w:val="000000"/>
          <w:sz w:val="16"/>
          <w:szCs w:val="16"/>
        </w:rPr>
        <w:t xml:space="preserve"> SARS-CoV-2 wywołującego chorobę COVID-19</w:t>
      </w:r>
    </w:p>
    <w:p w:rsidR="00CA374E" w:rsidRDefault="00CA374E" w:rsidP="00CA374E">
      <w:pPr>
        <w:pStyle w:val="Akapitzlist"/>
        <w:numPr>
          <w:ilvl w:val="0"/>
          <w:numId w:val="53"/>
        </w:numPr>
        <w:autoSpaceDE w:val="0"/>
        <w:autoSpaceDN w:val="0"/>
        <w:adjustRightInd w:val="0"/>
        <w:spacing w:before="12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15zob </w:t>
      </w:r>
      <w:r>
        <w:rPr>
          <w:rFonts w:ascii="Verdana" w:hAnsi="Verdana"/>
          <w:sz w:val="16"/>
          <w:szCs w:val="16"/>
        </w:rPr>
        <w:t xml:space="preserve">ustawy z </w:t>
      </w:r>
      <w:r w:rsidRPr="003527FB">
        <w:rPr>
          <w:rFonts w:ascii="Verdana" w:hAnsi="Verdana"/>
          <w:sz w:val="16"/>
          <w:szCs w:val="16"/>
        </w:rPr>
        <w:t xml:space="preserve">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i dyskontem odpowiednio emitowanych lub </w:t>
      </w:r>
      <w:r>
        <w:rPr>
          <w:rFonts w:ascii="Verdana" w:hAnsi="Verdana"/>
          <w:b/>
          <w:sz w:val="16"/>
          <w:szCs w:val="16"/>
        </w:rPr>
        <w:t>zaciągniętych</w:t>
      </w:r>
      <w:r w:rsidRPr="00C46B2F">
        <w:rPr>
          <w:rFonts w:ascii="Verdana" w:hAnsi="Verdana"/>
          <w:b/>
          <w:sz w:val="16"/>
          <w:szCs w:val="16"/>
        </w:rPr>
        <w:t xml:space="preserve"> w 2020 r. do równowartości kwoty ubytku w dochodach podatkowych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podatkowych obliczone jako różnica między rzeczywistymi dochodami </w:t>
      </w:r>
      <w:r>
        <w:rPr>
          <w:rFonts w:ascii="Verdana" w:hAnsi="Verdana" w:cs="Arial"/>
          <w:sz w:val="16"/>
          <w:szCs w:val="16"/>
        </w:rPr>
        <w:br/>
      </w:r>
      <w:r w:rsidRPr="003527FB">
        <w:rPr>
          <w:rFonts w:ascii="Verdana" w:hAnsi="Verdana" w:cs="Arial"/>
          <w:sz w:val="16"/>
          <w:szCs w:val="16"/>
        </w:rPr>
        <w:t xml:space="preserve">w 2020 r. a planowanymi dochodami wykazanymi w sprawozdaniu budżetowym za pierwszy kwartał 2020 r. Ponadto </w:t>
      </w:r>
      <w:r w:rsidRPr="00C46B2F">
        <w:rPr>
          <w:rFonts w:ascii="Verdana" w:hAnsi="Verdana" w:cs="Arial"/>
          <w:b/>
          <w:sz w:val="16"/>
          <w:szCs w:val="16"/>
        </w:rPr>
        <w:t xml:space="preserve">ustalając limit obsługi długu określony w art. 243 ustawy o finansach publicznych na rok 2021 i lata kolejne wydatki budżetu podlegają pomniejszeniu o wydatki bieżące poniesione w 2020 r. w celu realizacji zadań związanych z przeciwdziałaniem COVID-19 z pominięciem wydatków sfinansowanych otrzymanymi na ten cel dotacjami </w:t>
      </w:r>
      <w:r>
        <w:rPr>
          <w:rFonts w:ascii="Verdana" w:hAnsi="Verdana" w:cs="Arial"/>
          <w:b/>
          <w:sz w:val="16"/>
          <w:szCs w:val="16"/>
        </w:rPr>
        <w:br/>
      </w:r>
      <w:r w:rsidRPr="00C46B2F">
        <w:rPr>
          <w:rFonts w:ascii="Verdana" w:hAnsi="Verdana" w:cs="Arial"/>
          <w:b/>
          <w:sz w:val="16"/>
          <w:szCs w:val="16"/>
        </w:rPr>
        <w:t>i środkami bieżącymi</w:t>
      </w:r>
      <w:r>
        <w:rPr>
          <w:rFonts w:ascii="Verdana" w:hAnsi="Verdana" w:cs="Arial"/>
          <w:sz w:val="16"/>
          <w:szCs w:val="16"/>
        </w:rPr>
        <w:t>;</w:t>
      </w:r>
    </w:p>
    <w:p w:rsidR="00CA374E" w:rsidRDefault="00CA374E" w:rsidP="00CA374E">
      <w:pPr>
        <w:pStyle w:val="Akapitzlist"/>
        <w:numPr>
          <w:ilvl w:val="0"/>
          <w:numId w:val="53"/>
        </w:numPr>
        <w:autoSpaceDE w:val="0"/>
        <w:autoSpaceDN w:val="0"/>
        <w:adjustRightInd w:val="0"/>
        <w:spacing w:before="60" w:after="60"/>
        <w:ind w:left="851" w:hanging="284"/>
        <w:contextualSpacing w:val="0"/>
        <w:jc w:val="both"/>
        <w:rPr>
          <w:rFonts w:ascii="Verdana" w:hAnsi="Verdana" w:cs="Arial"/>
          <w:sz w:val="16"/>
          <w:szCs w:val="16"/>
        </w:rPr>
      </w:pPr>
      <w:r w:rsidRPr="003527FB">
        <w:rPr>
          <w:rFonts w:ascii="Verdana" w:hAnsi="Verdana" w:cs="Arial"/>
          <w:sz w:val="16"/>
          <w:szCs w:val="16"/>
        </w:rPr>
        <w:t xml:space="preserve">w myśl 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Pr>
          <w:rFonts w:ascii="Verdana" w:hAnsi="Verdana"/>
          <w:sz w:val="16"/>
          <w:szCs w:val="16"/>
        </w:rPr>
        <w:t>(Dz. U. z 2020 r. poz. 2400 oraz</w:t>
      </w:r>
      <w:r w:rsidRPr="003527FB">
        <w:rPr>
          <w:rFonts w:ascii="Verdana" w:hAnsi="Verdana"/>
          <w:sz w:val="16"/>
          <w:szCs w:val="16"/>
        </w:rPr>
        <w:t xml:space="preserve"> z 2021 r. poz. 1104</w:t>
      </w:r>
      <w:r>
        <w:rPr>
          <w:rFonts w:ascii="Verdana" w:hAnsi="Verdana"/>
          <w:sz w:val="16"/>
          <w:szCs w:val="16"/>
        </w:rPr>
        <w:t xml:space="preserve"> i 1901</w:t>
      </w:r>
      <w:r w:rsidRPr="003527FB">
        <w:rPr>
          <w:rFonts w:ascii="Verdana" w:hAnsi="Verdana"/>
          <w:sz w:val="16"/>
          <w:szCs w:val="16"/>
        </w:rPr>
        <w:t xml:space="preserve">) </w:t>
      </w:r>
      <w:r w:rsidRPr="00C46B2F">
        <w:rPr>
          <w:rFonts w:ascii="Verdana" w:hAnsi="Verdana"/>
          <w:b/>
          <w:sz w:val="16"/>
          <w:szCs w:val="16"/>
        </w:rPr>
        <w:t xml:space="preserve">ograniczenia określonego w art. 243 ustawy o finansach publicznych nie stosuje się do wykupów papierów wartościowych, spłat rat kredytów i pożyczek wraz z należnymi odsetkami </w:t>
      </w:r>
      <w:r>
        <w:rPr>
          <w:rFonts w:ascii="Verdana" w:hAnsi="Verdana"/>
          <w:b/>
          <w:sz w:val="16"/>
          <w:szCs w:val="16"/>
        </w:rPr>
        <w:br/>
      </w:r>
      <w:r w:rsidRPr="00C46B2F">
        <w:rPr>
          <w:rFonts w:ascii="Verdana" w:hAnsi="Verdana"/>
          <w:b/>
          <w:sz w:val="16"/>
          <w:szCs w:val="16"/>
        </w:rPr>
        <w:t xml:space="preserve">i dyskontem odpowiednio emitowanych lub </w:t>
      </w:r>
      <w:r>
        <w:rPr>
          <w:rFonts w:ascii="Verdana" w:hAnsi="Verdana"/>
          <w:b/>
          <w:sz w:val="16"/>
          <w:szCs w:val="16"/>
        </w:rPr>
        <w:t>zaciągniętych</w:t>
      </w:r>
      <w:r w:rsidRPr="00C46B2F">
        <w:rPr>
          <w:rFonts w:ascii="Verdana" w:hAnsi="Verdana"/>
          <w:b/>
          <w:sz w:val="16"/>
          <w:szCs w:val="16"/>
        </w:rPr>
        <w:t xml:space="preserve"> w 2021 r. do równowartości kwoty ubytku w dochodach będącego skutkiem wystąpienia COVID-19. </w:t>
      </w:r>
      <w:r w:rsidRPr="003527FB">
        <w:rPr>
          <w:rFonts w:ascii="Verdana" w:hAnsi="Verdana"/>
          <w:sz w:val="16"/>
          <w:szCs w:val="16"/>
        </w:rPr>
        <w:t>U</w:t>
      </w:r>
      <w:r w:rsidRPr="003527FB">
        <w:rPr>
          <w:rFonts w:ascii="Verdana" w:hAnsi="Verdana" w:cs="Arial"/>
          <w:sz w:val="16"/>
          <w:szCs w:val="16"/>
        </w:rPr>
        <w:t xml:space="preserve">bytek w dochodach będący skutkiem wystąpienia COVID-19, definiowany jest jako zmniejszenie dochodów obliczone jako różnica między dochodami jednostki w 2021 r. a prognozami dochodów na rok 2021 wykazanymi przez jednostkę w wieloletniej prognozie finansowej obowiązującej na dzień 31 marca 2020 r., z tym że przez dochody rozumiane są dochody bieżące pomniejszone o dochody z tytułu subwencji ogólnej oraz dotacji i środków przeznaczonych na cele bieżące. Ponadto </w:t>
      </w:r>
      <w:r w:rsidRPr="00C46B2F">
        <w:rPr>
          <w:rFonts w:ascii="Verdana" w:hAnsi="Verdana" w:cs="Arial"/>
          <w:b/>
          <w:sz w:val="16"/>
          <w:szCs w:val="16"/>
        </w:rPr>
        <w:t xml:space="preserve">ustalając limit obsługi długu określony </w:t>
      </w:r>
      <w:r>
        <w:rPr>
          <w:rFonts w:ascii="Verdana" w:hAnsi="Verdana" w:cs="Arial"/>
          <w:b/>
          <w:sz w:val="16"/>
          <w:szCs w:val="16"/>
        </w:rPr>
        <w:br/>
      </w:r>
      <w:r w:rsidRPr="00C46B2F">
        <w:rPr>
          <w:rFonts w:ascii="Verdana" w:hAnsi="Verdana" w:cs="Arial"/>
          <w:b/>
          <w:sz w:val="16"/>
          <w:szCs w:val="16"/>
        </w:rPr>
        <w:t>w art. 243 ustawy o finansach publicznych na rok 2022 i lata kolejne wydatki budżetu podlegają pomniejszeniu o wydatki bieżące poniesione w 2021 r. w celu realizacji zadań związanych z przeciwdziałaniem COVID-19 z pominięciem wydatków sfinansowanych otrzymanymi na ten cel dotacjami i środkami bieżącymi</w:t>
      </w:r>
      <w:r w:rsidRPr="00F6162B">
        <w:rPr>
          <w:rFonts w:ascii="Verdana" w:hAnsi="Verdana" w:cs="Arial"/>
          <w:sz w:val="16"/>
          <w:szCs w:val="16"/>
        </w:rPr>
        <w:t>.</w:t>
      </w:r>
    </w:p>
    <w:p w:rsidR="00CA374E" w:rsidRPr="00F6162B" w:rsidRDefault="00CA374E" w:rsidP="00CA374E">
      <w:pPr>
        <w:pStyle w:val="Akapitzlist"/>
        <w:numPr>
          <w:ilvl w:val="0"/>
          <w:numId w:val="53"/>
        </w:numPr>
        <w:autoSpaceDE w:val="0"/>
        <w:autoSpaceDN w:val="0"/>
        <w:adjustRightInd w:val="0"/>
        <w:spacing w:before="60" w:after="60"/>
        <w:ind w:left="851" w:hanging="284"/>
        <w:contextualSpacing w:val="0"/>
        <w:jc w:val="both"/>
        <w:rPr>
          <w:rFonts w:ascii="Verdana" w:hAnsi="Verdana" w:cs="Arial"/>
          <w:sz w:val="16"/>
          <w:szCs w:val="16"/>
        </w:rPr>
      </w:pPr>
      <w:r>
        <w:rPr>
          <w:rFonts w:ascii="Verdana" w:hAnsi="Verdana" w:cs="Arial"/>
          <w:sz w:val="16"/>
          <w:szCs w:val="16"/>
        </w:rPr>
        <w:t xml:space="preserve">w myśl art. 15zob </w:t>
      </w:r>
      <w:r w:rsidRPr="003527FB">
        <w:rPr>
          <w:rFonts w:ascii="Verdana" w:hAnsi="Verdana"/>
          <w:sz w:val="16"/>
          <w:szCs w:val="16"/>
        </w:rPr>
        <w:t xml:space="preserve">ustawy z dnia 2 marca 2020 r. </w:t>
      </w:r>
      <w:r w:rsidRPr="003527FB">
        <w:rPr>
          <w:rFonts w:ascii="Verdana" w:hAnsi="Verdana"/>
          <w:i/>
          <w:sz w:val="16"/>
          <w:szCs w:val="16"/>
        </w:rPr>
        <w:t xml:space="preserve">o szczególnych rozwiązaniach związanych </w:t>
      </w:r>
      <w:r w:rsidRPr="003527FB">
        <w:rPr>
          <w:rFonts w:ascii="Verdana" w:hAnsi="Verdana"/>
          <w:i/>
          <w:sz w:val="16"/>
          <w:szCs w:val="16"/>
        </w:rPr>
        <w:br/>
        <w:t xml:space="preserve">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 xml:space="preserve">) </w:t>
      </w:r>
      <w:r w:rsidRPr="00C46B2F">
        <w:rPr>
          <w:rFonts w:ascii="Verdana" w:hAnsi="Verdana"/>
          <w:b/>
          <w:sz w:val="16"/>
          <w:szCs w:val="16"/>
        </w:rPr>
        <w:lastRenderedPageBreak/>
        <w:t xml:space="preserve">przy ustalaniu limitu obsługi długu dla lat 2020-2025 określonego w art. 243 ustawy </w:t>
      </w:r>
      <w:r>
        <w:rPr>
          <w:rFonts w:ascii="Verdana" w:hAnsi="Verdana"/>
          <w:b/>
          <w:sz w:val="16"/>
          <w:szCs w:val="16"/>
        </w:rPr>
        <w:br/>
      </w:r>
      <w:r w:rsidRPr="00C46B2F">
        <w:rPr>
          <w:rFonts w:ascii="Verdana" w:hAnsi="Verdana"/>
          <w:b/>
          <w:sz w:val="16"/>
          <w:szCs w:val="16"/>
        </w:rPr>
        <w:t>o finansach publicznych, podobnie jak dla lat począwszy od roku 2026, wydatki bieżące budżetu podlegają pomniejszeniu o wydatki na obsługę długu (odsetki)</w:t>
      </w:r>
      <w:r>
        <w:rPr>
          <w:rFonts w:ascii="Verdana" w:hAnsi="Verdana"/>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sidRPr="0085401F">
        <w:rPr>
          <w:rFonts w:ascii="Verdana" w:hAnsi="Verdana" w:cs="Verdana"/>
          <w:b/>
          <w:color w:val="000000"/>
          <w:sz w:val="16"/>
          <w:szCs w:val="16"/>
        </w:rPr>
        <w:t>Zm</w:t>
      </w:r>
      <w:r>
        <w:rPr>
          <w:rFonts w:ascii="Verdana" w:hAnsi="Verdana" w:cs="Verdana"/>
          <w:b/>
          <w:color w:val="000000"/>
          <w:sz w:val="16"/>
          <w:szCs w:val="16"/>
        </w:rPr>
        <w:t>iany w regule wprowadzone w 2021</w:t>
      </w:r>
      <w:r w:rsidRPr="0085401F">
        <w:rPr>
          <w:rFonts w:ascii="Verdana" w:hAnsi="Verdana" w:cs="Verdana"/>
          <w:b/>
          <w:color w:val="000000"/>
          <w:sz w:val="16"/>
          <w:szCs w:val="16"/>
        </w:rPr>
        <w:t xml:space="preserve"> r. w związku z </w:t>
      </w:r>
      <w:r>
        <w:rPr>
          <w:rFonts w:ascii="Verdana" w:hAnsi="Verdana" w:cs="Verdana"/>
          <w:b/>
          <w:color w:val="000000"/>
          <w:sz w:val="16"/>
          <w:szCs w:val="16"/>
        </w:rPr>
        <w:t xml:space="preserve">pakietem rozwiązań legislacyjnych wchodzących w skład rządowego tzw. Programu Polski Ład </w:t>
      </w:r>
    </w:p>
    <w:p w:rsidR="00CA374E" w:rsidRPr="00F6121F" w:rsidRDefault="00CA374E" w:rsidP="00CA374E">
      <w:pPr>
        <w:autoSpaceDE w:val="0"/>
        <w:autoSpaceDN w:val="0"/>
        <w:adjustRightInd w:val="0"/>
        <w:spacing w:before="60" w:after="60"/>
        <w:jc w:val="both"/>
        <w:rPr>
          <w:rFonts w:ascii="Verdana" w:hAnsi="Verdana" w:cs="Arial"/>
          <w:sz w:val="16"/>
          <w:szCs w:val="16"/>
        </w:rPr>
      </w:pPr>
      <w:r w:rsidRPr="00F6121F">
        <w:rPr>
          <w:rFonts w:ascii="Verdana" w:hAnsi="Verdana" w:cs="Arial"/>
          <w:sz w:val="16"/>
          <w:szCs w:val="16"/>
        </w:rPr>
        <w:t xml:space="preserve">W myśl art. 5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obniżony został z 60% do 50% minimalny pułap dofinansowania unijnego do wartości kwalifikowanej projektów inwestycyjnych uprawniający do stosowania po zakończeniu </w:t>
      </w:r>
      <w:r>
        <w:rPr>
          <w:rFonts w:ascii="Verdana" w:hAnsi="Verdana" w:cs="Arial"/>
          <w:sz w:val="16"/>
          <w:szCs w:val="16"/>
        </w:rPr>
        <w:br/>
      </w:r>
      <w:r w:rsidRPr="00F6121F">
        <w:rPr>
          <w:rFonts w:ascii="Verdana" w:hAnsi="Verdana" w:cs="Arial"/>
          <w:sz w:val="16"/>
          <w:szCs w:val="16"/>
        </w:rPr>
        <w:t>i rozliczeniu projektu wyłączeń z reguły obsługi długu spłat zobowiązań dłużnych zaciągniętych na finansowanie wkładu krajowego do tych projektów, z tym że uprawnienie to ma zastosowanie do projektów, na realizację których umowa o dofinansowanie została zawarta po 1 stycznia 2022 r.</w:t>
      </w:r>
    </w:p>
    <w:p w:rsidR="00CA374E" w:rsidRPr="00F6121F" w:rsidRDefault="00CA374E" w:rsidP="00CA374E">
      <w:pPr>
        <w:spacing w:before="80" w:after="80"/>
        <w:jc w:val="both"/>
        <w:rPr>
          <w:rFonts w:ascii="Verdana" w:hAnsi="Verdana"/>
          <w:iCs/>
          <w:sz w:val="16"/>
          <w:szCs w:val="16"/>
        </w:rPr>
      </w:pPr>
      <w:r w:rsidRPr="00F6121F">
        <w:rPr>
          <w:rFonts w:ascii="Verdana" w:hAnsi="Verdana" w:cs="Arial"/>
          <w:sz w:val="16"/>
          <w:szCs w:val="16"/>
        </w:rPr>
        <w:t xml:space="preserve">Przepis art. 7 ustawy z 14 października 2021 r. </w:t>
      </w:r>
      <w:r w:rsidRPr="00F6121F">
        <w:rPr>
          <w:rFonts w:ascii="Verdana" w:hAnsi="Verdana" w:cs="Arial"/>
          <w:i/>
          <w:sz w:val="16"/>
          <w:szCs w:val="16"/>
        </w:rPr>
        <w:t>o zmianie ustawy o dochodach jednostek samorządu terytorialnego oraz niektórych innych ustaw</w:t>
      </w:r>
      <w:r w:rsidRPr="00F6121F">
        <w:rPr>
          <w:rFonts w:ascii="Verdana" w:hAnsi="Verdana" w:cs="Arial"/>
          <w:sz w:val="16"/>
          <w:szCs w:val="16"/>
        </w:rPr>
        <w:t xml:space="preserve"> (Dz. U. poz. 1927) dopuszcza możliwość </w:t>
      </w:r>
      <w:r w:rsidRPr="00F6121F">
        <w:rPr>
          <w:rFonts w:ascii="Verdana" w:hAnsi="Verdana" w:cs="Arial"/>
          <w:b/>
          <w:sz w:val="16"/>
          <w:szCs w:val="16"/>
        </w:rPr>
        <w:t>wyznaczania indywidualnego limitu obsługi długu na lata 2022-2025 na podstawie siedmiu</w:t>
      </w:r>
      <w:r w:rsidRPr="00F6121F">
        <w:rPr>
          <w:rFonts w:ascii="Verdana" w:hAnsi="Verdana" w:cs="Arial"/>
          <w:sz w:val="16"/>
          <w:szCs w:val="16"/>
        </w:rPr>
        <w:t xml:space="preserve"> </w:t>
      </w:r>
      <w:r w:rsidRPr="00F6121F">
        <w:rPr>
          <w:rFonts w:ascii="Verdana" w:hAnsi="Verdana" w:cs="Arial"/>
          <w:b/>
          <w:sz w:val="16"/>
          <w:szCs w:val="16"/>
        </w:rPr>
        <w:t>poprzednich lat</w:t>
      </w:r>
      <w:r w:rsidRPr="00F6121F">
        <w:rPr>
          <w:rFonts w:ascii="Verdana" w:hAnsi="Verdana" w:cs="Arial"/>
          <w:sz w:val="16"/>
          <w:szCs w:val="16"/>
        </w:rPr>
        <w:t xml:space="preserve"> (</w:t>
      </w:r>
      <w:r w:rsidRPr="00F6121F">
        <w:rPr>
          <w:rFonts w:ascii="Verdana" w:hAnsi="Verdana"/>
          <w:iCs/>
          <w:sz w:val="16"/>
          <w:szCs w:val="16"/>
        </w:rPr>
        <w:t xml:space="preserve">dla roku </w:t>
      </w:r>
      <w:r w:rsidRPr="00F6121F">
        <w:rPr>
          <w:rFonts w:ascii="Verdana" w:eastAsiaTheme="minorEastAsia" w:hAnsi="Verdana" w:cs="Verdana"/>
          <w:color w:val="000000"/>
          <w:sz w:val="16"/>
          <w:szCs w:val="16"/>
        </w:rPr>
        <w:t>2024</w:t>
      </w:r>
      <w:r w:rsidRPr="00F6121F">
        <w:rPr>
          <w:rFonts w:ascii="Verdana" w:hAnsi="Verdana"/>
          <w:iCs/>
          <w:sz w:val="16"/>
          <w:szCs w:val="16"/>
        </w:rPr>
        <w:t xml:space="preserve"> brane są pod uwagę dane z lat 2017-2023)</w:t>
      </w:r>
      <w:r w:rsidRPr="00F6121F">
        <w:rPr>
          <w:rFonts w:ascii="Verdana" w:hAnsi="Verdana" w:cs="Arial"/>
          <w:sz w:val="16"/>
          <w:szCs w:val="16"/>
        </w:rPr>
        <w:t xml:space="preserve"> </w:t>
      </w:r>
      <w:r w:rsidRPr="00F6121F">
        <w:rPr>
          <w:rFonts w:ascii="Verdana" w:hAnsi="Verdana" w:cs="Arial"/>
          <w:b/>
          <w:sz w:val="16"/>
          <w:szCs w:val="16"/>
        </w:rPr>
        <w:t>w miejsce poprzednio obowiązującego okresu trzyletniego</w:t>
      </w:r>
      <w:r w:rsidRPr="00F6121F">
        <w:rPr>
          <w:rFonts w:ascii="Verdana" w:hAnsi="Verdana" w:cs="Arial"/>
          <w:sz w:val="16"/>
          <w:szCs w:val="16"/>
        </w:rPr>
        <w:t xml:space="preserve">. Zgodnie </w:t>
      </w:r>
      <w:r>
        <w:rPr>
          <w:rFonts w:ascii="Verdana" w:hAnsi="Verdana" w:cs="Arial"/>
          <w:sz w:val="16"/>
          <w:szCs w:val="16"/>
        </w:rPr>
        <w:br/>
      </w:r>
      <w:r w:rsidRPr="00F6121F">
        <w:rPr>
          <w:rFonts w:ascii="Verdana" w:hAnsi="Verdana" w:cs="Arial"/>
          <w:sz w:val="16"/>
          <w:szCs w:val="16"/>
        </w:rPr>
        <w:t xml:space="preserve">z uchwalonym przepisem okres, na podstawie którego wyznaczany jest indywidualny limit obsługi długu dla danego roku, dla lat 2022-2025 może obejmować tak jak przed zmianą przepisów </w:t>
      </w:r>
      <w:r w:rsidRPr="00F6121F">
        <w:rPr>
          <w:rFonts w:ascii="Verdana" w:hAnsi="Verdana" w:cs="Arial"/>
          <w:b/>
          <w:sz w:val="16"/>
          <w:szCs w:val="16"/>
        </w:rPr>
        <w:t>trzy wcześniejsze lata lub może zostać rozciągnięty na siedem poprzedzających lat</w:t>
      </w:r>
      <w:r w:rsidRPr="00F6121F">
        <w:rPr>
          <w:rFonts w:ascii="Verdana" w:hAnsi="Verdana" w:cs="Arial"/>
          <w:sz w:val="16"/>
          <w:szCs w:val="16"/>
        </w:rPr>
        <w:t xml:space="preserve">. Powyższy przepis </w:t>
      </w:r>
      <w:r w:rsidRPr="00F6121F">
        <w:rPr>
          <w:rFonts w:ascii="Verdana" w:hAnsi="Verdana" w:cs="Arial"/>
          <w:b/>
          <w:sz w:val="16"/>
          <w:szCs w:val="16"/>
        </w:rPr>
        <w:t>zobowiązał organ wykonawczy jednostki samorządu terytorialnego do dokonania w terminie do 31 grudnia 2021 r. wyboru dla lat 2022-2025 długości okresu stosowanego w badaniu spełnienia reguły indywidualnego limitu obsługi długu JST</w:t>
      </w:r>
      <w:r w:rsidRPr="00F6121F">
        <w:rPr>
          <w:rFonts w:ascii="Verdana" w:hAnsi="Verdana" w:cs="Arial"/>
          <w:sz w:val="16"/>
          <w:szCs w:val="16"/>
        </w:rPr>
        <w:t xml:space="preserve">, i następnie przekazania informacji w tym względzie właściwej regionalnej izbie obrachunkowej oraz organowi stanowiącemu. </w:t>
      </w:r>
      <w:r w:rsidRPr="00F6121F">
        <w:rPr>
          <w:rFonts w:ascii="Verdana" w:hAnsi="Verdana" w:cs="Arial"/>
          <w:b/>
          <w:sz w:val="16"/>
          <w:szCs w:val="16"/>
        </w:rPr>
        <w:t>Prezydent m.st. Warszawy jako organ wykonawczy dokonał dla lat 2022-2025 wyboru 7-letniego okresu stosowanego do wyliczenia relacji, o której mowa w art. 243 ustawy o finansach publicznych (indywidualny limit obsługi długu)</w:t>
      </w:r>
      <w:r w:rsidRPr="00011AAA">
        <w:rPr>
          <w:rStyle w:val="Odwoanieprzypisudolnego"/>
          <w:rFonts w:ascii="Verdana" w:hAnsi="Verdana"/>
          <w:bCs/>
          <w:iCs/>
          <w:color w:val="000000"/>
          <w:sz w:val="16"/>
          <w:szCs w:val="16"/>
        </w:rPr>
        <w:footnoteReference w:id="3"/>
      </w:r>
      <w:r w:rsidRPr="00F6121F">
        <w:rPr>
          <w:rFonts w:ascii="Verdana" w:hAnsi="Verdana"/>
          <w:bCs/>
          <w:iCs/>
          <w:color w:val="000000"/>
          <w:sz w:val="16"/>
          <w:szCs w:val="16"/>
        </w:rPr>
        <w:t xml:space="preserve"> </w:t>
      </w:r>
      <w:r w:rsidRPr="00F6121F">
        <w:rPr>
          <w:rFonts w:ascii="Verdana" w:hAnsi="Verdana" w:cs="Arial"/>
          <w:b/>
          <w:sz w:val="16"/>
          <w:szCs w:val="16"/>
        </w:rPr>
        <w:t>oraz poinformował o wyborze Regionalną Izbę Obrachunkową w Warszawie w piśmie z 26 listopada 2021 r. nr GP-OR.0050.1795.2021 i Radę m.st. Warszawy w piśmie z 26 listopada 2021 r. nr DR-7-OW.3150.6.2021.KPI.</w:t>
      </w:r>
      <w:r w:rsidRPr="00F6121F">
        <w:rPr>
          <w:rFonts w:ascii="Verdana" w:hAnsi="Verdana"/>
          <w:iCs/>
          <w:sz w:val="16"/>
          <w:szCs w:val="16"/>
        </w:rPr>
        <w:t xml:space="preserve"> </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 marcu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konfliktem zbrojnym na terytorium Ukrainy</w:t>
      </w:r>
    </w:p>
    <w:p w:rsidR="00CA374E" w:rsidRDefault="00CA374E" w:rsidP="00CA374E">
      <w:pPr>
        <w:autoSpaceDE w:val="0"/>
        <w:autoSpaceDN w:val="0"/>
        <w:adjustRightInd w:val="0"/>
        <w:spacing w:before="60" w:after="60"/>
        <w:jc w:val="both"/>
        <w:rPr>
          <w:rFonts w:ascii="Verdana" w:hAnsi="Verdana" w:cs="Arial"/>
          <w:b/>
          <w:sz w:val="16"/>
          <w:szCs w:val="16"/>
        </w:rPr>
      </w:pPr>
      <w:r>
        <w:rPr>
          <w:rFonts w:ascii="Verdana" w:hAnsi="Verdana" w:cs="Arial"/>
          <w:sz w:val="16"/>
          <w:szCs w:val="16"/>
        </w:rPr>
        <w:t>W myśl 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 xml:space="preserve">terytorialnego na rok 2023 i lata kolejne, </w:t>
      </w:r>
      <w:r w:rsidRPr="001D6891">
        <w:rPr>
          <w:rFonts w:ascii="Verdana" w:hAnsi="Verdana" w:cs="Arial"/>
          <w:b/>
          <w:sz w:val="16"/>
          <w:szCs w:val="16"/>
        </w:rPr>
        <w:t>wydatki bieżące budżetu tej jednostki podlegają pomniejszeniu o wydatki bieżące poniesione w celu realizacji zadań związanych z pomocą obywatelom Ukrainy w związku z konfliktem zbrojnym na terytorium tego państwa w części, w jakiej nie są one finansowane środkami publicznymi otrzymanymi przez jednostkę na ten cel</w:t>
      </w:r>
      <w:r w:rsidRPr="00891B2D">
        <w:rPr>
          <w:rFonts w:ascii="Verdana" w:hAnsi="Verdana" w:cs="Arial"/>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Dalsze z</w:t>
      </w:r>
      <w:r w:rsidRPr="00B00822">
        <w:rPr>
          <w:rFonts w:ascii="Verdana" w:hAnsi="Verdana" w:cs="Verdana"/>
          <w:b/>
          <w:color w:val="000000"/>
          <w:sz w:val="16"/>
          <w:szCs w:val="16"/>
        </w:rPr>
        <w:t>miany</w:t>
      </w:r>
      <w:r>
        <w:rPr>
          <w:rFonts w:ascii="Verdana" w:hAnsi="Verdana" w:cs="Verdana"/>
          <w:b/>
          <w:color w:val="000000"/>
          <w:sz w:val="16"/>
          <w:szCs w:val="16"/>
        </w:rPr>
        <w:t xml:space="preserve"> łagodzące</w:t>
      </w:r>
      <w:r w:rsidRPr="00B00822">
        <w:rPr>
          <w:rFonts w:ascii="Verdana" w:hAnsi="Verdana" w:cs="Verdana"/>
          <w:b/>
          <w:color w:val="000000"/>
          <w:sz w:val="16"/>
          <w:szCs w:val="16"/>
        </w:rPr>
        <w:t xml:space="preserve"> w regule wprowadzone </w:t>
      </w:r>
      <w:r>
        <w:rPr>
          <w:rFonts w:ascii="Verdana" w:hAnsi="Verdana" w:cs="Verdana"/>
          <w:b/>
          <w:color w:val="000000"/>
          <w:sz w:val="16"/>
          <w:szCs w:val="16"/>
        </w:rPr>
        <w:t>w czerwcu 2022</w:t>
      </w:r>
      <w:r w:rsidRPr="0085401F">
        <w:rPr>
          <w:rFonts w:ascii="Verdana" w:hAnsi="Verdana" w:cs="Verdana"/>
          <w:b/>
          <w:color w:val="000000"/>
          <w:sz w:val="16"/>
          <w:szCs w:val="16"/>
        </w:rPr>
        <w:t xml:space="preserve"> r. w związku z </w:t>
      </w:r>
      <w:r>
        <w:rPr>
          <w:rFonts w:ascii="Verdana" w:hAnsi="Verdana" w:cs="Verdana"/>
          <w:b/>
          <w:color w:val="000000"/>
          <w:sz w:val="16"/>
          <w:szCs w:val="16"/>
        </w:rPr>
        <w:t>modyfikacją rozwiązań legislacyjnych wchodzących w skład tzw. Programu Polski Ład</w:t>
      </w:r>
    </w:p>
    <w:p w:rsidR="00CA374E" w:rsidRDefault="00CA374E" w:rsidP="00CA374E">
      <w:pPr>
        <w:autoSpaceDE w:val="0"/>
        <w:autoSpaceDN w:val="0"/>
        <w:adjustRightInd w:val="0"/>
        <w:spacing w:before="60" w:after="60"/>
        <w:jc w:val="both"/>
        <w:rPr>
          <w:rFonts w:ascii="Verdana" w:hAnsi="Verdana" w:cs="Arial"/>
          <w:sz w:val="16"/>
          <w:szCs w:val="16"/>
        </w:rPr>
      </w:pPr>
      <w:r>
        <w:rPr>
          <w:rFonts w:ascii="Verdana" w:hAnsi="Verdana" w:cs="Arial"/>
          <w:sz w:val="16"/>
          <w:szCs w:val="16"/>
        </w:rPr>
        <w:t>W myśl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 xml:space="preserve"> u</w:t>
      </w:r>
      <w:r w:rsidRPr="00CD66CD">
        <w:rPr>
          <w:rFonts w:ascii="Verdana" w:hAnsi="Verdana" w:cs="Arial"/>
          <w:sz w:val="16"/>
          <w:szCs w:val="16"/>
        </w:rPr>
        <w:t>stalając relację ograniczającą wysokość spłaty długu jednostki samorządu</w:t>
      </w:r>
      <w:r>
        <w:rPr>
          <w:rFonts w:ascii="Verdana" w:hAnsi="Verdana" w:cs="Arial"/>
          <w:sz w:val="16"/>
          <w:szCs w:val="16"/>
        </w:rPr>
        <w:t xml:space="preserve"> </w:t>
      </w:r>
      <w:r w:rsidRPr="00CD66CD">
        <w:rPr>
          <w:rFonts w:ascii="Verdana" w:hAnsi="Verdana" w:cs="Arial"/>
          <w:sz w:val="16"/>
          <w:szCs w:val="16"/>
        </w:rPr>
        <w:t>terytorialnego</w:t>
      </w:r>
      <w:r>
        <w:rPr>
          <w:rFonts w:ascii="Verdana" w:hAnsi="Verdana" w:cs="Arial"/>
          <w:sz w:val="16"/>
          <w:szCs w:val="16"/>
        </w:rPr>
        <w:t xml:space="preserve"> powyższego ograniczenia </w:t>
      </w:r>
      <w:r w:rsidRPr="00614A70">
        <w:rPr>
          <w:rFonts w:ascii="Verdana" w:hAnsi="Verdana" w:cs="Arial"/>
          <w:b/>
          <w:sz w:val="16"/>
          <w:szCs w:val="16"/>
        </w:rPr>
        <w:t>nie stosuje się do wykupu papierów wartościowych, spłaty rat kredytów i pożyczek wraz z należnymi odsetkami i dyskontem</w:t>
      </w:r>
      <w:r w:rsidRPr="00883367">
        <w:rPr>
          <w:rFonts w:ascii="Verdana" w:hAnsi="Verdana" w:cs="Arial"/>
          <w:sz w:val="16"/>
          <w:szCs w:val="16"/>
        </w:rPr>
        <w:t xml:space="preserve"> oraz spłaty </w:t>
      </w:r>
      <w:r w:rsidRPr="00883367">
        <w:rPr>
          <w:rFonts w:ascii="Verdana" w:hAnsi="Verdana" w:cs="Arial"/>
          <w:sz w:val="16"/>
          <w:szCs w:val="16"/>
        </w:rPr>
        <w:lastRenderedPageBreak/>
        <w:t xml:space="preserve">rat innych zobowiązań zaliczanych do tytułu dłużnego, o którym mowa w art. 72 ust. 1 pkt 2 ustawy o finansach publicznych, wraz z wydatkami bieżącymi na obsługę tych zobowiązań, </w:t>
      </w:r>
      <w:r w:rsidRPr="00614A70">
        <w:rPr>
          <w:rFonts w:ascii="Verdana" w:hAnsi="Verdana" w:cs="Arial"/>
          <w:b/>
          <w:sz w:val="16"/>
          <w:szCs w:val="16"/>
        </w:rPr>
        <w:t>odpowiednio emitowanych lub zaciąganych w związku z realizacją zadania inwestycyjnego dofinansowywanego z Rządowego Funduszu Polski Ład: Program Inwestycji Strategicznych</w:t>
      </w:r>
      <w:r w:rsidRPr="00883367">
        <w:rPr>
          <w:rFonts w:ascii="Verdana" w:hAnsi="Verdana" w:cs="Arial"/>
          <w:sz w:val="16"/>
          <w:szCs w:val="16"/>
        </w:rPr>
        <w:t>, w terminie nie dłuższym niż 90 dni po zakończeniu zadania i otrzymaniu dofinansowania ze środków pochodzących z tego Funduszu</w:t>
      </w:r>
      <w:r w:rsidRPr="00891B2D">
        <w:rPr>
          <w:rFonts w:ascii="Verdana" w:hAnsi="Verdana" w:cs="Arial"/>
          <w:sz w:val="16"/>
          <w:szCs w:val="16"/>
        </w:rPr>
        <w:t>.</w:t>
      </w:r>
    </w:p>
    <w:p w:rsidR="00CA374E" w:rsidRPr="0085401F" w:rsidRDefault="00CA374E" w:rsidP="00CA374E">
      <w:pPr>
        <w:pStyle w:val="Akapitzlist"/>
        <w:numPr>
          <w:ilvl w:val="0"/>
          <w:numId w:val="51"/>
        </w:numPr>
        <w:autoSpaceDE w:val="0"/>
        <w:autoSpaceDN w:val="0"/>
        <w:adjustRightInd w:val="0"/>
        <w:spacing w:before="240" w:after="60"/>
        <w:ind w:left="426" w:hanging="284"/>
        <w:contextualSpacing w:val="0"/>
        <w:jc w:val="both"/>
        <w:rPr>
          <w:rFonts w:ascii="Verdana" w:hAnsi="Verdana" w:cs="Verdana"/>
          <w:b/>
          <w:color w:val="000000"/>
          <w:sz w:val="16"/>
          <w:szCs w:val="16"/>
        </w:rPr>
      </w:pPr>
      <w:r>
        <w:rPr>
          <w:rFonts w:ascii="Verdana" w:hAnsi="Verdana" w:cs="Verdana"/>
          <w:b/>
          <w:color w:val="000000"/>
          <w:sz w:val="16"/>
          <w:szCs w:val="16"/>
        </w:rPr>
        <w:t>Kolejne z</w:t>
      </w:r>
      <w:r w:rsidRPr="0085401F">
        <w:rPr>
          <w:rFonts w:ascii="Verdana" w:hAnsi="Verdana" w:cs="Verdana"/>
          <w:b/>
          <w:color w:val="000000"/>
          <w:sz w:val="16"/>
          <w:szCs w:val="16"/>
        </w:rPr>
        <w:t>m</w:t>
      </w:r>
      <w:r>
        <w:rPr>
          <w:rFonts w:ascii="Verdana" w:hAnsi="Verdana" w:cs="Verdana"/>
          <w:b/>
          <w:color w:val="000000"/>
          <w:sz w:val="16"/>
          <w:szCs w:val="16"/>
        </w:rPr>
        <w:t>iany łagodzące w regule wprowadzone we wrześniu 2022</w:t>
      </w:r>
      <w:r w:rsidRPr="0085401F">
        <w:rPr>
          <w:rFonts w:ascii="Verdana" w:hAnsi="Verdana" w:cs="Verdana"/>
          <w:b/>
          <w:color w:val="000000"/>
          <w:sz w:val="16"/>
          <w:szCs w:val="16"/>
        </w:rPr>
        <w:t xml:space="preserve"> r. w związku </w:t>
      </w:r>
      <w:r>
        <w:rPr>
          <w:rFonts w:ascii="Verdana" w:hAnsi="Verdana" w:cs="Verdana"/>
          <w:b/>
          <w:color w:val="000000"/>
          <w:sz w:val="16"/>
          <w:szCs w:val="16"/>
        </w:rPr>
        <w:t xml:space="preserve">ze skutkami zmian podatkowych wprowadzonych w ramach tzw. Programu Polski Ład oraz w związku </w:t>
      </w:r>
      <w:r>
        <w:rPr>
          <w:rFonts w:ascii="Verdana" w:hAnsi="Verdana" w:cs="Verdana"/>
          <w:b/>
          <w:color w:val="000000"/>
          <w:sz w:val="16"/>
          <w:szCs w:val="16"/>
        </w:rPr>
        <w:br/>
      </w:r>
      <w:r w:rsidRPr="0085401F">
        <w:rPr>
          <w:rFonts w:ascii="Verdana" w:hAnsi="Verdana" w:cs="Verdana"/>
          <w:b/>
          <w:color w:val="000000"/>
          <w:sz w:val="16"/>
          <w:szCs w:val="16"/>
        </w:rPr>
        <w:t xml:space="preserve">z </w:t>
      </w:r>
      <w:r>
        <w:rPr>
          <w:rFonts w:ascii="Verdana" w:hAnsi="Verdana" w:cs="Verdana"/>
          <w:b/>
          <w:color w:val="000000"/>
          <w:sz w:val="16"/>
          <w:szCs w:val="16"/>
        </w:rPr>
        <w:t>kryzysem energetycznym</w:t>
      </w:r>
    </w:p>
    <w:p w:rsidR="00CA374E" w:rsidRDefault="00CA374E" w:rsidP="00CA374E">
      <w:pPr>
        <w:spacing w:before="80" w:after="80"/>
        <w:jc w:val="both"/>
        <w:rPr>
          <w:rFonts w:ascii="Verdana" w:hAnsi="Verdana" w:cs="Arial"/>
          <w:sz w:val="16"/>
          <w:szCs w:val="16"/>
        </w:rPr>
      </w:pPr>
      <w:r>
        <w:rPr>
          <w:rFonts w:ascii="Verdana" w:hAnsi="Verdana" w:cs="Arial"/>
          <w:sz w:val="16"/>
          <w:szCs w:val="16"/>
        </w:rPr>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w:t>
      </w:r>
      <w:r>
        <w:rPr>
          <w:rFonts w:ascii="Verdana" w:hAnsi="Verdana" w:cs="Arial"/>
          <w:sz w:val="16"/>
          <w:szCs w:val="16"/>
        </w:rPr>
        <w:br/>
      </w:r>
      <w:r w:rsidRPr="008E4FAA">
        <w:rPr>
          <w:rFonts w:ascii="Verdana" w:hAnsi="Verdana" w:cs="Arial"/>
          <w:sz w:val="16"/>
          <w:szCs w:val="16"/>
        </w:rPr>
        <w:t xml:space="preserve">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w:t>
      </w:r>
      <w:r>
        <w:rPr>
          <w:rFonts w:ascii="Verdana" w:hAnsi="Verdana" w:cs="Arial"/>
          <w:sz w:val="16"/>
          <w:szCs w:val="16"/>
        </w:rPr>
        <w:br/>
      </w:r>
      <w:r w:rsidRPr="008E4FAA">
        <w:rPr>
          <w:rFonts w:ascii="Verdana" w:hAnsi="Verdana" w:cs="Arial"/>
          <w:sz w:val="16"/>
          <w:szCs w:val="16"/>
        </w:rPr>
        <w:t xml:space="preserve">art. 246 ustawy </w:t>
      </w:r>
      <w:r>
        <w:rPr>
          <w:rFonts w:ascii="Verdana" w:hAnsi="Verdana" w:cs="Arial"/>
          <w:sz w:val="16"/>
          <w:szCs w:val="16"/>
        </w:rP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CA374E" w:rsidRPr="0085401F" w:rsidRDefault="00CA374E" w:rsidP="00CA374E">
      <w:pPr>
        <w:pStyle w:val="Akapitzlist"/>
        <w:numPr>
          <w:ilvl w:val="0"/>
          <w:numId w:val="51"/>
        </w:numPr>
        <w:spacing w:before="240" w:after="120"/>
        <w:ind w:left="426" w:hanging="284"/>
        <w:jc w:val="both"/>
        <w:rPr>
          <w:rFonts w:ascii="Verdana" w:hAnsi="Verdana" w:cs="Verdana"/>
          <w:b/>
          <w:color w:val="000000"/>
          <w:sz w:val="16"/>
          <w:szCs w:val="16"/>
        </w:rPr>
      </w:pPr>
      <w:r>
        <w:rPr>
          <w:rFonts w:ascii="Verdana" w:hAnsi="Verdana" w:cs="Verdana"/>
          <w:b/>
          <w:color w:val="000000"/>
          <w:sz w:val="16"/>
          <w:szCs w:val="16"/>
        </w:rPr>
        <w:t>Reguła obowiązująca</w:t>
      </w:r>
    </w:p>
    <w:p w:rsidR="00CA374E" w:rsidRDefault="00CA374E" w:rsidP="00CA374E">
      <w:pPr>
        <w:spacing w:before="60" w:after="60"/>
        <w:jc w:val="both"/>
        <w:rPr>
          <w:rFonts w:ascii="Verdana" w:hAnsi="Verdana" w:cs="Arial"/>
          <w:sz w:val="16"/>
          <w:szCs w:val="16"/>
        </w:rPr>
      </w:pPr>
      <w:r>
        <w:rPr>
          <w:rFonts w:ascii="Verdana" w:hAnsi="Verdana" w:cs="Arial"/>
          <w:sz w:val="16"/>
          <w:szCs w:val="16"/>
        </w:rPr>
        <w:t xml:space="preserve">Z uwagi na skutki budżetowe </w:t>
      </w:r>
      <w:r>
        <w:rPr>
          <w:rFonts w:ascii="Verdana" w:hAnsi="Verdana" w:cs="Verdana"/>
          <w:color w:val="000000"/>
          <w:sz w:val="16"/>
          <w:szCs w:val="16"/>
        </w:rPr>
        <w:t>pandemii</w:t>
      </w:r>
      <w:r w:rsidRPr="006E3D24">
        <w:rPr>
          <w:rFonts w:ascii="Verdana" w:hAnsi="Verdana" w:cs="Verdana"/>
          <w:color w:val="000000"/>
          <w:sz w:val="16"/>
          <w:szCs w:val="16"/>
        </w:rPr>
        <w:t xml:space="preserve"> </w:t>
      </w:r>
      <w:proofErr w:type="spellStart"/>
      <w:r w:rsidRPr="006E3D24">
        <w:rPr>
          <w:rFonts w:ascii="Verdana" w:hAnsi="Verdana" w:cs="Verdana"/>
          <w:color w:val="000000"/>
          <w:sz w:val="16"/>
          <w:szCs w:val="16"/>
        </w:rPr>
        <w:t>koronawirusa</w:t>
      </w:r>
      <w:proofErr w:type="spellEnd"/>
      <w:r w:rsidRPr="006E3D24">
        <w:rPr>
          <w:rFonts w:ascii="Verdana" w:hAnsi="Verdana" w:cs="Verdana"/>
          <w:color w:val="000000"/>
          <w:sz w:val="16"/>
          <w:szCs w:val="16"/>
        </w:rPr>
        <w:t xml:space="preserve"> SARS-CoV-2 wywołującego chorobę COVID-19</w:t>
      </w:r>
      <w:r>
        <w:rPr>
          <w:rFonts w:ascii="Verdana" w:hAnsi="Verdana" w:cs="Verdana"/>
          <w:color w:val="000000"/>
          <w:sz w:val="16"/>
          <w:szCs w:val="16"/>
        </w:rPr>
        <w:t xml:space="preserve"> i</w:t>
      </w:r>
      <w:r w:rsidRPr="006E3D24">
        <w:rPr>
          <w:rFonts w:ascii="Verdana" w:hAnsi="Verdana" w:cs="Arial"/>
          <w:sz w:val="16"/>
          <w:szCs w:val="16"/>
        </w:rPr>
        <w:t xml:space="preserve"> zmiany </w:t>
      </w:r>
      <w:r>
        <w:rPr>
          <w:rFonts w:ascii="Verdana" w:hAnsi="Verdana" w:cs="Arial"/>
          <w:sz w:val="16"/>
          <w:szCs w:val="16"/>
        </w:rPr>
        <w:br/>
      </w:r>
      <w:r w:rsidRPr="006E3D24">
        <w:rPr>
          <w:rFonts w:ascii="Verdana" w:hAnsi="Verdana" w:cs="Arial"/>
          <w:sz w:val="16"/>
          <w:szCs w:val="16"/>
        </w:rPr>
        <w:t xml:space="preserve">w systemie dochodów jednostek samorządu terytorialnego wprowadzone w ramach programu Polski Ład oraz ze względu na pomoc udzielaną obywatelom Ukrainy finansowaną ze środków samorządowych, formuła reguły </w:t>
      </w:r>
      <w:r>
        <w:rPr>
          <w:rFonts w:ascii="Verdana" w:hAnsi="Verdana" w:cs="Arial"/>
          <w:sz w:val="16"/>
          <w:szCs w:val="16"/>
        </w:rPr>
        <w:t>indywidualnego limitu obsługi długu</w:t>
      </w:r>
      <w:r w:rsidRPr="006E3D24">
        <w:rPr>
          <w:rFonts w:ascii="Verdana" w:hAnsi="Verdana" w:cs="Arial"/>
          <w:sz w:val="16"/>
          <w:szCs w:val="16"/>
        </w:rPr>
        <w:t xml:space="preserve"> </w:t>
      </w:r>
      <w:r>
        <w:rPr>
          <w:rFonts w:ascii="Verdana" w:hAnsi="Verdana" w:cs="Arial"/>
          <w:sz w:val="16"/>
          <w:szCs w:val="16"/>
        </w:rPr>
        <w:t>została złagodzona.</w:t>
      </w:r>
    </w:p>
    <w:p w:rsidR="00CA374E" w:rsidRDefault="00CA374E" w:rsidP="00CA374E">
      <w:pPr>
        <w:spacing w:before="60" w:after="60"/>
        <w:jc w:val="both"/>
        <w:rPr>
          <w:rFonts w:ascii="Verdana" w:hAnsi="Verdana"/>
          <w:b/>
          <w:sz w:val="16"/>
          <w:szCs w:val="16"/>
        </w:rPr>
      </w:pPr>
      <w:r w:rsidRPr="001D6891">
        <w:rPr>
          <w:rFonts w:ascii="Verdana" w:hAnsi="Verdana" w:cs="Arial"/>
          <w:b/>
          <w:sz w:val="16"/>
          <w:szCs w:val="16"/>
        </w:rPr>
        <w:t>W związku z powyższym</w:t>
      </w:r>
      <w:r w:rsidRPr="001D6891">
        <w:rPr>
          <w:rFonts w:ascii="Verdana" w:hAnsi="Verdana" w:cs="Arial"/>
          <w:sz w:val="16"/>
          <w:szCs w:val="16"/>
        </w:rPr>
        <w:t xml:space="preserve"> </w:t>
      </w:r>
      <w:r w:rsidRPr="001D6891">
        <w:rPr>
          <w:rFonts w:ascii="Verdana" w:hAnsi="Verdana"/>
          <w:b/>
          <w:sz w:val="16"/>
          <w:szCs w:val="16"/>
        </w:rPr>
        <w:t xml:space="preserve">przepisy regulujące działanie reguły określone w art. 243 ustawy </w:t>
      </w:r>
      <w:r>
        <w:rPr>
          <w:rFonts w:ascii="Verdana" w:hAnsi="Verdana"/>
          <w:b/>
          <w:sz w:val="16"/>
          <w:szCs w:val="16"/>
        </w:rPr>
        <w:br/>
      </w:r>
      <w:r w:rsidRPr="001D6891">
        <w:rPr>
          <w:rFonts w:ascii="Verdana" w:hAnsi="Verdana"/>
          <w:b/>
          <w:sz w:val="16"/>
          <w:szCs w:val="16"/>
        </w:rPr>
        <w:t>o finansach publicznych</w:t>
      </w:r>
      <w:r>
        <w:rPr>
          <w:rFonts w:ascii="Verdana" w:hAnsi="Verdana"/>
          <w:b/>
          <w:sz w:val="16"/>
          <w:szCs w:val="16"/>
        </w:rPr>
        <w:t xml:space="preserve">, co do zasady regulujące iż obciążenia budżetu związane z obsługą długu </w:t>
      </w:r>
      <w:r>
        <w:rPr>
          <w:rFonts w:ascii="Verdana" w:hAnsi="Verdana"/>
          <w:b/>
          <w:sz w:val="16"/>
          <w:szCs w:val="16"/>
        </w:rPr>
        <w:br/>
        <w:t xml:space="preserve">w relacji do dochodów bieżących (pomniejszonych o dotacje i środki przeznaczone na cele bieżące), po uwzględnieniu wyłączeń związanych z obsługą długu zaciągniętego na finansowanie projektów inwestycyjnych współfinansowanych ze środków unijnych, nie mogą przekroczyć indywidualnego limitu obsługi długu wyznaczanego na podstawie historycznie ukształtowanych </w:t>
      </w:r>
      <w:r>
        <w:rPr>
          <w:rFonts w:ascii="Verdana" w:hAnsi="Verdana"/>
          <w:b/>
          <w:iCs/>
          <w:sz w:val="16"/>
          <w:szCs w:val="16"/>
        </w:rPr>
        <w:t>średnich poziomów</w:t>
      </w:r>
      <w:r w:rsidRPr="00011AAA">
        <w:rPr>
          <w:rFonts w:ascii="Verdana" w:hAnsi="Verdana"/>
          <w:b/>
          <w:iCs/>
          <w:sz w:val="16"/>
          <w:szCs w:val="16"/>
        </w:rPr>
        <w:t xml:space="preserve"> relacji nadwyżki dochodów bieżących nad wydatkami bieżącymi do dochodów bieżących</w:t>
      </w:r>
      <w:r>
        <w:rPr>
          <w:rFonts w:ascii="Verdana" w:hAnsi="Verdana"/>
          <w:b/>
          <w:iCs/>
          <w:sz w:val="16"/>
          <w:szCs w:val="16"/>
        </w:rPr>
        <w:t xml:space="preserve"> </w:t>
      </w:r>
      <w:r>
        <w:rPr>
          <w:rFonts w:ascii="Verdana" w:hAnsi="Verdana"/>
          <w:b/>
          <w:sz w:val="16"/>
          <w:szCs w:val="16"/>
        </w:rPr>
        <w:t>(pomniejszonych o dotacje i środki przeznaczone na cele bieżące),</w:t>
      </w:r>
      <w:r w:rsidRPr="001D6891">
        <w:rPr>
          <w:rFonts w:ascii="Verdana" w:hAnsi="Verdana"/>
          <w:b/>
          <w:sz w:val="16"/>
          <w:szCs w:val="16"/>
        </w:rPr>
        <w:t xml:space="preserve"> zostały złagodzone w ten sposób</w:t>
      </w:r>
      <w:r>
        <w:rPr>
          <w:rFonts w:ascii="Verdana" w:hAnsi="Verdana"/>
          <w:b/>
          <w:sz w:val="16"/>
          <w:szCs w:val="16"/>
        </w:rPr>
        <w:t>, że:</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wyłączeniu podlegają wydatki bieżące</w:t>
      </w:r>
      <w:r w:rsidRPr="0019234B">
        <w:rPr>
          <w:rFonts w:ascii="Verdana" w:hAnsi="Verdana" w:cs="Arial"/>
          <w:sz w:val="16"/>
          <w:szCs w:val="16"/>
        </w:rPr>
        <w:t xml:space="preserve"> </w:t>
      </w:r>
      <w:r>
        <w:rPr>
          <w:rFonts w:ascii="Verdana" w:hAnsi="Verdana" w:cs="Arial"/>
          <w:sz w:val="16"/>
          <w:szCs w:val="16"/>
        </w:rPr>
        <w:t>poniesione</w:t>
      </w:r>
      <w:r w:rsidRPr="0019234B">
        <w:rPr>
          <w:rFonts w:ascii="Verdana" w:hAnsi="Verdana" w:cs="Arial"/>
          <w:sz w:val="16"/>
          <w:szCs w:val="16"/>
        </w:rPr>
        <w:t xml:space="preserve"> w latach 2020-2021 na zadania związane </w:t>
      </w:r>
      <w:r>
        <w:rPr>
          <w:rFonts w:ascii="Verdana" w:hAnsi="Verdana" w:cs="Arial"/>
          <w:sz w:val="16"/>
          <w:szCs w:val="16"/>
        </w:rPr>
        <w:br/>
      </w:r>
      <w:r w:rsidRPr="0019234B">
        <w:rPr>
          <w:rFonts w:ascii="Verdana" w:hAnsi="Verdana" w:cs="Arial"/>
          <w:sz w:val="16"/>
          <w:szCs w:val="16"/>
        </w:rPr>
        <w:t>z przeciwdziałaniem Covid-19 finansowanych ze środków własnych (limit obsługi długu),</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wyłączeniu podlega</w:t>
      </w:r>
      <w:r w:rsidRPr="0019234B">
        <w:rPr>
          <w:rFonts w:ascii="Verdana" w:hAnsi="Verdana" w:cs="Arial"/>
          <w:sz w:val="16"/>
          <w:szCs w:val="16"/>
        </w:rPr>
        <w:t xml:space="preserve"> dług </w:t>
      </w:r>
      <w:r>
        <w:rPr>
          <w:rFonts w:ascii="Verdana" w:hAnsi="Verdana" w:cs="Arial"/>
          <w:sz w:val="16"/>
          <w:szCs w:val="16"/>
        </w:rPr>
        <w:t>zaciągnięty</w:t>
      </w:r>
      <w:r w:rsidRPr="0019234B">
        <w:rPr>
          <w:rFonts w:ascii="Verdana" w:hAnsi="Verdana" w:cs="Arial"/>
          <w:sz w:val="16"/>
          <w:szCs w:val="16"/>
        </w:rPr>
        <w:t xml:space="preserve"> w latach 2020-2021 na pokrycie ubytku dochodów będącego skutkiem wystąpienia Covid-19 (wskaźnik obsługi długu) pod warunkiem nieprzekroczenia w tych latach przez dług wartości 80% dochodów ogółem,</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wyłączeniu</w:t>
      </w:r>
      <w:r w:rsidRPr="0019234B">
        <w:rPr>
          <w:rFonts w:ascii="Verdana" w:hAnsi="Verdana" w:cs="Arial"/>
          <w:sz w:val="16"/>
          <w:szCs w:val="16"/>
        </w:rPr>
        <w:t xml:space="preserve"> przy wyznaczaniu limitu obsługi długu na rok 2023 i kolejne lata </w:t>
      </w:r>
      <w:r>
        <w:rPr>
          <w:rFonts w:ascii="Verdana" w:hAnsi="Verdana" w:cs="Arial"/>
          <w:sz w:val="16"/>
          <w:szCs w:val="16"/>
        </w:rPr>
        <w:t xml:space="preserve">podlegają </w:t>
      </w:r>
      <w:r w:rsidRPr="0019234B">
        <w:rPr>
          <w:rFonts w:ascii="Verdana" w:hAnsi="Verdana" w:cs="Arial"/>
          <w:sz w:val="16"/>
          <w:szCs w:val="16"/>
        </w:rPr>
        <w:t>wydatk</w:t>
      </w:r>
      <w:r>
        <w:rPr>
          <w:rFonts w:ascii="Verdana" w:hAnsi="Verdana" w:cs="Arial"/>
          <w:sz w:val="16"/>
          <w:szCs w:val="16"/>
        </w:rPr>
        <w:t>i bieżące</w:t>
      </w:r>
      <w:r w:rsidRPr="0019234B">
        <w:rPr>
          <w:rFonts w:ascii="Verdana" w:hAnsi="Verdana" w:cs="Arial"/>
          <w:sz w:val="16"/>
          <w:szCs w:val="16"/>
        </w:rPr>
        <w:t xml:space="preserve"> </w:t>
      </w:r>
      <w:r>
        <w:rPr>
          <w:rFonts w:ascii="Verdana" w:hAnsi="Verdana" w:cs="Arial"/>
          <w:sz w:val="16"/>
          <w:szCs w:val="16"/>
        </w:rPr>
        <w:t>ponoszone</w:t>
      </w:r>
      <w:r w:rsidRPr="0019234B">
        <w:rPr>
          <w:rFonts w:ascii="Verdana" w:hAnsi="Verdana" w:cs="Arial"/>
          <w:sz w:val="16"/>
          <w:szCs w:val="16"/>
        </w:rPr>
        <w:t xml:space="preserve"> w związku z pomocą dla obywateli Ukrainy, w części w jakiej nie są finansowane środkami otrzymanymi przez </w:t>
      </w:r>
      <w:proofErr w:type="spellStart"/>
      <w:r w:rsidRPr="0019234B">
        <w:rPr>
          <w:rFonts w:ascii="Verdana" w:hAnsi="Verdana" w:cs="Arial"/>
          <w:sz w:val="16"/>
          <w:szCs w:val="16"/>
        </w:rPr>
        <w:t>jst</w:t>
      </w:r>
      <w:proofErr w:type="spellEnd"/>
      <w:r w:rsidRPr="0019234B">
        <w:rPr>
          <w:rFonts w:ascii="Verdana" w:hAnsi="Verdana" w:cs="Arial"/>
          <w:sz w:val="16"/>
          <w:szCs w:val="16"/>
        </w:rPr>
        <w:t xml:space="preserve"> na ten cel</w:t>
      </w:r>
      <w:r>
        <w:rPr>
          <w:rFonts w:ascii="Verdana" w:hAnsi="Verdana" w:cs="Arial"/>
          <w:sz w:val="16"/>
          <w:szCs w:val="16"/>
        </w:rPr>
        <w:t>,</w:t>
      </w:r>
    </w:p>
    <w:p w:rsidR="00CA374E" w:rsidRPr="0019234B" w:rsidRDefault="00CA374E" w:rsidP="00CA374E">
      <w:pPr>
        <w:numPr>
          <w:ilvl w:val="0"/>
          <w:numId w:val="61"/>
        </w:numPr>
        <w:spacing w:before="60" w:after="60"/>
        <w:jc w:val="both"/>
        <w:rPr>
          <w:rFonts w:ascii="Verdana" w:hAnsi="Verdana" w:cs="Arial"/>
          <w:sz w:val="16"/>
          <w:szCs w:val="16"/>
        </w:rPr>
      </w:pPr>
      <w:r w:rsidRPr="0019234B">
        <w:rPr>
          <w:rFonts w:ascii="Verdana" w:hAnsi="Verdana" w:cs="Arial"/>
          <w:sz w:val="16"/>
          <w:szCs w:val="16"/>
        </w:rPr>
        <w:t>wyłączeniu przy ustalaniu limitu obsługi długu na lata 2020-2025</w:t>
      </w:r>
      <w:r>
        <w:rPr>
          <w:rFonts w:ascii="Verdana" w:hAnsi="Verdana" w:cs="Arial"/>
          <w:sz w:val="16"/>
          <w:szCs w:val="16"/>
        </w:rPr>
        <w:t xml:space="preserve"> podlegają </w:t>
      </w:r>
      <w:r w:rsidRPr="0019234B">
        <w:rPr>
          <w:rFonts w:ascii="Verdana" w:hAnsi="Verdana" w:cs="Arial"/>
          <w:sz w:val="16"/>
          <w:szCs w:val="16"/>
        </w:rPr>
        <w:t>koszt</w:t>
      </w:r>
      <w:r>
        <w:rPr>
          <w:rFonts w:ascii="Verdana" w:hAnsi="Verdana" w:cs="Arial"/>
          <w:sz w:val="16"/>
          <w:szCs w:val="16"/>
        </w:rPr>
        <w:t>y</w:t>
      </w:r>
      <w:r w:rsidRPr="0019234B">
        <w:rPr>
          <w:rFonts w:ascii="Verdana" w:hAnsi="Verdana" w:cs="Arial"/>
          <w:sz w:val="16"/>
          <w:szCs w:val="16"/>
        </w:rPr>
        <w:t xml:space="preserve"> obsługi długu (podobnie jak obowiązuje to od roku 2026),</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lastRenderedPageBreak/>
        <w:t>dopuszczona jest</w:t>
      </w:r>
      <w:r w:rsidRPr="0019234B">
        <w:rPr>
          <w:rFonts w:ascii="Verdana" w:hAnsi="Verdana" w:cs="Arial"/>
          <w:sz w:val="16"/>
          <w:szCs w:val="16"/>
        </w:rPr>
        <w:t xml:space="preserve"> możliwoś</w:t>
      </w:r>
      <w:r>
        <w:rPr>
          <w:rFonts w:ascii="Verdana" w:hAnsi="Verdana" w:cs="Arial"/>
          <w:sz w:val="16"/>
          <w:szCs w:val="16"/>
        </w:rPr>
        <w:t>ć</w:t>
      </w:r>
      <w:r w:rsidRPr="0019234B">
        <w:rPr>
          <w:rFonts w:ascii="Verdana" w:hAnsi="Verdana" w:cs="Arial"/>
          <w:sz w:val="16"/>
          <w:szCs w:val="16"/>
        </w:rPr>
        <w:t xml:space="preserve"> wyznaczania indywidualnego limitu obsługi długu na lata 2022-2025 na podstawie siedmiu poprzednich lat w miejsce poprzednio obowiązującego okresu trzyletniego </w:t>
      </w:r>
      <w:r>
        <w:rPr>
          <w:rFonts w:ascii="Verdana" w:hAnsi="Verdana" w:cs="Arial"/>
          <w:sz w:val="16"/>
          <w:szCs w:val="16"/>
        </w:rPr>
        <w:br/>
      </w:r>
      <w:r w:rsidRPr="0019234B">
        <w:rPr>
          <w:rFonts w:ascii="Verdana" w:hAnsi="Verdana" w:cs="Arial"/>
          <w:sz w:val="16"/>
          <w:szCs w:val="16"/>
        </w:rPr>
        <w:t>(od 2026 r. obowiązuje okres 7-letni),</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 xml:space="preserve">dopuszczona jest </w:t>
      </w:r>
      <w:r w:rsidRPr="0019234B">
        <w:rPr>
          <w:rFonts w:ascii="Verdana" w:hAnsi="Verdana" w:cs="Arial"/>
          <w:sz w:val="16"/>
          <w:szCs w:val="16"/>
        </w:rPr>
        <w:t>możliwoś</w:t>
      </w:r>
      <w:r>
        <w:rPr>
          <w:rFonts w:ascii="Verdana" w:hAnsi="Verdana" w:cs="Arial"/>
          <w:sz w:val="16"/>
          <w:szCs w:val="16"/>
        </w:rPr>
        <w:t>ć</w:t>
      </w:r>
      <w:r w:rsidRPr="0019234B">
        <w:rPr>
          <w:rFonts w:ascii="Verdana" w:hAnsi="Verdana" w:cs="Arial"/>
          <w:sz w:val="16"/>
          <w:szCs w:val="16"/>
        </w:rPr>
        <w:t xml:space="preserve"> niespełnienia reguły w latach 2023-2025 pod warunkiem gdy łączna kwota długu JST na koniec danego roku nie przekroczy 100% planowanych dochodów pomniejszonych </w:t>
      </w:r>
      <w:r>
        <w:rPr>
          <w:rFonts w:ascii="Verdana" w:hAnsi="Verdana" w:cs="Arial"/>
          <w:sz w:val="16"/>
          <w:szCs w:val="16"/>
        </w:rPr>
        <w:br/>
      </w:r>
      <w:r w:rsidRPr="0019234B">
        <w:rPr>
          <w:rFonts w:ascii="Verdana" w:hAnsi="Verdana" w:cs="Arial"/>
          <w:sz w:val="16"/>
          <w:szCs w:val="16"/>
        </w:rPr>
        <w:t xml:space="preserve">o planowane dotacje (i środki o podobnych charakterze) oraz powiększone o przychody (określane </w:t>
      </w:r>
      <w:r>
        <w:rPr>
          <w:rFonts w:ascii="Verdana" w:hAnsi="Verdana" w:cs="Arial"/>
          <w:sz w:val="16"/>
          <w:szCs w:val="16"/>
        </w:rPr>
        <w:br/>
      </w:r>
      <w:r w:rsidRPr="0019234B">
        <w:rPr>
          <w:rFonts w:ascii="Verdana" w:hAnsi="Verdana" w:cs="Arial"/>
          <w:sz w:val="16"/>
          <w:szCs w:val="16"/>
        </w:rPr>
        <w:t xml:space="preserve">art. 217 ust. 2 pkt 4-8 </w:t>
      </w:r>
      <w:proofErr w:type="spellStart"/>
      <w:r w:rsidRPr="0019234B">
        <w:rPr>
          <w:rFonts w:ascii="Verdana" w:hAnsi="Verdana" w:cs="Arial"/>
          <w:sz w:val="16"/>
          <w:szCs w:val="16"/>
        </w:rPr>
        <w:t>uofp</w:t>
      </w:r>
      <w:proofErr w:type="spellEnd"/>
      <w:r w:rsidRPr="0019234B">
        <w:rPr>
          <w:rFonts w:ascii="Verdana" w:hAnsi="Verdana" w:cs="Arial"/>
          <w:sz w:val="16"/>
          <w:szCs w:val="16"/>
        </w:rPr>
        <w:t>) nieprzeznaczone na sfinansowanie deficytu budżetowego,</w:t>
      </w:r>
    </w:p>
    <w:p w:rsidR="00CA374E"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obniżony został</w:t>
      </w:r>
      <w:r w:rsidRPr="0019234B">
        <w:rPr>
          <w:rFonts w:ascii="Verdana" w:hAnsi="Verdana" w:cs="Arial"/>
          <w:sz w:val="16"/>
          <w:szCs w:val="16"/>
        </w:rPr>
        <w:t xml:space="preserve"> z 60% do 50% minimaln</w:t>
      </w:r>
      <w:r>
        <w:rPr>
          <w:rFonts w:ascii="Verdana" w:hAnsi="Verdana" w:cs="Arial"/>
          <w:sz w:val="16"/>
          <w:szCs w:val="16"/>
        </w:rPr>
        <w:t>y</w:t>
      </w:r>
      <w:r w:rsidRPr="0019234B">
        <w:rPr>
          <w:rFonts w:ascii="Verdana" w:hAnsi="Verdana" w:cs="Arial"/>
          <w:sz w:val="16"/>
          <w:szCs w:val="16"/>
        </w:rPr>
        <w:t xml:space="preserve"> limit dofinansowania unijnego do wartości kwalifikowanej projektów inwestycyjnych uprawniając</w:t>
      </w:r>
      <w:r>
        <w:rPr>
          <w:rFonts w:ascii="Verdana" w:hAnsi="Verdana" w:cs="Arial"/>
          <w:sz w:val="16"/>
          <w:szCs w:val="16"/>
        </w:rPr>
        <w:t>y</w:t>
      </w:r>
      <w:r w:rsidRPr="0019234B">
        <w:rPr>
          <w:rFonts w:ascii="Verdana" w:hAnsi="Verdana" w:cs="Arial"/>
          <w:sz w:val="16"/>
          <w:szCs w:val="16"/>
        </w:rPr>
        <w:t xml:space="preserve"> do stosowania po zakończeniu i rozliczeniu projektu wyłączeń </w:t>
      </w:r>
      <w:r>
        <w:rPr>
          <w:rFonts w:ascii="Verdana" w:hAnsi="Verdana" w:cs="Arial"/>
          <w:sz w:val="16"/>
          <w:szCs w:val="16"/>
        </w:rPr>
        <w:br/>
      </w:r>
      <w:r w:rsidRPr="0019234B">
        <w:rPr>
          <w:rFonts w:ascii="Verdana" w:hAnsi="Verdana" w:cs="Arial"/>
          <w:sz w:val="16"/>
          <w:szCs w:val="16"/>
        </w:rPr>
        <w:t xml:space="preserve">z reguły obsługi długu spłat zobowiązań dłużnych zaciągniętych na finansowanie wkładu krajowego do tych projektów, z tym że uprawnienie to ma zastosowanie do projektów, na realizację których umowa </w:t>
      </w:r>
      <w:r>
        <w:rPr>
          <w:rFonts w:ascii="Verdana" w:hAnsi="Verdana" w:cs="Arial"/>
          <w:sz w:val="16"/>
          <w:szCs w:val="16"/>
        </w:rPr>
        <w:br/>
      </w:r>
      <w:r w:rsidRPr="0019234B">
        <w:rPr>
          <w:rFonts w:ascii="Verdana" w:hAnsi="Verdana" w:cs="Arial"/>
          <w:sz w:val="16"/>
          <w:szCs w:val="16"/>
        </w:rPr>
        <w:t>o dofinansowanie zostanie zawarta po 01.01.2022 r.,</w:t>
      </w:r>
    </w:p>
    <w:p w:rsidR="00CA374E" w:rsidRPr="0019234B" w:rsidRDefault="00CA374E" w:rsidP="00CA374E">
      <w:pPr>
        <w:numPr>
          <w:ilvl w:val="0"/>
          <w:numId w:val="61"/>
        </w:numPr>
        <w:spacing w:before="60" w:after="60"/>
        <w:jc w:val="both"/>
        <w:rPr>
          <w:rFonts w:ascii="Verdana" w:hAnsi="Verdana" w:cs="Arial"/>
          <w:sz w:val="16"/>
          <w:szCs w:val="16"/>
        </w:rPr>
      </w:pPr>
      <w:r>
        <w:rPr>
          <w:rFonts w:ascii="Verdana" w:hAnsi="Verdana" w:cs="Arial"/>
          <w:sz w:val="16"/>
          <w:szCs w:val="16"/>
        </w:rPr>
        <w:t>wyłączeniu podlegają</w:t>
      </w:r>
      <w:r w:rsidRPr="0019234B">
        <w:rPr>
          <w:rFonts w:ascii="Verdana" w:hAnsi="Verdana" w:cs="Arial"/>
          <w:sz w:val="16"/>
          <w:szCs w:val="16"/>
        </w:rPr>
        <w:t xml:space="preserve"> spłaty kredytów, pożyczek, wykup obligacji wraz z odsetkami od zadłużenia zaciąganego / emitowanego w związku z realizacją inwestycji dofinansowanych z Rządowego Funduszu Polski Ład, w terminie nie dłuższym niż 90 dni po zakończeniu zadania i otrzymaniu dofinansowania ze środków pochodzących z Funduszu.</w:t>
      </w:r>
    </w:p>
    <w:p w:rsidR="00CA374E" w:rsidRPr="000A6485" w:rsidRDefault="00CA374E" w:rsidP="00CA374E">
      <w:pPr>
        <w:spacing w:before="80" w:after="80"/>
        <w:jc w:val="both"/>
        <w:rPr>
          <w:rFonts w:ascii="Verdana" w:hAnsi="Verdana" w:cs="Arial"/>
          <w:bCs/>
          <w:sz w:val="16"/>
          <w:szCs w:val="16"/>
        </w:rPr>
      </w:pPr>
      <w:r w:rsidRPr="000A6485">
        <w:rPr>
          <w:rFonts w:ascii="Verdana" w:hAnsi="Verdana" w:cs="Arial"/>
          <w:bCs/>
          <w:sz w:val="16"/>
          <w:szCs w:val="16"/>
        </w:rPr>
        <w:t>Ustawową regułę limitu obciążeń budżetu związanych z obsługą długu prezentują poniższe wzory:</w:t>
      </w:r>
    </w:p>
    <w:p w:rsidR="00CA374E" w:rsidRDefault="00CA374E" w:rsidP="00CA374E">
      <w:pPr>
        <w:spacing w:before="240" w:after="120"/>
        <w:ind w:left="709" w:hanging="709"/>
        <w:jc w:val="center"/>
        <w:rPr>
          <w:rFonts w:ascii="Verdana" w:hAnsi="Verdana" w:cs="Arial"/>
          <w:b/>
          <w:sz w:val="16"/>
          <w:szCs w:val="16"/>
        </w:rPr>
      </w:pPr>
      <w:r w:rsidRPr="000A6485">
        <w:rPr>
          <w:rFonts w:ascii="Verdana" w:hAnsi="Verdana" w:cs="Arial"/>
          <w:sz w:val="16"/>
          <w:szCs w:val="16"/>
        </w:rPr>
        <w:t xml:space="preserve">Formuła obowiązująca </w:t>
      </w:r>
      <w:r>
        <w:rPr>
          <w:rFonts w:ascii="Verdana" w:hAnsi="Verdana" w:cs="Arial"/>
          <w:b/>
          <w:sz w:val="16"/>
          <w:szCs w:val="16"/>
        </w:rPr>
        <w:t>w latach 2023</w:t>
      </w:r>
      <w:r w:rsidRPr="000A6485">
        <w:rPr>
          <w:rFonts w:ascii="Verdana" w:hAnsi="Verdana" w:cs="Arial"/>
          <w:b/>
          <w:sz w:val="16"/>
          <w:szCs w:val="16"/>
        </w:rPr>
        <w:t>-2025</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A374E" w:rsidRPr="00011AAA" w:rsidTr="00067F5A">
        <w:tc>
          <w:tcPr>
            <w:tcW w:w="9071" w:type="dxa"/>
          </w:tcPr>
          <w:p w:rsidR="00CA374E" w:rsidRPr="00FD3335" w:rsidRDefault="00E91E8C" w:rsidP="00067F5A">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3˅7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3˅7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 Dsmi</m:t>
                        </m:r>
                      </m:num>
                      <m:den>
                        <m:r>
                          <m:rPr>
                            <m:sty m:val="b"/>
                          </m:rPr>
                          <w:rPr>
                            <w:rFonts w:ascii="Cambria Math" w:hAnsi="Cambria Math" w:cs="Arial"/>
                            <w:color w:val="000000" w:themeColor="text1"/>
                            <w:sz w:val="20"/>
                            <w:szCs w:val="20"/>
                          </w:rPr>
                          <m:t>Dbi</m:t>
                        </m:r>
                      </m:den>
                    </m:f>
                  </m:e>
                </m:nary>
              </m:oMath>
            </m:oMathPara>
          </w:p>
          <w:p w:rsidR="00CA374E" w:rsidRPr="00E071BF" w:rsidRDefault="00CA374E" w:rsidP="00067F5A">
            <w:pPr>
              <w:spacing w:before="120" w:after="120"/>
              <w:jc w:val="both"/>
              <w:rPr>
                <w:rFonts w:ascii="Verdana" w:hAnsi="Verdana" w:cs="Arial"/>
                <w:b/>
                <w:sz w:val="20"/>
                <w:szCs w:val="20"/>
              </w:rPr>
            </w:pPr>
            <w:r>
              <w:rPr>
                <w:rFonts w:ascii="Verdana" w:hAnsi="Verdana" w:cs="Arial"/>
                <w:bCs/>
                <w:noProof/>
                <w:sz w:val="16"/>
                <w:szCs w:val="16"/>
              </w:rPr>
              <mc:AlternateContent>
                <mc:Choice Requires="wps">
                  <w:drawing>
                    <wp:anchor distT="0" distB="0" distL="114300" distR="114300" simplePos="0" relativeHeight="251719680" behindDoc="0" locked="0" layoutInCell="1" allowOverlap="1" wp14:anchorId="1B3923C0" wp14:editId="7A1D3CCF">
                      <wp:simplePos x="0" y="0"/>
                      <wp:positionH relativeFrom="margin">
                        <wp:posOffset>49632</wp:posOffset>
                      </wp:positionH>
                      <wp:positionV relativeFrom="paragraph">
                        <wp:posOffset>127762</wp:posOffset>
                      </wp:positionV>
                      <wp:extent cx="5891917" cy="723900"/>
                      <wp:effectExtent l="0" t="0" r="0" b="0"/>
                      <wp:wrapNone/>
                      <wp:docPr id="29" name="Pole tekstowe 29"/>
                      <wp:cNvGraphicFramePr/>
                      <a:graphic xmlns:a="http://schemas.openxmlformats.org/drawingml/2006/main">
                        <a:graphicData uri="http://schemas.microsoft.com/office/word/2010/wordprocessingShape">
                          <wps:wsp>
                            <wps:cNvSpPr txBox="1"/>
                            <wps:spPr>
                              <a:xfrm>
                                <a:off x="0" y="0"/>
                                <a:ext cx="5891917" cy="723900"/>
                              </a:xfrm>
                              <a:prstGeom prst="rect">
                                <a:avLst/>
                              </a:prstGeom>
                              <a:noFill/>
                              <a:ln w="6350">
                                <a:noFill/>
                              </a:ln>
                            </wps:spPr>
                            <wps:txbx>
                              <w:txbxContent>
                                <w:p w:rsidR="00067F5A" w:rsidRPr="00155149" w:rsidRDefault="00067F5A" w:rsidP="00CA374E">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923C0" id="_x0000_t202" coordsize="21600,21600" o:spt="202" path="m,l,21600r21600,l21600,xe">
                      <v:stroke joinstyle="miter"/>
                      <v:path gradientshapeok="t" o:connecttype="rect"/>
                    </v:shapetype>
                    <v:shape id="Pole tekstowe 29" o:spid="_x0000_s1026" type="#_x0000_t202" style="position:absolute;left:0;text-align:left;margin-left:3.9pt;margin-top:10.05pt;width:463.95pt;height:5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" filled="f" stroked="f" strokeweight=".5pt">
                      <v:textbox>
                        <w:txbxContent>
                          <w:p w:rsidR="00067F5A" w:rsidRPr="00155149" w:rsidRDefault="00067F5A" w:rsidP="00CA374E">
                            <w:pPr>
                              <w:jc w:val="both"/>
                              <w:rPr>
                                <w:rFonts w:ascii="Verdana" w:hAnsi="Verdana" w:cs="Arial"/>
                                <w:bCs/>
                                <w:sz w:val="14"/>
                                <w:szCs w:val="14"/>
                              </w:rPr>
                            </w:pPr>
                            <w:r w:rsidRPr="00E071BF">
                              <w:rPr>
                                <w:rFonts w:ascii="Verdana" w:hAnsi="Verdana" w:cs="Arial"/>
                                <w:b/>
                                <w:bCs/>
                                <w:sz w:val="14"/>
                                <w:szCs w:val="14"/>
                              </w:rPr>
                              <w:t>M</w:t>
                            </w:r>
                            <w:r w:rsidRPr="00A64C0C">
                              <w:rPr>
                                <w:rFonts w:ascii="Verdana" w:hAnsi="Verdana" w:cs="Arial"/>
                                <w:b/>
                                <w:bCs/>
                                <w:sz w:val="14"/>
                                <w:szCs w:val="14"/>
                              </w:rPr>
                              <w:t>ożliwość niespełnienia art. 243 w latach 2023-2025</w:t>
                            </w:r>
                            <w:r>
                              <w:rPr>
                                <w:rFonts w:ascii="Verdana" w:hAnsi="Verdana" w:cs="Arial"/>
                                <w:bCs/>
                                <w:sz w:val="14"/>
                                <w:szCs w:val="14"/>
                              </w:rPr>
                              <w:t xml:space="preserve"> pod warunkiem nieprzekroczenia przez dług poziomu dochodów</w:t>
                            </w:r>
                            <w:r w:rsidRPr="00A64C0C">
                              <w:rPr>
                                <w:rFonts w:ascii="Verdana" w:hAnsi="Verdana" w:cs="Arial"/>
                                <w:bCs/>
                                <w:sz w:val="14"/>
                                <w:szCs w:val="14"/>
                              </w:rPr>
                              <w:t xml:space="preserve"> ogółem</w:t>
                            </w:r>
                            <w:r>
                              <w:rPr>
                                <w:rFonts w:ascii="Verdana" w:hAnsi="Verdana" w:cs="Arial"/>
                                <w:bCs/>
                                <w:sz w:val="14"/>
                                <w:szCs w:val="14"/>
                              </w:rPr>
                              <w:t>, pomniejszonych</w:t>
                            </w:r>
                            <w:r w:rsidRPr="00A64C0C">
                              <w:rPr>
                                <w:rFonts w:ascii="Verdana" w:hAnsi="Verdana" w:cs="Arial"/>
                                <w:bCs/>
                                <w:sz w:val="14"/>
                                <w:szCs w:val="14"/>
                              </w:rPr>
                              <w:t xml:space="preserve"> o planowane kwoty dotacji i środków o podobnym charakterze oraz powiększon</w:t>
                            </w:r>
                            <w:r>
                              <w:rPr>
                                <w:rFonts w:ascii="Verdana" w:hAnsi="Verdana" w:cs="Arial"/>
                                <w:bCs/>
                                <w:sz w:val="14"/>
                                <w:szCs w:val="14"/>
                              </w:rPr>
                              <w:t>ych</w:t>
                            </w:r>
                            <w:r w:rsidRPr="00A64C0C">
                              <w:rPr>
                                <w:rFonts w:ascii="Verdana" w:hAnsi="Verdana" w:cs="Arial"/>
                                <w:bCs/>
                                <w:sz w:val="14"/>
                                <w:szCs w:val="14"/>
                              </w:rPr>
                              <w:t xml:space="preserve"> </w:t>
                            </w:r>
                            <w:r>
                              <w:rPr>
                                <w:rFonts w:ascii="Verdana" w:hAnsi="Verdana" w:cs="Arial"/>
                                <w:bCs/>
                                <w:sz w:val="14"/>
                                <w:szCs w:val="14"/>
                              </w:rPr>
                              <w:br/>
                            </w:r>
                            <w:r w:rsidRPr="00A64C0C">
                              <w:rPr>
                                <w:rFonts w:ascii="Verdana" w:hAnsi="Verdana" w:cs="Arial"/>
                                <w:bCs/>
                                <w:sz w:val="14"/>
                                <w:szCs w:val="14"/>
                              </w:rPr>
                              <w:t>o przychody z tytułów określonych w art. 217 ust. 2 pkt 4–8</w:t>
                            </w:r>
                            <w:r>
                              <w:rPr>
                                <w:rFonts w:ascii="Verdana" w:hAnsi="Verdana" w:cs="Arial"/>
                                <w:bCs/>
                                <w:sz w:val="14"/>
                                <w:szCs w:val="14"/>
                              </w:rPr>
                              <w:t xml:space="preserve"> ustawy o finansach publicznych</w:t>
                            </w:r>
                            <w:r w:rsidRPr="00A64C0C">
                              <w:rPr>
                                <w:rFonts w:ascii="Verdana" w:hAnsi="Verdana" w:cs="Arial"/>
                                <w:bCs/>
                                <w:sz w:val="14"/>
                                <w:szCs w:val="14"/>
                              </w:rPr>
                              <w:t>, nieprzeznaczone na sfinansowanie deficytu budżetowego</w:t>
                            </w:r>
                            <w:r>
                              <w:rPr>
                                <w:rFonts w:ascii="Verdana" w:hAnsi="Verdana" w:cs="Arial"/>
                                <w:bCs/>
                                <w:sz w:val="14"/>
                                <w:szCs w:val="14"/>
                              </w:rPr>
                              <w:t>.</w:t>
                            </w:r>
                          </w:p>
                        </w:txbxContent>
                      </v:textbox>
                      <w10:wrap anchorx="margin"/>
                    </v:shape>
                  </w:pict>
                </mc:Fallback>
              </mc:AlternateContent>
            </w:r>
          </w:p>
          <w:p w:rsidR="00CA374E" w:rsidRPr="00E071BF" w:rsidRDefault="00CA374E" w:rsidP="00067F5A">
            <w:pPr>
              <w:spacing w:before="120" w:after="120"/>
              <w:jc w:val="both"/>
              <w:rPr>
                <w:rFonts w:ascii="Verdana" w:hAnsi="Verdana" w:cs="Arial"/>
                <w:b/>
                <w:sz w:val="20"/>
                <w:szCs w:val="20"/>
              </w:rPr>
            </w:pPr>
          </w:p>
          <w:p w:rsidR="00CA374E" w:rsidRDefault="00CA374E" w:rsidP="00067F5A">
            <w:pPr>
              <w:spacing w:before="120" w:after="120"/>
              <w:jc w:val="both"/>
              <w:rPr>
                <w:rFonts w:ascii="Verdana" w:hAnsi="Verdana" w:cs="Arial"/>
                <w:b/>
                <w:sz w:val="20"/>
                <w:szCs w:val="20"/>
              </w:rPr>
            </w:pPr>
          </w:p>
          <w:p w:rsidR="00CA374E" w:rsidRPr="008E4FAA" w:rsidRDefault="00CA374E" w:rsidP="00067F5A">
            <w:pPr>
              <w:spacing w:before="120" w:after="120"/>
              <w:jc w:val="both"/>
              <w:rPr>
                <w:rFonts w:ascii="Verdana" w:hAnsi="Verdana" w:cs="Arial"/>
                <w:b/>
                <w:sz w:val="20"/>
                <w:szCs w:val="20"/>
              </w:rPr>
            </w:pPr>
            <m:oMathPara>
              <m:oMathParaPr>
                <m:jc m:val="center"/>
              </m:oMathParaPr>
              <m:oMath>
                <m:r>
                  <m:rPr>
                    <m:sty m:val="b"/>
                  </m:rPr>
                  <w:rPr>
                    <w:rFonts w:ascii="Cambria Math" w:hAnsi="Cambria Math" w:cs="Arial"/>
                    <w:sz w:val="20"/>
                    <w:szCs w:val="20"/>
                  </w:rPr>
                  <m:t xml:space="preserve">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2023</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2023</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2024</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2024</m:t>
                        </m:r>
                      </m:sub>
                    </m:sSub>
                  </m:den>
                </m:f>
                <m:r>
                  <m:rPr>
                    <m:sty m:val="b"/>
                  </m:rPr>
                  <w:rPr>
                    <w:rFonts w:ascii="Cambria Math" w:hAnsi="Cambria Math" w:cs="Arial"/>
                    <w:sz w:val="20"/>
                    <w:szCs w:val="20"/>
                  </w:rPr>
                  <m:t xml:space="preserve">        100% ≥  </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Z</m:t>
                        </m:r>
                      </m:e>
                      <m:sub>
                        <m:r>
                          <m:rPr>
                            <m:sty m:val="b"/>
                          </m:rPr>
                          <w:rPr>
                            <w:rFonts w:ascii="Cambria Math" w:hAnsi="Cambria Math" w:cs="Arial"/>
                            <w:sz w:val="20"/>
                            <w:szCs w:val="20"/>
                          </w:rPr>
                          <m:t>2025</m:t>
                        </m:r>
                      </m:sub>
                    </m:sSub>
                  </m:num>
                  <m:den>
                    <m:sSub>
                      <m:sSubPr>
                        <m:ctrlPr>
                          <w:rPr>
                            <w:rFonts w:ascii="Cambria Math" w:hAnsi="Cambria Math" w:cs="Arial"/>
                            <w:b/>
                            <w:sz w:val="20"/>
                            <w:szCs w:val="20"/>
                          </w:rPr>
                        </m:ctrlPr>
                      </m:sSubPr>
                      <m:e>
                        <m:r>
                          <m:rPr>
                            <m:sty m:val="b"/>
                          </m:rPr>
                          <w:rPr>
                            <w:rFonts w:ascii="Cambria Math" w:hAnsi="Cambria Math" w:cs="Arial"/>
                            <w:sz w:val="20"/>
                            <w:szCs w:val="20"/>
                          </w:rPr>
                          <m:t>DP</m:t>
                        </m:r>
                      </m:e>
                      <m:sub>
                        <m:r>
                          <m:rPr>
                            <m:sty m:val="b"/>
                          </m:rPr>
                          <w:rPr>
                            <w:rFonts w:ascii="Cambria Math" w:hAnsi="Cambria Math" w:cs="Arial"/>
                            <w:sz w:val="20"/>
                            <w:szCs w:val="20"/>
                          </w:rPr>
                          <m:t>2025</m:t>
                        </m:r>
                      </m:sub>
                    </m:sSub>
                  </m:den>
                </m:f>
              </m:oMath>
            </m:oMathPara>
          </w:p>
        </w:tc>
      </w:tr>
      <w:tr w:rsidR="00CA374E" w:rsidRPr="00011AAA" w:rsidTr="00067F5A">
        <w:tc>
          <w:tcPr>
            <w:tcW w:w="9071" w:type="dxa"/>
          </w:tcPr>
          <w:p w:rsidR="00CA374E" w:rsidRDefault="00CA374E" w:rsidP="00067F5A">
            <w:pPr>
              <w:spacing w:before="120" w:after="120"/>
              <w:jc w:val="both"/>
              <w:rPr>
                <w:rFonts w:ascii="Verdana" w:hAnsi="Verdana" w:cs="Arial"/>
                <w:b/>
                <w:sz w:val="20"/>
                <w:szCs w:val="20"/>
              </w:rPr>
            </w:pPr>
          </w:p>
        </w:tc>
      </w:tr>
    </w:tbl>
    <w:p w:rsidR="00CA374E" w:rsidRPr="000A6485" w:rsidRDefault="00CA374E" w:rsidP="00CA374E">
      <w:pPr>
        <w:spacing w:before="120" w:after="120"/>
        <w:jc w:val="center"/>
        <w:rPr>
          <w:rFonts w:ascii="Verdana" w:hAnsi="Verdana" w:cs="Arial"/>
          <w:sz w:val="16"/>
          <w:szCs w:val="16"/>
        </w:rPr>
      </w:pPr>
      <w:r w:rsidRPr="000A6485">
        <w:rPr>
          <w:rFonts w:ascii="Verdana" w:hAnsi="Verdana" w:cs="Arial"/>
          <w:sz w:val="16"/>
          <w:szCs w:val="16"/>
        </w:rPr>
        <w:t xml:space="preserve">Formuła obowiązująca </w:t>
      </w:r>
      <w:r w:rsidRPr="000A6485">
        <w:rPr>
          <w:rFonts w:ascii="Verdana" w:hAnsi="Verdana" w:cs="Arial"/>
          <w:b/>
          <w:sz w:val="16"/>
          <w:szCs w:val="16"/>
        </w:rPr>
        <w:t>od roku 2026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A374E" w:rsidRPr="00011AAA" w:rsidTr="00067F5A">
        <w:tc>
          <w:tcPr>
            <w:tcW w:w="9071" w:type="dxa"/>
          </w:tcPr>
          <w:p w:rsidR="00CA374E" w:rsidRPr="003970B3" w:rsidRDefault="00E91E8C" w:rsidP="00067F5A">
            <w:pPr>
              <w:spacing w:before="120" w:after="120"/>
              <w:jc w:val="both"/>
              <w:rPr>
                <w:rFonts w:ascii="Verdana" w:hAnsi="Verdana" w:cs="Arial"/>
                <w:b/>
                <w:sz w:val="20"/>
                <w:szCs w:val="20"/>
              </w:rPr>
            </w:pPr>
            <m:oMathPara>
              <m:oMath>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R+O -OD UD 2020 COVID 19-OD UD 2021 COVID 19-OD PŁPIS</m:t>
                    </m:r>
                  </m:num>
                  <m:den>
                    <m:r>
                      <m:rPr>
                        <m:sty m:val="b"/>
                      </m:rPr>
                      <w:rPr>
                        <w:rFonts w:ascii="Cambria Math" w:hAnsi="Cambria Math" w:cs="Arial"/>
                        <w:color w:val="000000" w:themeColor="text1"/>
                        <w:sz w:val="20"/>
                        <w:szCs w:val="20"/>
                      </w:rPr>
                      <m:t>Db</m:t>
                    </m:r>
                  </m:den>
                </m:f>
                <m:r>
                  <m:rPr>
                    <m:sty m:val="b"/>
                  </m:rPr>
                  <w:rPr>
                    <w:rFonts w:ascii="Cambria Math" w:hAnsi="Cambria Math" w:cs="Arial"/>
                    <w:color w:val="000000" w:themeColor="text1"/>
                    <w:sz w:val="20"/>
                    <w:szCs w:val="20"/>
                  </w:rPr>
                  <m:t>≤</m:t>
                </m:r>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1</m:t>
                    </m:r>
                  </m:num>
                  <m:den>
                    <m:r>
                      <m:rPr>
                        <m:sty m:val="b"/>
                      </m:rPr>
                      <w:rPr>
                        <w:rFonts w:ascii="Cambria Math" w:hAnsi="Cambria Math" w:cs="Arial"/>
                        <w:color w:val="000000" w:themeColor="text1"/>
                        <w:sz w:val="20"/>
                        <w:szCs w:val="20"/>
                      </w:rPr>
                      <m:t>7</m:t>
                    </m:r>
                  </m:den>
                </m:f>
                <m:r>
                  <m:rPr>
                    <m:sty m:val="b"/>
                  </m:rPr>
                  <w:rPr>
                    <w:rFonts w:ascii="Cambria Math" w:hAnsi="Cambria Math" w:cs="Arial"/>
                    <w:color w:val="000000" w:themeColor="text1"/>
                    <w:sz w:val="20"/>
                    <w:szCs w:val="20"/>
                  </w:rPr>
                  <m:t xml:space="preserve"> x </m:t>
                </m:r>
                <m:nary>
                  <m:naryPr>
                    <m:chr m:val="∑"/>
                    <m:limLoc m:val="subSup"/>
                    <m:ctrlPr>
                      <w:rPr>
                        <w:rFonts w:ascii="Cambria Math" w:hAnsi="Cambria Math" w:cs="Arial"/>
                        <w:b/>
                        <w:color w:val="000000" w:themeColor="text1"/>
                        <w:sz w:val="20"/>
                        <w:szCs w:val="20"/>
                      </w:rPr>
                    </m:ctrlPr>
                  </m:naryPr>
                  <m:sub>
                    <m:r>
                      <m:rPr>
                        <m:sty m:val="b"/>
                      </m:rPr>
                      <w:rPr>
                        <w:rFonts w:ascii="Cambria Math" w:hAnsi="Cambria Math" w:cs="Arial"/>
                        <w:color w:val="000000" w:themeColor="text1"/>
                        <w:sz w:val="20"/>
                        <w:szCs w:val="20"/>
                      </w:rPr>
                      <m:t>i=1</m:t>
                    </m:r>
                  </m:sub>
                  <m:sup>
                    <m:r>
                      <m:rPr>
                        <m:sty m:val="bi"/>
                      </m:rPr>
                      <w:rPr>
                        <w:rFonts w:ascii="Cambria Math" w:hAnsi="Cambria Math" w:cs="Arial"/>
                        <w:color w:val="000000" w:themeColor="text1"/>
                        <w:sz w:val="20"/>
                        <w:szCs w:val="20"/>
                      </w:rPr>
                      <m:t>7</m:t>
                    </m:r>
                  </m:sup>
                  <m:e>
                    <m:f>
                      <m:fPr>
                        <m:ctrlPr>
                          <w:rPr>
                            <w:rFonts w:ascii="Cambria Math" w:hAnsi="Cambria Math" w:cs="Arial"/>
                            <w:b/>
                            <w:color w:val="000000" w:themeColor="text1"/>
                            <w:sz w:val="20"/>
                            <w:szCs w:val="20"/>
                          </w:rPr>
                        </m:ctrlPr>
                      </m:fPr>
                      <m:num>
                        <m:r>
                          <m:rPr>
                            <m:sty m:val="b"/>
                          </m:rPr>
                          <w:rPr>
                            <w:rFonts w:ascii="Cambria Math" w:hAnsi="Cambria Math" w:cs="Arial"/>
                            <w:color w:val="000000" w:themeColor="text1"/>
                            <w:sz w:val="20"/>
                            <w:szCs w:val="20"/>
                          </w:rPr>
                          <m:t>Dbei-(Wbei-Oi-</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2020</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 COVID 19</m:t>
                            </m:r>
                          </m:e>
                          <m:sub>
                            <m:r>
                              <m:rPr>
                                <m:sty m:val="bi"/>
                              </m:rPr>
                              <w:rPr>
                                <w:rFonts w:ascii="Cambria Math" w:hAnsi="Cambria Math" w:cs="Arial"/>
                                <w:color w:val="000000" w:themeColor="text1"/>
                                <w:sz w:val="20"/>
                                <w:szCs w:val="20"/>
                              </w:rPr>
                              <m:t>2021</m:t>
                            </m:r>
                          </m:sub>
                        </m:sSub>
                        <m:r>
                          <m:rPr>
                            <m:sty m:val="b"/>
                          </m:rPr>
                          <w:rPr>
                            <w:rFonts w:ascii="Cambria Math" w:hAnsi="Cambria Math" w:cs="Arial"/>
                            <w:color w:val="000000" w:themeColor="text1"/>
                            <w:sz w:val="20"/>
                            <w:szCs w:val="20"/>
                          </w:rPr>
                          <m:t>-</m:t>
                        </m:r>
                        <m:sSub>
                          <m:sSubPr>
                            <m:ctrlPr>
                              <w:rPr>
                                <w:rFonts w:ascii="Cambria Math" w:hAnsi="Cambria Math" w:cs="Arial"/>
                                <w:b/>
                                <w:color w:val="000000" w:themeColor="text1"/>
                                <w:sz w:val="20"/>
                                <w:szCs w:val="20"/>
                              </w:rPr>
                            </m:ctrlPr>
                          </m:sSubPr>
                          <m:e>
                            <m:r>
                              <m:rPr>
                                <m:sty m:val="b"/>
                              </m:rPr>
                              <w:rPr>
                                <w:rFonts w:ascii="Cambria Math" w:hAnsi="Cambria Math" w:cs="Arial"/>
                                <w:color w:val="000000" w:themeColor="text1"/>
                                <w:sz w:val="20"/>
                                <w:szCs w:val="20"/>
                              </w:rPr>
                              <m:t>WB</m:t>
                            </m:r>
                          </m:e>
                          <m:sub>
                            <m:r>
                              <m:rPr>
                                <m:sty m:val="b"/>
                              </m:rPr>
                              <w:rPr>
                                <w:rFonts w:ascii="Cambria Math" w:hAnsi="Cambria Math" w:cs="Arial"/>
                                <w:color w:val="000000" w:themeColor="text1"/>
                                <w:sz w:val="20"/>
                                <w:szCs w:val="20"/>
                              </w:rPr>
                              <m:t>ukr</m:t>
                            </m:r>
                          </m:sub>
                        </m:sSub>
                        <m:r>
                          <m:rPr>
                            <m:sty m:val="b"/>
                          </m:rPr>
                          <w:rPr>
                            <w:rFonts w:ascii="Cambria Math" w:hAnsi="Cambria Math" w:cs="Arial"/>
                            <w:color w:val="000000" w:themeColor="text1"/>
                            <w:sz w:val="20"/>
                            <w:szCs w:val="20"/>
                          </w:rPr>
                          <m:t>)</m:t>
                        </m:r>
                      </m:num>
                      <m:den>
                        <m:r>
                          <m:rPr>
                            <m:sty m:val="b"/>
                          </m:rPr>
                          <w:rPr>
                            <w:rFonts w:ascii="Cambria Math" w:hAnsi="Cambria Math" w:cs="Arial"/>
                            <w:color w:val="000000" w:themeColor="text1"/>
                            <w:sz w:val="20"/>
                            <w:szCs w:val="20"/>
                          </w:rPr>
                          <m:t>Dbi</m:t>
                        </m:r>
                      </m:den>
                    </m:f>
                  </m:e>
                </m:nary>
              </m:oMath>
            </m:oMathPara>
          </w:p>
        </w:tc>
      </w:tr>
    </w:tbl>
    <w:p w:rsidR="00CA374E" w:rsidRDefault="00CA374E" w:rsidP="00CA374E">
      <w:pPr>
        <w:spacing w:before="240" w:after="120"/>
        <w:ind w:left="709" w:hanging="709"/>
        <w:rPr>
          <w:rFonts w:ascii="Verdana" w:hAnsi="Verdana"/>
          <w:sz w:val="16"/>
          <w:szCs w:val="16"/>
        </w:rPr>
      </w:pPr>
      <w:r>
        <w:rPr>
          <w:rFonts w:ascii="Verdana" w:hAnsi="Verdana"/>
          <w:sz w:val="16"/>
          <w:szCs w:val="16"/>
        </w:rPr>
        <w:br w:type="page"/>
      </w:r>
    </w:p>
    <w:p w:rsidR="00CA374E" w:rsidRDefault="00CA374E" w:rsidP="00CA374E">
      <w:pPr>
        <w:spacing w:before="240" w:after="120"/>
        <w:ind w:left="709" w:hanging="709"/>
        <w:rPr>
          <w:rFonts w:ascii="Verdana" w:hAnsi="Verdana"/>
          <w:sz w:val="16"/>
          <w:szCs w:val="16"/>
        </w:rPr>
      </w:pPr>
      <w:r w:rsidRPr="000A6485">
        <w:rPr>
          <w:rFonts w:ascii="Verdana" w:hAnsi="Verdana"/>
          <w:sz w:val="16"/>
          <w:szCs w:val="16"/>
        </w:rPr>
        <w:lastRenderedPageBreak/>
        <w:t>gdzie: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37"/>
        <w:gridCol w:w="7139"/>
      </w:tblGrid>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R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sz w:val="16"/>
                <w:szCs w:val="16"/>
              </w:rPr>
              <w:t>planowane na rok, na który ustalana jest relacja, spłaty rat kredytów i pożyczek oraz wykup papierów wartościowych z wyłączeniem zobowiązań zaciągniętych na pokrycie występującego w ciągu roku przejściowego deficytu budżetu oraz zobowiązań krótkoterminowych, jeżeli podlegają spłacie w roku zaciągnięcia</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b/>
                <w:sz w:val="16"/>
                <w:szCs w:val="16"/>
              </w:rPr>
              <w:t>O -</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wydatki bieżące na obsługę długu, </w:t>
            </w:r>
            <w:r>
              <w:rPr>
                <w:rFonts w:ascii="Verdana" w:hAnsi="Verdana" w:cs="Arial"/>
                <w:sz w:val="16"/>
                <w:szCs w:val="16"/>
              </w:rPr>
              <w:br/>
            </w:r>
            <w:r w:rsidRPr="00011AAA">
              <w:rPr>
                <w:rFonts w:ascii="Verdana" w:hAnsi="Verdana" w:cs="Arial"/>
                <w:sz w:val="16"/>
                <w:szCs w:val="16"/>
              </w:rPr>
              <w:t xml:space="preserve">w tym odsetki od kredytów i pożyczek i papierów wartościowych oraz dyskonto od papierów wartościowych oraz spłaty kwot wynikających z udzielonych poręczeń </w:t>
            </w:r>
            <w:r>
              <w:rPr>
                <w:rFonts w:ascii="Verdana" w:hAnsi="Verdana" w:cs="Arial"/>
                <w:sz w:val="16"/>
                <w:szCs w:val="16"/>
              </w:rPr>
              <w:br/>
            </w:r>
            <w:r w:rsidRPr="00011AAA">
              <w:rPr>
                <w:rFonts w:ascii="Verdana" w:hAnsi="Verdana" w:cs="Arial"/>
                <w:sz w:val="16"/>
                <w:szCs w:val="16"/>
              </w:rPr>
              <w:t>i gwarancji</w:t>
            </w:r>
          </w:p>
        </w:tc>
      </w:tr>
      <w:tr w:rsidR="00CA374E" w:rsidRPr="00011AAA" w:rsidTr="00067F5A">
        <w:tc>
          <w:tcPr>
            <w:tcW w:w="1809" w:type="dxa"/>
          </w:tcPr>
          <w:p w:rsidR="00CA374E" w:rsidRPr="00710C3A" w:rsidRDefault="00CA374E" w:rsidP="00067F5A">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t xml:space="preserve">OD UD 2020 COVID 19 </w:t>
            </w:r>
            <w:r w:rsidRPr="00710C3A">
              <w:rPr>
                <w:rFonts w:ascii="Verdana" w:hAnsi="Verdana"/>
                <w:b/>
                <w:color w:val="000000" w:themeColor="text1"/>
                <w:sz w:val="16"/>
                <w:szCs w:val="16"/>
              </w:rPr>
              <w:t>-</w:t>
            </w:r>
          </w:p>
        </w:tc>
        <w:tc>
          <w:tcPr>
            <w:tcW w:w="7479" w:type="dxa"/>
            <w:gridSpan w:val="2"/>
          </w:tcPr>
          <w:p w:rsidR="00CA374E" w:rsidRPr="003E7647" w:rsidRDefault="00CA374E" w:rsidP="00067F5A">
            <w:pPr>
              <w:tabs>
                <w:tab w:val="left" w:pos="0"/>
              </w:tabs>
              <w:spacing w:before="120" w:after="120" w:line="240" w:lineRule="auto"/>
              <w:rPr>
                <w:rFonts w:ascii="Verdana" w:hAnsi="Verdana"/>
                <w:sz w:val="16"/>
                <w:szCs w:val="16"/>
              </w:rPr>
            </w:pPr>
            <w:r w:rsidRPr="00710C3A">
              <w:rPr>
                <w:rFonts w:ascii="Verdana" w:hAnsi="Verdana" w:cs="Arial"/>
                <w:sz w:val="16"/>
                <w:szCs w:val="16"/>
              </w:rPr>
              <w:t>obsługa długu (spłata kapitału i odsetek) zaciąganego w 2020 r. na pokrycie ubytku dochodów podatkowych będącego skutkiem wystąpienia COVID-19, który to ubytek stanowi odchylenie od planu według stanu na koniec III kwartału 2020 r.</w:t>
            </w:r>
          </w:p>
        </w:tc>
      </w:tr>
      <w:tr w:rsidR="00CA374E" w:rsidRPr="00011AAA" w:rsidTr="00067F5A">
        <w:tc>
          <w:tcPr>
            <w:tcW w:w="1809" w:type="dxa"/>
          </w:tcPr>
          <w:p w:rsidR="00CA374E" w:rsidRPr="00710C3A" w:rsidRDefault="00CA374E" w:rsidP="00067F5A">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 xml:space="preserve">OD UD 2021 COVID 19 </w:t>
            </w:r>
            <w:r w:rsidRPr="00710C3A">
              <w:rPr>
                <w:rFonts w:ascii="Verdana" w:hAnsi="Verdana"/>
                <w:b/>
                <w:color w:val="000000" w:themeColor="text1"/>
                <w:sz w:val="16"/>
                <w:szCs w:val="16"/>
              </w:rPr>
              <w:t>-</w:t>
            </w:r>
          </w:p>
        </w:tc>
        <w:tc>
          <w:tcPr>
            <w:tcW w:w="7479" w:type="dxa"/>
            <w:gridSpan w:val="2"/>
          </w:tcPr>
          <w:p w:rsidR="00CA374E" w:rsidRPr="00710C3A" w:rsidRDefault="00CA374E" w:rsidP="00067F5A">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w 2021 r. na pokrycie ubytku dochodów bieżących pomniejszonych o subwencję ogólną i środki przeznaczone na cele bieżące będącego skutkiem wystąpienia COVID-19, który to ubytek stanowi odchylenie od planu na 2021 r. ujętego w WPF edycji 2020 według stanu na koniec III kwartału 2020 r.</w:t>
            </w:r>
          </w:p>
        </w:tc>
      </w:tr>
      <w:tr w:rsidR="00CA374E" w:rsidRPr="00011AAA" w:rsidTr="00067F5A">
        <w:tc>
          <w:tcPr>
            <w:tcW w:w="1809" w:type="dxa"/>
          </w:tcPr>
          <w:p w:rsidR="00CA374E" w:rsidRPr="00710C3A" w:rsidRDefault="00CA374E" w:rsidP="00067F5A">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OD PŁ PIS -</w:t>
            </w:r>
          </w:p>
        </w:tc>
        <w:tc>
          <w:tcPr>
            <w:tcW w:w="7479" w:type="dxa"/>
            <w:gridSpan w:val="2"/>
            <w:vAlign w:val="center"/>
          </w:tcPr>
          <w:p w:rsidR="00CA374E" w:rsidRPr="00710C3A" w:rsidRDefault="00CA374E" w:rsidP="00067F5A">
            <w:pPr>
              <w:tabs>
                <w:tab w:val="left" w:pos="0"/>
              </w:tabs>
              <w:spacing w:before="120" w:after="120" w:line="240" w:lineRule="auto"/>
              <w:rPr>
                <w:rFonts w:ascii="Verdana" w:hAnsi="Verdana" w:cs="Arial"/>
                <w:sz w:val="16"/>
                <w:szCs w:val="16"/>
              </w:rPr>
            </w:pPr>
            <w:r w:rsidRPr="00710C3A">
              <w:rPr>
                <w:rFonts w:ascii="Verdana" w:hAnsi="Verdana" w:cs="Arial"/>
                <w:sz w:val="16"/>
                <w:szCs w:val="16"/>
              </w:rPr>
              <w:t>obsługa długu (spłata kapitału i odsetek) zaciąganego na wyprzedzające finansowanie działań finansowanych ze środków pochodzących z Rządowego Funduszu Polski Ład: Program Inwestycji Strategicznych</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b/>
                <w:sz w:val="16"/>
                <w:szCs w:val="16"/>
              </w:rPr>
              <w:t xml:space="preserve">Db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sz w:val="16"/>
                <w:szCs w:val="16"/>
              </w:rPr>
              <w:t xml:space="preserve">planowane na rok, na który ustalana jest relacja, dochody bieżące pomniejszone </w:t>
            </w:r>
            <w:r>
              <w:rPr>
                <w:rFonts w:ascii="Verdana" w:hAnsi="Verdana" w:cs="Arial"/>
                <w:sz w:val="16"/>
                <w:szCs w:val="16"/>
              </w:rPr>
              <w:br/>
            </w:r>
            <w:r w:rsidRPr="00011AAA">
              <w:rPr>
                <w:rFonts w:ascii="Verdana" w:hAnsi="Verdana" w:cs="Arial"/>
                <w:sz w:val="16"/>
                <w:szCs w:val="16"/>
              </w:rPr>
              <w:t>o dotacje i środki przeznaczone na cele bieżące</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Dbei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sz w:val="16"/>
                <w:szCs w:val="16"/>
              </w:rPr>
              <w:t>dochody bieżące w roku poprzedzającym o i-lat rok, na który ustalana jest relacja, pomniejszone o dotacje i środki o charakterze bieżącym na realizację projektów unijnych</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bCs/>
                <w:sz w:val="16"/>
                <w:szCs w:val="16"/>
              </w:rPr>
            </w:pPr>
            <w:proofErr w:type="spellStart"/>
            <w:r w:rsidRPr="00011AAA">
              <w:rPr>
                <w:rFonts w:ascii="Verdana" w:hAnsi="Verdana" w:cs="Arial"/>
                <w:b/>
                <w:sz w:val="16"/>
                <w:szCs w:val="16"/>
              </w:rPr>
              <w:t>Wbei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b/>
                <w:bCs/>
                <w:sz w:val="16"/>
                <w:szCs w:val="16"/>
              </w:rPr>
            </w:pPr>
            <w:r w:rsidRPr="00011AAA">
              <w:rPr>
                <w:rFonts w:ascii="Verdana" w:hAnsi="Verdana" w:cs="Arial"/>
                <w:sz w:val="16"/>
                <w:szCs w:val="16"/>
              </w:rPr>
              <w:t>wydatki bieżące w roku poprzedzającym o i-lat rok, na który ustalana jest relacja, pomniejszone o wydatki bieżące na realizację projektów unijnych</w:t>
            </w:r>
          </w:p>
        </w:tc>
      </w:tr>
      <w:tr w:rsidR="00CA374E" w:rsidRPr="00011AAA" w:rsidTr="00067F5A">
        <w:tc>
          <w:tcPr>
            <w:tcW w:w="1809" w:type="dxa"/>
          </w:tcPr>
          <w:p w:rsidR="00CA374E" w:rsidRPr="000A6485" w:rsidRDefault="00CA374E" w:rsidP="00067F5A">
            <w:pPr>
              <w:tabs>
                <w:tab w:val="left" w:pos="0"/>
              </w:tabs>
              <w:spacing w:before="120" w:after="120" w:line="240" w:lineRule="auto"/>
              <w:rPr>
                <w:rFonts w:ascii="Verdana" w:hAnsi="Verdana"/>
                <w:b/>
                <w:bCs/>
                <w:sz w:val="16"/>
                <w:szCs w:val="16"/>
              </w:rPr>
            </w:pPr>
            <w:proofErr w:type="spellStart"/>
            <w:r w:rsidRPr="000A6485">
              <w:rPr>
                <w:rFonts w:ascii="Verdana" w:hAnsi="Verdana"/>
                <w:b/>
                <w:sz w:val="16"/>
                <w:szCs w:val="16"/>
              </w:rPr>
              <w:t>Oi</w:t>
            </w:r>
            <w:proofErr w:type="spellEnd"/>
            <w:r w:rsidRPr="000A6485">
              <w:rPr>
                <w:rFonts w:ascii="Verdana" w:hAnsi="Verdana"/>
                <w:b/>
                <w:sz w:val="16"/>
                <w:szCs w:val="16"/>
              </w:rPr>
              <w:t xml:space="preserve">  -</w:t>
            </w:r>
          </w:p>
        </w:tc>
        <w:tc>
          <w:tcPr>
            <w:tcW w:w="7479" w:type="dxa"/>
            <w:gridSpan w:val="2"/>
            <w:vAlign w:val="center"/>
          </w:tcPr>
          <w:p w:rsidR="00CA374E" w:rsidRPr="000A6485" w:rsidRDefault="00CA374E" w:rsidP="00067F5A">
            <w:pPr>
              <w:tabs>
                <w:tab w:val="left" w:pos="0"/>
              </w:tabs>
              <w:spacing w:before="120" w:after="120" w:line="240" w:lineRule="auto"/>
              <w:rPr>
                <w:rFonts w:ascii="Verdana" w:hAnsi="Verdana"/>
                <w:b/>
                <w:bCs/>
                <w:sz w:val="16"/>
                <w:szCs w:val="16"/>
              </w:rPr>
            </w:pPr>
            <w:r w:rsidRPr="000A6485">
              <w:rPr>
                <w:rFonts w:ascii="Verdana" w:hAnsi="Verdana" w:cs="Arial"/>
                <w:sz w:val="16"/>
                <w:szCs w:val="16"/>
              </w:rPr>
              <w:t xml:space="preserve">wydatki bieżące związane ze spłatą i obsługą długu, w tym odsetki od kredytów </w:t>
            </w:r>
            <w:r>
              <w:rPr>
                <w:rFonts w:ascii="Verdana" w:hAnsi="Verdana" w:cs="Arial"/>
                <w:sz w:val="16"/>
                <w:szCs w:val="16"/>
              </w:rPr>
              <w:br/>
            </w:r>
            <w:r w:rsidRPr="000A6485">
              <w:rPr>
                <w:rFonts w:ascii="Verdana" w:hAnsi="Verdana" w:cs="Arial"/>
                <w:sz w:val="16"/>
                <w:szCs w:val="16"/>
              </w:rPr>
              <w:t>i pożyczek i papierów wartościowych oraz dyskonto od papierów wartościowych w roku poprzedzającym o i-lat rok, na który ustalana jest relacja</w:t>
            </w:r>
          </w:p>
        </w:tc>
      </w:tr>
      <w:tr w:rsidR="00CA374E" w:rsidRPr="00011AAA" w:rsidTr="00067F5A">
        <w:tc>
          <w:tcPr>
            <w:tcW w:w="1951" w:type="dxa"/>
            <w:gridSpan w:val="2"/>
          </w:tcPr>
          <w:p w:rsidR="00CA374E" w:rsidRPr="00710C3A" w:rsidRDefault="00CA374E" w:rsidP="00067F5A">
            <w:pPr>
              <w:tabs>
                <w:tab w:val="left" w:pos="0"/>
              </w:tabs>
              <w:spacing w:before="120" w:after="120"/>
              <w:rPr>
                <w:rFonts w:ascii="Verdana" w:hAnsi="Verdana"/>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2020</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rsidR="00CA374E" w:rsidRPr="00710C3A" w:rsidRDefault="00CA374E" w:rsidP="00067F5A">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2020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CA374E" w:rsidRPr="00011AAA" w:rsidTr="00067F5A">
        <w:tc>
          <w:tcPr>
            <w:tcW w:w="1951" w:type="dxa"/>
            <w:gridSpan w:val="2"/>
          </w:tcPr>
          <w:p w:rsidR="00CA374E" w:rsidRPr="00710C3A" w:rsidRDefault="00CA374E" w:rsidP="00067F5A">
            <w:pPr>
              <w:tabs>
                <w:tab w:val="left" w:pos="0"/>
              </w:tabs>
              <w:spacing w:before="120" w:after="120"/>
              <w:rPr>
                <w:rFonts w:ascii="Verdana" w:hAnsi="Verdana" w:cs="Arial"/>
                <w:b/>
                <w:color w:val="000000" w:themeColor="text1"/>
                <w:sz w:val="16"/>
                <w:szCs w:val="16"/>
              </w:rPr>
            </w:pPr>
            <w:r w:rsidRPr="00710C3A">
              <w:rPr>
                <w:rFonts w:ascii="Verdana" w:hAnsi="Verdana" w:cs="Arial"/>
                <w:b/>
                <w:color w:val="000000" w:themeColor="text1"/>
                <w:sz w:val="16"/>
                <w:szCs w:val="16"/>
              </w:rPr>
              <w:t>WB COVID 19</w:t>
            </w:r>
            <w:r w:rsidRPr="00710C3A">
              <w:rPr>
                <w:rFonts w:ascii="Verdana" w:hAnsi="Verdana" w:cs="Arial"/>
                <w:b/>
                <w:color w:val="000000" w:themeColor="text1"/>
                <w:sz w:val="16"/>
                <w:szCs w:val="16"/>
                <w:vertAlign w:val="subscript"/>
              </w:rPr>
              <w:t>2021</w:t>
            </w:r>
            <w:r w:rsidRPr="00710C3A">
              <w:rPr>
                <w:rFonts w:ascii="Verdana" w:hAnsi="Verdana" w:cs="Arial"/>
                <w:b/>
                <w:color w:val="000000" w:themeColor="text1"/>
                <w:sz w:val="16"/>
                <w:szCs w:val="16"/>
              </w:rPr>
              <w:t xml:space="preserve"> </w:t>
            </w:r>
            <w:r w:rsidRPr="00710C3A">
              <w:rPr>
                <w:rFonts w:ascii="Verdana" w:hAnsi="Verdana"/>
                <w:b/>
                <w:color w:val="000000" w:themeColor="text1"/>
                <w:sz w:val="16"/>
                <w:szCs w:val="16"/>
              </w:rPr>
              <w:t>-</w:t>
            </w:r>
          </w:p>
        </w:tc>
        <w:tc>
          <w:tcPr>
            <w:tcW w:w="7337" w:type="dxa"/>
            <w:vAlign w:val="center"/>
          </w:tcPr>
          <w:p w:rsidR="00CA374E" w:rsidRPr="00710C3A" w:rsidRDefault="00CA374E" w:rsidP="00067F5A">
            <w:pPr>
              <w:tabs>
                <w:tab w:val="left" w:pos="0"/>
              </w:tabs>
              <w:spacing w:before="120" w:after="120" w:line="240" w:lineRule="auto"/>
              <w:rPr>
                <w:rFonts w:ascii="Verdana" w:hAnsi="Verdana" w:cs="Arial"/>
                <w:sz w:val="16"/>
                <w:szCs w:val="16"/>
              </w:rPr>
            </w:pPr>
            <w:r w:rsidRPr="00710C3A">
              <w:rPr>
                <w:rFonts w:ascii="Verdana" w:hAnsi="Verdana" w:cs="Arial"/>
                <w:sz w:val="16"/>
                <w:szCs w:val="16"/>
              </w:rPr>
              <w:t xml:space="preserve">wydatki bieżące ponoszone w 2021 r. w celu realizacji zadań związanych </w:t>
            </w:r>
            <w:r>
              <w:rPr>
                <w:rFonts w:ascii="Verdana" w:hAnsi="Verdana" w:cs="Arial"/>
                <w:sz w:val="16"/>
                <w:szCs w:val="16"/>
              </w:rPr>
              <w:br/>
            </w:r>
            <w:r w:rsidRPr="00710C3A">
              <w:rPr>
                <w:rFonts w:ascii="Verdana" w:hAnsi="Verdana" w:cs="Arial"/>
                <w:sz w:val="16"/>
                <w:szCs w:val="16"/>
              </w:rPr>
              <w:t xml:space="preserve">z przeciwdziałaniem COVID-19 z wyłączeniem wydatków finansowanych z dotacji </w:t>
            </w:r>
            <w:r>
              <w:rPr>
                <w:rFonts w:ascii="Verdana" w:hAnsi="Verdana" w:cs="Arial"/>
                <w:sz w:val="16"/>
                <w:szCs w:val="16"/>
              </w:rPr>
              <w:br/>
            </w:r>
            <w:r w:rsidRPr="00710C3A">
              <w:rPr>
                <w:rFonts w:ascii="Verdana" w:hAnsi="Verdana" w:cs="Arial"/>
                <w:sz w:val="16"/>
                <w:szCs w:val="16"/>
              </w:rPr>
              <w:t>i środków unijnych</w:t>
            </w:r>
          </w:p>
        </w:tc>
      </w:tr>
      <w:tr w:rsidR="00CA374E" w:rsidRPr="00011AAA" w:rsidTr="00067F5A">
        <w:tc>
          <w:tcPr>
            <w:tcW w:w="1809" w:type="dxa"/>
          </w:tcPr>
          <w:p w:rsidR="00CA374E" w:rsidRPr="0065493A" w:rsidRDefault="00CA374E" w:rsidP="00067F5A">
            <w:pPr>
              <w:tabs>
                <w:tab w:val="left" w:pos="0"/>
              </w:tabs>
              <w:spacing w:before="120" w:after="120"/>
              <w:rPr>
                <w:rFonts w:ascii="Verdana" w:hAnsi="Verdana" w:cs="Arial"/>
                <w:b/>
                <w:color w:val="000000" w:themeColor="text1"/>
                <w:sz w:val="16"/>
                <w:szCs w:val="16"/>
              </w:rPr>
            </w:pPr>
            <w:proofErr w:type="spellStart"/>
            <w:r w:rsidRPr="0065493A">
              <w:rPr>
                <w:rFonts w:ascii="Verdana" w:hAnsi="Verdana"/>
                <w:b/>
                <w:color w:val="000000" w:themeColor="text1"/>
                <w:sz w:val="16"/>
                <w:szCs w:val="16"/>
              </w:rPr>
              <w:t>WBi</w:t>
            </w:r>
            <w:r w:rsidRPr="0065493A">
              <w:rPr>
                <w:rFonts w:ascii="Verdana" w:hAnsi="Verdana"/>
                <w:b/>
                <w:color w:val="000000" w:themeColor="text1"/>
                <w:sz w:val="16"/>
                <w:szCs w:val="16"/>
                <w:vertAlign w:val="subscript"/>
              </w:rPr>
              <w:t>ukr</w:t>
            </w:r>
            <w:proofErr w:type="spellEnd"/>
            <w:r w:rsidRPr="0065493A">
              <w:rPr>
                <w:rFonts w:ascii="Verdana" w:hAnsi="Verdana"/>
                <w:b/>
                <w:color w:val="000000" w:themeColor="text1"/>
                <w:sz w:val="16"/>
                <w:szCs w:val="16"/>
                <w:vertAlign w:val="subscript"/>
              </w:rPr>
              <w:t xml:space="preserve">  </w:t>
            </w:r>
            <w:r w:rsidRPr="0065493A">
              <w:rPr>
                <w:rFonts w:ascii="Verdana" w:hAnsi="Verdana" w:cs="Arial"/>
                <w:b/>
                <w:color w:val="000000" w:themeColor="text1"/>
                <w:sz w:val="16"/>
                <w:szCs w:val="16"/>
              </w:rPr>
              <w:t>-</w:t>
            </w:r>
          </w:p>
        </w:tc>
        <w:tc>
          <w:tcPr>
            <w:tcW w:w="7479" w:type="dxa"/>
            <w:gridSpan w:val="2"/>
            <w:vAlign w:val="center"/>
          </w:tcPr>
          <w:p w:rsidR="00CA374E" w:rsidRPr="0065493A" w:rsidRDefault="00CA374E" w:rsidP="00067F5A">
            <w:pPr>
              <w:tabs>
                <w:tab w:val="left" w:pos="0"/>
              </w:tabs>
              <w:spacing w:before="120" w:after="120" w:line="240" w:lineRule="auto"/>
              <w:rPr>
                <w:rFonts w:ascii="Verdana" w:hAnsi="Verdana"/>
                <w:color w:val="000000" w:themeColor="text1"/>
                <w:sz w:val="16"/>
                <w:szCs w:val="16"/>
              </w:rPr>
            </w:pPr>
            <w:r w:rsidRPr="0065493A">
              <w:rPr>
                <w:rFonts w:ascii="Verdana" w:hAnsi="Verdana"/>
                <w:color w:val="000000" w:themeColor="text1"/>
                <w:sz w:val="16"/>
                <w:szCs w:val="16"/>
              </w:rPr>
              <w:t xml:space="preserve">wydatki bieżące poniesione w zw. z pomocą obywatelom Ukrainy, w części w jakiej nie są finansowane środkami otrzymanymi przez </w:t>
            </w:r>
            <w:proofErr w:type="spellStart"/>
            <w:r w:rsidRPr="0065493A">
              <w:rPr>
                <w:rFonts w:ascii="Verdana" w:hAnsi="Verdana"/>
                <w:color w:val="000000" w:themeColor="text1"/>
                <w:sz w:val="16"/>
                <w:szCs w:val="16"/>
              </w:rPr>
              <w:t>jst</w:t>
            </w:r>
            <w:proofErr w:type="spellEnd"/>
            <w:r w:rsidRPr="0065493A">
              <w:rPr>
                <w:rFonts w:ascii="Verdana" w:hAnsi="Verdana"/>
                <w:color w:val="000000" w:themeColor="text1"/>
                <w:sz w:val="16"/>
                <w:szCs w:val="16"/>
              </w:rPr>
              <w:t xml:space="preserve"> na ten cel</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Dsmi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sz w:val="16"/>
                <w:szCs w:val="16"/>
              </w:rPr>
            </w:pPr>
            <w:r w:rsidRPr="00011AAA">
              <w:rPr>
                <w:rFonts w:ascii="Verdana" w:hAnsi="Verdana" w:cs="Arial"/>
                <w:sz w:val="16"/>
                <w:szCs w:val="16"/>
              </w:rPr>
              <w:t>dochody ze sprzedaży majątku w roku poprzedzającym o i-lat rok, na który ustalana jest relacja</w:t>
            </w:r>
          </w:p>
        </w:tc>
      </w:tr>
      <w:tr w:rsidR="00CA374E" w:rsidRPr="00011AAA" w:rsidTr="00067F5A">
        <w:tc>
          <w:tcPr>
            <w:tcW w:w="1809" w:type="dxa"/>
          </w:tcPr>
          <w:p w:rsidR="00CA374E" w:rsidRPr="00011AAA" w:rsidRDefault="00CA374E" w:rsidP="00067F5A">
            <w:pPr>
              <w:tabs>
                <w:tab w:val="left" w:pos="0"/>
              </w:tabs>
              <w:spacing w:before="120" w:after="120" w:line="240" w:lineRule="auto"/>
              <w:rPr>
                <w:rFonts w:ascii="Verdana" w:hAnsi="Verdana"/>
                <w:b/>
                <w:sz w:val="16"/>
                <w:szCs w:val="16"/>
              </w:rPr>
            </w:pPr>
            <w:proofErr w:type="spellStart"/>
            <w:r w:rsidRPr="00011AAA">
              <w:rPr>
                <w:rFonts w:ascii="Verdana" w:hAnsi="Verdana" w:cs="Arial"/>
                <w:b/>
                <w:sz w:val="16"/>
                <w:szCs w:val="16"/>
              </w:rPr>
              <w:t>Dbi</w:t>
            </w:r>
            <w:proofErr w:type="spellEnd"/>
            <w:r w:rsidRPr="00011AAA">
              <w:rPr>
                <w:rFonts w:ascii="Verdana" w:hAnsi="Verdana" w:cs="Arial"/>
                <w:b/>
                <w:sz w:val="16"/>
                <w:szCs w:val="16"/>
              </w:rPr>
              <w:t xml:space="preserve"> </w:t>
            </w:r>
            <w:r w:rsidRPr="00011AAA">
              <w:rPr>
                <w:rFonts w:ascii="Verdana" w:hAnsi="Verdana"/>
                <w:b/>
                <w:sz w:val="16"/>
                <w:szCs w:val="16"/>
              </w:rPr>
              <w:t>–</w:t>
            </w:r>
          </w:p>
        </w:tc>
        <w:tc>
          <w:tcPr>
            <w:tcW w:w="7479" w:type="dxa"/>
            <w:gridSpan w:val="2"/>
            <w:vAlign w:val="center"/>
          </w:tcPr>
          <w:p w:rsidR="00CA374E" w:rsidRPr="00011AAA" w:rsidRDefault="00CA374E" w:rsidP="00067F5A">
            <w:pPr>
              <w:tabs>
                <w:tab w:val="left" w:pos="0"/>
              </w:tabs>
              <w:spacing w:before="120" w:after="120" w:line="240" w:lineRule="auto"/>
              <w:rPr>
                <w:rFonts w:ascii="Verdana" w:hAnsi="Verdana"/>
                <w:sz w:val="16"/>
                <w:szCs w:val="16"/>
              </w:rPr>
            </w:pPr>
            <w:r w:rsidRPr="00011AAA">
              <w:rPr>
                <w:rFonts w:ascii="Verdana" w:hAnsi="Verdana" w:cs="Arial"/>
                <w:sz w:val="16"/>
                <w:szCs w:val="16"/>
              </w:rPr>
              <w:t>dochody bieżące w roku poprzedzającym o i-lat rok, na który ustalana jest relacja, pomniejszone o dotacje i środki przeznaczone na cele bieżące</w:t>
            </w:r>
          </w:p>
        </w:tc>
      </w:tr>
      <w:tr w:rsidR="00CA374E" w:rsidRPr="00011AAA" w:rsidTr="00067F5A">
        <w:tc>
          <w:tcPr>
            <w:tcW w:w="1809" w:type="dxa"/>
          </w:tcPr>
          <w:p w:rsidR="00CA374E" w:rsidRPr="00E071BF" w:rsidRDefault="00CA374E" w:rsidP="00067F5A">
            <w:pPr>
              <w:tabs>
                <w:tab w:val="left" w:pos="0"/>
              </w:tabs>
              <w:spacing w:before="120" w:after="120"/>
              <w:rPr>
                <w:rFonts w:ascii="Verdana" w:hAnsi="Verdana"/>
                <w:b/>
                <w:color w:val="000000" w:themeColor="text1"/>
                <w:sz w:val="16"/>
                <w:szCs w:val="16"/>
              </w:rPr>
            </w:pPr>
            <w:r w:rsidRPr="00E071BF">
              <w:rPr>
                <w:rFonts w:ascii="Verdana" w:hAnsi="Verdana" w:cs="Arial"/>
                <w:b/>
                <w:color w:val="000000" w:themeColor="text1"/>
                <w:sz w:val="16"/>
                <w:szCs w:val="16"/>
              </w:rPr>
              <w:t>Z</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rsidR="00CA374E" w:rsidRPr="00E071BF" w:rsidRDefault="00CA374E" w:rsidP="00067F5A">
            <w:pPr>
              <w:tabs>
                <w:tab w:val="left" w:pos="0"/>
              </w:tabs>
              <w:spacing w:before="120" w:after="120"/>
              <w:rPr>
                <w:rFonts w:ascii="Verdana" w:hAnsi="Verdana"/>
                <w:color w:val="000000" w:themeColor="text1"/>
                <w:sz w:val="16"/>
                <w:szCs w:val="16"/>
              </w:rPr>
            </w:pPr>
            <w:r w:rsidRPr="00E071BF">
              <w:rPr>
                <w:rFonts w:ascii="Verdana" w:hAnsi="Verdana"/>
                <w:color w:val="000000" w:themeColor="text1"/>
                <w:sz w:val="16"/>
                <w:szCs w:val="16"/>
              </w:rPr>
              <w:t>stan zadłużenia na koniec 2023 / 2024 / 2025</w:t>
            </w:r>
          </w:p>
        </w:tc>
      </w:tr>
      <w:tr w:rsidR="00CA374E" w:rsidRPr="00011AAA" w:rsidTr="00067F5A">
        <w:tc>
          <w:tcPr>
            <w:tcW w:w="1809" w:type="dxa"/>
          </w:tcPr>
          <w:p w:rsidR="00CA374E" w:rsidRPr="00E071BF" w:rsidRDefault="00CA374E" w:rsidP="00067F5A">
            <w:pPr>
              <w:tabs>
                <w:tab w:val="left" w:pos="0"/>
              </w:tabs>
              <w:spacing w:before="120" w:after="120"/>
              <w:rPr>
                <w:rFonts w:ascii="Verdana" w:hAnsi="Verdana" w:cs="Arial"/>
                <w:b/>
                <w:color w:val="000000" w:themeColor="text1"/>
                <w:sz w:val="16"/>
                <w:szCs w:val="16"/>
              </w:rPr>
            </w:pPr>
            <w:r w:rsidRPr="00E071BF">
              <w:rPr>
                <w:rFonts w:ascii="Verdana" w:hAnsi="Verdana" w:cs="Arial"/>
                <w:b/>
                <w:color w:val="000000" w:themeColor="text1"/>
                <w:sz w:val="16"/>
                <w:szCs w:val="16"/>
              </w:rPr>
              <w:t>DP</w:t>
            </w:r>
            <w:r w:rsidRPr="00E071BF">
              <w:rPr>
                <w:rFonts w:ascii="Verdana" w:hAnsi="Verdana" w:cs="Arial"/>
                <w:b/>
                <w:color w:val="000000" w:themeColor="text1"/>
                <w:sz w:val="16"/>
                <w:szCs w:val="16"/>
                <w:vertAlign w:val="subscript"/>
              </w:rPr>
              <w:t>2023/2024/2025</w:t>
            </w:r>
            <w:r w:rsidRPr="00E071BF">
              <w:rPr>
                <w:rFonts w:ascii="Verdana" w:hAnsi="Verdana" w:cs="Arial"/>
                <w:b/>
                <w:color w:val="000000" w:themeColor="text1"/>
                <w:sz w:val="16"/>
                <w:szCs w:val="16"/>
              </w:rPr>
              <w:t xml:space="preserve"> </w:t>
            </w:r>
            <w:r w:rsidRPr="00E071BF">
              <w:rPr>
                <w:rFonts w:ascii="Verdana" w:hAnsi="Verdana"/>
                <w:b/>
                <w:color w:val="000000" w:themeColor="text1"/>
                <w:sz w:val="16"/>
                <w:szCs w:val="16"/>
              </w:rPr>
              <w:t>-</w:t>
            </w:r>
          </w:p>
        </w:tc>
        <w:tc>
          <w:tcPr>
            <w:tcW w:w="7479" w:type="dxa"/>
            <w:gridSpan w:val="2"/>
            <w:vAlign w:val="center"/>
          </w:tcPr>
          <w:p w:rsidR="00CA374E" w:rsidRPr="00E071BF" w:rsidRDefault="00CA374E" w:rsidP="00067F5A">
            <w:pPr>
              <w:tabs>
                <w:tab w:val="left" w:pos="0"/>
              </w:tabs>
              <w:spacing w:before="120" w:after="120" w:line="240" w:lineRule="auto"/>
              <w:rPr>
                <w:rFonts w:ascii="Verdana" w:hAnsi="Verdana"/>
                <w:color w:val="000000" w:themeColor="text1"/>
                <w:sz w:val="16"/>
                <w:szCs w:val="16"/>
              </w:rPr>
            </w:pPr>
            <w:r w:rsidRPr="00E071BF">
              <w:rPr>
                <w:rFonts w:ascii="Verdana" w:hAnsi="Verdana"/>
                <w:color w:val="000000" w:themeColor="text1"/>
                <w:sz w:val="16"/>
                <w:szCs w:val="16"/>
              </w:rPr>
              <w:t xml:space="preserve">dochody ogółem pomniejszone o planowane kwoty dotacji i środków o podobnym charakterze oraz powiększone o przychody z tytułów określonych w art. 217 ust. 2 </w:t>
            </w:r>
            <w:r>
              <w:rPr>
                <w:rFonts w:ascii="Verdana" w:hAnsi="Verdana"/>
                <w:color w:val="000000" w:themeColor="text1"/>
                <w:sz w:val="16"/>
                <w:szCs w:val="16"/>
              </w:rPr>
              <w:br/>
            </w:r>
            <w:r w:rsidRPr="00E071BF">
              <w:rPr>
                <w:rFonts w:ascii="Verdana" w:hAnsi="Verdana"/>
                <w:color w:val="000000" w:themeColor="text1"/>
                <w:sz w:val="16"/>
                <w:szCs w:val="16"/>
              </w:rPr>
              <w:t>pkt 4–8</w:t>
            </w:r>
            <w:r>
              <w:rPr>
                <w:rFonts w:ascii="Verdana" w:hAnsi="Verdana"/>
                <w:color w:val="000000" w:themeColor="text1"/>
                <w:sz w:val="16"/>
                <w:szCs w:val="16"/>
              </w:rPr>
              <w:t xml:space="preserve"> ustawy o finansach publicznych</w:t>
            </w:r>
            <w:r w:rsidRPr="00E071BF">
              <w:rPr>
                <w:rFonts w:ascii="Verdana" w:hAnsi="Verdana"/>
                <w:color w:val="000000" w:themeColor="text1"/>
                <w:sz w:val="16"/>
                <w:szCs w:val="16"/>
              </w:rPr>
              <w:t>, nieprzeznaczone na sfinansowanie deficytu budżetowego</w:t>
            </w:r>
          </w:p>
        </w:tc>
      </w:tr>
    </w:tbl>
    <w:p w:rsidR="00CA374E" w:rsidRDefault="00CA374E" w:rsidP="00CA374E">
      <w:pPr>
        <w:spacing w:before="240" w:after="120"/>
        <w:ind w:left="709" w:hanging="709"/>
        <w:rPr>
          <w:rFonts w:ascii="Verdana" w:hAnsi="Verdana"/>
          <w:sz w:val="16"/>
          <w:szCs w:val="16"/>
        </w:rPr>
      </w:pPr>
      <w:r>
        <w:rPr>
          <w:rFonts w:ascii="Verdana" w:hAnsi="Verdana"/>
          <w:sz w:val="16"/>
          <w:szCs w:val="16"/>
        </w:rPr>
        <w:br w:type="page"/>
      </w:r>
    </w:p>
    <w:p w:rsidR="00CA374E" w:rsidRPr="000A6485" w:rsidRDefault="00CA374E" w:rsidP="00CA374E">
      <w:pPr>
        <w:autoSpaceDE w:val="0"/>
        <w:autoSpaceDN w:val="0"/>
        <w:adjustRightInd w:val="0"/>
        <w:spacing w:before="240" w:after="240"/>
        <w:jc w:val="both"/>
        <w:rPr>
          <w:rFonts w:ascii="Verdana" w:hAnsi="Verdana"/>
          <w:b/>
          <w:bCs/>
          <w:sz w:val="20"/>
          <w:szCs w:val="20"/>
        </w:rPr>
      </w:pPr>
      <w:r>
        <w:rPr>
          <w:rFonts w:ascii="Verdana" w:hAnsi="Verdana"/>
          <w:sz w:val="16"/>
          <w:szCs w:val="16"/>
        </w:rPr>
        <w:lastRenderedPageBreak/>
        <w:t xml:space="preserve"> </w:t>
      </w:r>
      <w:r w:rsidRPr="000A6485">
        <w:rPr>
          <w:rFonts w:ascii="Verdana" w:hAnsi="Verdana"/>
          <w:b/>
          <w:bCs/>
          <w:sz w:val="20"/>
          <w:szCs w:val="20"/>
        </w:rPr>
        <w:t xml:space="preserve">4.2  </w:t>
      </w:r>
      <w:r>
        <w:rPr>
          <w:rFonts w:ascii="Verdana" w:hAnsi="Verdana"/>
          <w:b/>
          <w:bCs/>
          <w:sz w:val="20"/>
          <w:szCs w:val="20"/>
        </w:rPr>
        <w:t>Uwarunkowania makroekonomiczne</w:t>
      </w:r>
    </w:p>
    <w:p w:rsidR="00CA374E" w:rsidRDefault="00CA374E" w:rsidP="00CA374E">
      <w:pPr>
        <w:tabs>
          <w:tab w:val="left" w:pos="360"/>
        </w:tabs>
        <w:spacing w:before="60" w:after="60"/>
        <w:ind w:firstLine="539"/>
        <w:jc w:val="both"/>
        <w:rPr>
          <w:rFonts w:ascii="Verdana" w:hAnsi="Verdana"/>
          <w:sz w:val="16"/>
          <w:szCs w:val="16"/>
        </w:rPr>
      </w:pPr>
      <w:r w:rsidRPr="00011AAA">
        <w:rPr>
          <w:rFonts w:ascii="Verdana" w:hAnsi="Verdana"/>
          <w:sz w:val="16"/>
          <w:szCs w:val="16"/>
        </w:rPr>
        <w:t xml:space="preserve">Prognozę makroekonomiczną przyjętą na potrzeby opracowania </w:t>
      </w:r>
      <w:r w:rsidRPr="000A6485">
        <w:rPr>
          <w:rFonts w:ascii="Verdana" w:hAnsi="Verdana"/>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sz w:val="16"/>
          <w:szCs w:val="16"/>
        </w:rPr>
        <w:t>-2050</w:t>
      </w:r>
      <w:r w:rsidRPr="00011AAA">
        <w:rPr>
          <w:rFonts w:ascii="Verdana" w:hAnsi="Verdana"/>
          <w:sz w:val="16"/>
          <w:szCs w:val="16"/>
        </w:rPr>
        <w:t xml:space="preserve"> stanowiły </w:t>
      </w:r>
      <w:r>
        <w:rPr>
          <w:rFonts w:ascii="Verdana" w:hAnsi="Verdana"/>
          <w:sz w:val="16"/>
          <w:szCs w:val="16"/>
        </w:rPr>
        <w:t>założenia określone w dokumentach Ministerstwa</w:t>
      </w:r>
      <w:r w:rsidRPr="00011AAA">
        <w:rPr>
          <w:rFonts w:ascii="Verdana" w:hAnsi="Verdana"/>
          <w:sz w:val="16"/>
          <w:szCs w:val="16"/>
        </w:rPr>
        <w:t xml:space="preserve"> Finansów</w:t>
      </w:r>
      <w:r>
        <w:rPr>
          <w:rFonts w:ascii="Verdana" w:hAnsi="Verdana"/>
          <w:sz w:val="16"/>
          <w:szCs w:val="16"/>
        </w:rPr>
        <w:t>:</w:t>
      </w:r>
    </w:p>
    <w:p w:rsidR="00CA374E" w:rsidRPr="00126445" w:rsidRDefault="00CA374E" w:rsidP="00CA374E">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Założenia proj</w:t>
      </w:r>
      <w:r>
        <w:rPr>
          <w:rFonts w:ascii="Verdana" w:hAnsi="Verdana"/>
          <w:i/>
          <w:sz w:val="16"/>
          <w:szCs w:val="16"/>
        </w:rPr>
        <w:t>ektu budżetu państwa na rok 2024</w:t>
      </w:r>
      <w:r w:rsidRPr="00126445">
        <w:rPr>
          <w:rFonts w:ascii="Verdana" w:hAnsi="Verdana"/>
          <w:i/>
          <w:sz w:val="16"/>
          <w:szCs w:val="16"/>
        </w:rPr>
        <w:t xml:space="preserve"> </w:t>
      </w:r>
      <w:r w:rsidRPr="00126445">
        <w:rPr>
          <w:rFonts w:ascii="Verdana" w:hAnsi="Verdana"/>
          <w:sz w:val="16"/>
          <w:szCs w:val="16"/>
        </w:rPr>
        <w:t xml:space="preserve">– publikacja 15 czerwca </w:t>
      </w:r>
      <w:r>
        <w:rPr>
          <w:rFonts w:ascii="Verdana" w:hAnsi="Verdana"/>
          <w:sz w:val="16"/>
          <w:szCs w:val="16"/>
        </w:rPr>
        <w:t>2023</w:t>
      </w:r>
      <w:r w:rsidRPr="00126445">
        <w:rPr>
          <w:rFonts w:ascii="Verdana" w:hAnsi="Verdana"/>
          <w:sz w:val="16"/>
          <w:szCs w:val="16"/>
        </w:rPr>
        <w:t xml:space="preserve"> r.,</w:t>
      </w:r>
    </w:p>
    <w:p w:rsidR="00CA374E" w:rsidRDefault="00CA374E" w:rsidP="00CA374E">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Projekt ustawy budżetowej na rok 202</w:t>
      </w:r>
      <w:r>
        <w:rPr>
          <w:rFonts w:ascii="Verdana" w:hAnsi="Verdana"/>
          <w:i/>
          <w:sz w:val="16"/>
          <w:szCs w:val="16"/>
        </w:rPr>
        <w:t>4</w:t>
      </w:r>
      <w:r>
        <w:rPr>
          <w:rFonts w:ascii="Verdana" w:hAnsi="Verdana"/>
          <w:iCs/>
          <w:sz w:val="16"/>
          <w:szCs w:val="16"/>
        </w:rPr>
        <w:t xml:space="preserve"> – publikacja 26 września 2023</w:t>
      </w:r>
      <w:r w:rsidRPr="00126445">
        <w:rPr>
          <w:rFonts w:ascii="Verdana" w:hAnsi="Verdana"/>
          <w:iCs/>
          <w:sz w:val="16"/>
          <w:szCs w:val="16"/>
        </w:rPr>
        <w:t xml:space="preserve"> r.,</w:t>
      </w:r>
    </w:p>
    <w:p w:rsidR="00CA374E" w:rsidRPr="00F43DC2" w:rsidRDefault="00CA374E" w:rsidP="00CA374E">
      <w:pPr>
        <w:pStyle w:val="Akapitzlist"/>
        <w:numPr>
          <w:ilvl w:val="0"/>
          <w:numId w:val="42"/>
        </w:numPr>
        <w:tabs>
          <w:tab w:val="left" w:pos="360"/>
        </w:tabs>
        <w:spacing w:before="60" w:after="60"/>
        <w:contextualSpacing w:val="0"/>
        <w:jc w:val="both"/>
        <w:rPr>
          <w:rFonts w:ascii="Verdana" w:hAnsi="Verdana"/>
          <w:iCs/>
          <w:sz w:val="16"/>
          <w:szCs w:val="16"/>
        </w:rPr>
      </w:pPr>
      <w:r w:rsidRPr="00126445">
        <w:rPr>
          <w:rFonts w:ascii="Verdana" w:hAnsi="Verdana"/>
          <w:i/>
          <w:sz w:val="16"/>
          <w:szCs w:val="16"/>
        </w:rPr>
        <w:t>Wytyczne dotyczące stosowania jednolitych wskaźników makroekonomicznych będących podstawą oszacowania skutków finansowych projektowanych ustaw – aktualizacja październik 202</w:t>
      </w:r>
      <w:r>
        <w:rPr>
          <w:rFonts w:ascii="Verdana" w:hAnsi="Verdana"/>
          <w:i/>
          <w:sz w:val="16"/>
          <w:szCs w:val="16"/>
        </w:rPr>
        <w:t>3</w:t>
      </w:r>
      <w:r w:rsidRPr="00126445">
        <w:rPr>
          <w:rFonts w:ascii="Verdana" w:hAnsi="Verdana"/>
          <w:i/>
          <w:sz w:val="16"/>
          <w:szCs w:val="16"/>
        </w:rPr>
        <w:t xml:space="preserve"> r.</w:t>
      </w:r>
      <w:r w:rsidRPr="00126445">
        <w:rPr>
          <w:rFonts w:ascii="Verdana" w:hAnsi="Verdana"/>
          <w:sz w:val="16"/>
          <w:szCs w:val="16"/>
        </w:rPr>
        <w:t xml:space="preserve"> </w:t>
      </w:r>
      <w:r w:rsidRPr="00126445">
        <w:rPr>
          <w:rFonts w:ascii="Verdana" w:hAnsi="Verdana"/>
          <w:sz w:val="16"/>
          <w:szCs w:val="16"/>
        </w:rPr>
        <w:br/>
      </w:r>
      <w:r>
        <w:rPr>
          <w:rFonts w:ascii="Verdana" w:hAnsi="Verdana"/>
          <w:sz w:val="16"/>
          <w:szCs w:val="16"/>
        </w:rPr>
        <w:t>– publikacja 3 października 2023</w:t>
      </w:r>
      <w:r w:rsidRPr="00126445">
        <w:rPr>
          <w:rFonts w:ascii="Verdana" w:hAnsi="Verdana"/>
          <w:sz w:val="16"/>
          <w:szCs w:val="16"/>
        </w:rPr>
        <w:t xml:space="preserve"> r</w:t>
      </w:r>
      <w:r>
        <w:rPr>
          <w:rFonts w:ascii="Verdana" w:hAnsi="Verdana"/>
          <w:sz w:val="16"/>
          <w:szCs w:val="16"/>
        </w:rPr>
        <w:t>.</w:t>
      </w:r>
    </w:p>
    <w:p w:rsidR="00CA374E" w:rsidRDefault="00CA374E" w:rsidP="00CA374E">
      <w:pPr>
        <w:spacing w:before="60" w:after="60"/>
        <w:ind w:firstLine="567"/>
        <w:jc w:val="both"/>
        <w:rPr>
          <w:rFonts w:ascii="Verdana" w:hAnsi="Verdana" w:cs="Arial"/>
          <w:sz w:val="16"/>
          <w:szCs w:val="16"/>
        </w:rPr>
      </w:pPr>
      <w:r w:rsidRPr="00011AAA">
        <w:rPr>
          <w:rFonts w:ascii="Verdana" w:hAnsi="Verdana" w:cs="Arial"/>
          <w:sz w:val="16"/>
          <w:szCs w:val="16"/>
        </w:rPr>
        <w:t xml:space="preserve">Prognoza podstawowych wskaźników makroekonomicznych </w:t>
      </w:r>
      <w:r>
        <w:rPr>
          <w:rFonts w:ascii="Verdana" w:hAnsi="Verdana" w:cs="Arial"/>
          <w:sz w:val="16"/>
          <w:szCs w:val="16"/>
        </w:rPr>
        <w:t xml:space="preserve">w perspektywie 2026 r., opublikowana przez Ministerstwo Finansów, </w:t>
      </w:r>
      <w:r w:rsidRPr="00011AAA">
        <w:rPr>
          <w:rFonts w:ascii="Verdana" w:hAnsi="Verdana" w:cs="Arial"/>
          <w:sz w:val="16"/>
          <w:szCs w:val="16"/>
        </w:rPr>
        <w:t>przedstawia się następująco:</w:t>
      </w:r>
    </w:p>
    <w:p w:rsidR="00CA374E" w:rsidRPr="00492AD1" w:rsidRDefault="00CA374E" w:rsidP="00CA374E">
      <w:pPr>
        <w:spacing w:before="120" w:after="60" w:line="240" w:lineRule="auto"/>
        <w:rPr>
          <w:rFonts w:ascii="Verdana" w:hAnsi="Verdana" w:cs="Arial"/>
          <w:b/>
          <w:bCs/>
          <w:iCs/>
          <w:sz w:val="14"/>
          <w:szCs w:val="14"/>
        </w:rPr>
      </w:pPr>
      <w:r w:rsidRPr="00011AAA">
        <w:rPr>
          <w:rFonts w:ascii="Verdana" w:hAnsi="Verdana"/>
          <w:b/>
          <w:bCs/>
          <w:iCs/>
          <w:sz w:val="14"/>
          <w:szCs w:val="14"/>
        </w:rPr>
        <w:t xml:space="preserve">TAB. </w:t>
      </w:r>
      <w:r w:rsidRPr="00011AAA">
        <w:rPr>
          <w:rFonts w:ascii="Verdana" w:hAnsi="Verdana"/>
          <w:b/>
          <w:bCs/>
          <w:iCs/>
          <w:sz w:val="14"/>
          <w:szCs w:val="14"/>
        </w:rPr>
        <w:fldChar w:fldCharType="begin"/>
      </w:r>
      <w:r w:rsidRPr="00011AAA">
        <w:rPr>
          <w:rFonts w:ascii="Verdana" w:hAnsi="Verdana"/>
          <w:b/>
          <w:bCs/>
          <w:iCs/>
          <w:sz w:val="14"/>
          <w:szCs w:val="14"/>
        </w:rPr>
        <w:instrText xml:space="preserve"> SEQ Tab.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b/>
          <w:bCs/>
          <w:iCs/>
          <w:sz w:val="14"/>
          <w:szCs w:val="14"/>
        </w:rPr>
        <w:t xml:space="preserve"> </w:t>
      </w:r>
      <w:r w:rsidRPr="00011AAA">
        <w:rPr>
          <w:rFonts w:ascii="Verdana" w:hAnsi="Verdana" w:cs="Arial"/>
          <w:b/>
          <w:bCs/>
          <w:iCs/>
          <w:sz w:val="14"/>
          <w:szCs w:val="14"/>
        </w:rPr>
        <w:t>GŁÓWNE WSKAŹNIKI MAKROEKONOMICZNE W LATACH</w:t>
      </w:r>
      <w:r>
        <w:rPr>
          <w:rFonts w:ascii="Verdana" w:hAnsi="Verdana" w:cs="Arial"/>
          <w:b/>
          <w:bCs/>
          <w:iCs/>
          <w:sz w:val="14"/>
          <w:szCs w:val="14"/>
        </w:rPr>
        <w:t xml:space="preserve"> </w:t>
      </w:r>
      <w:r w:rsidRPr="008F3935">
        <w:rPr>
          <w:rFonts w:ascii="Verdana" w:hAnsi="Verdana" w:cs="Arial"/>
          <w:b/>
          <w:bCs/>
          <w:iCs/>
          <w:sz w:val="14"/>
          <w:szCs w:val="14"/>
        </w:rPr>
        <w:t>2023</w:t>
      </w:r>
      <w:r w:rsidRPr="00011AAA">
        <w:rPr>
          <w:rFonts w:ascii="Verdana" w:hAnsi="Verdana" w:cs="Arial"/>
          <w:b/>
          <w:bCs/>
          <w:iCs/>
          <w:sz w:val="14"/>
          <w:szCs w:val="14"/>
        </w:rPr>
        <w:t>-202</w:t>
      </w:r>
      <w:r>
        <w:rPr>
          <w:rFonts w:ascii="Verdana" w:hAnsi="Verdana" w:cs="Arial"/>
          <w:b/>
          <w:bCs/>
          <w:iCs/>
          <w:sz w:val="14"/>
          <w:szCs w:val="14"/>
        </w:rPr>
        <w:t xml:space="preserve">5 ZGODNE Z PROGNOZĄ </w:t>
      </w:r>
      <w:r>
        <w:rPr>
          <w:rFonts w:ascii="Verdana" w:hAnsi="Verdana" w:cs="Arial"/>
          <w:b/>
          <w:bCs/>
          <w:iCs/>
          <w:sz w:val="14"/>
          <w:szCs w:val="14"/>
        </w:rPr>
        <w:br/>
        <w:t xml:space="preserve">             MINISTERSTWA FINANSÓW</w:t>
      </w:r>
    </w:p>
    <w:p w:rsidR="00CA374E" w:rsidRPr="00011AAA" w:rsidRDefault="00AF0B51" w:rsidP="00CA374E">
      <w:pPr>
        <w:spacing w:before="60" w:after="60" w:line="240" w:lineRule="auto"/>
        <w:jc w:val="both"/>
        <w:rPr>
          <w:rFonts w:ascii="Verdana" w:hAnsi="Verdana" w:cs="Arial"/>
          <w:iCs/>
          <w:sz w:val="20"/>
        </w:rPr>
      </w:pPr>
      <w:r>
        <w:rPr>
          <w:rFonts w:ascii="Verdana" w:hAnsi="Verdana" w:cs="Arial"/>
          <w:iCs/>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29pt">
            <v:imagedata r:id="rId12" o:title=""/>
          </v:shape>
        </w:pict>
      </w:r>
    </w:p>
    <w:p w:rsidR="00CA374E" w:rsidRPr="00B4573D" w:rsidRDefault="00CA374E" w:rsidP="00CA374E">
      <w:pPr>
        <w:spacing w:before="240" w:after="60"/>
        <w:jc w:val="both"/>
        <w:rPr>
          <w:rFonts w:ascii="Verdana" w:hAnsi="Verdana" w:cs="Arial"/>
          <w:b/>
          <w:sz w:val="16"/>
          <w:szCs w:val="16"/>
        </w:rPr>
      </w:pPr>
      <w:r w:rsidRPr="00B4573D">
        <w:rPr>
          <w:rFonts w:ascii="Verdana" w:hAnsi="Verdana" w:cs="Arial"/>
          <w:b/>
          <w:sz w:val="16"/>
          <w:szCs w:val="16"/>
        </w:rPr>
        <w:t>Produkt Krajowy Brutto</w:t>
      </w:r>
    </w:p>
    <w:p w:rsidR="00CA374E" w:rsidRDefault="00CA374E" w:rsidP="00CA374E">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Produkt Krajowy Brutto Polski w ujęciu realnym </w:t>
      </w:r>
      <w:r>
        <w:rPr>
          <w:rFonts w:ascii="Verdana" w:hAnsi="Verdana" w:cs="Arial"/>
          <w:sz w:val="16"/>
          <w:szCs w:val="16"/>
        </w:rPr>
        <w:t>ma wzrosnąć</w:t>
      </w:r>
      <w:r w:rsidRPr="00011AAA">
        <w:rPr>
          <w:rFonts w:ascii="Verdana" w:hAnsi="Verdana" w:cs="Arial"/>
          <w:sz w:val="16"/>
          <w:szCs w:val="16"/>
        </w:rPr>
        <w:t xml:space="preserve"> w</w:t>
      </w:r>
      <w:r>
        <w:rPr>
          <w:rFonts w:ascii="Verdana" w:hAnsi="Verdana" w:cs="Arial"/>
          <w:sz w:val="16"/>
          <w:szCs w:val="16"/>
        </w:rPr>
        <w:t xml:space="preserve">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o </w:t>
      </w:r>
      <w:r>
        <w:rPr>
          <w:rFonts w:ascii="Verdana" w:hAnsi="Verdana" w:cs="Arial"/>
          <w:b/>
          <w:sz w:val="16"/>
          <w:szCs w:val="16"/>
        </w:rPr>
        <w:t>3</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w </w:t>
      </w:r>
      <w:r w:rsidRPr="003567C6">
        <w:rPr>
          <w:rFonts w:ascii="Verdana" w:eastAsiaTheme="minorEastAsia" w:hAnsi="Verdana" w:cs="Verdana"/>
          <w:color w:val="000000"/>
          <w:sz w:val="16"/>
          <w:szCs w:val="16"/>
        </w:rPr>
        <w:t>2023</w:t>
      </w:r>
      <w:r>
        <w:rPr>
          <w:rFonts w:ascii="Verdana" w:hAnsi="Verdana" w:cs="Arial"/>
          <w:sz w:val="16"/>
          <w:szCs w:val="16"/>
        </w:rPr>
        <w:t xml:space="preserve"> r. prognozowanym na poziomie </w:t>
      </w:r>
      <w:r>
        <w:rPr>
          <w:rFonts w:ascii="Verdana" w:hAnsi="Verdana" w:cs="Arial"/>
          <w:b/>
          <w:sz w:val="16"/>
          <w:szCs w:val="16"/>
        </w:rPr>
        <w:t>0,9</w:t>
      </w:r>
      <w:r w:rsidRPr="003F7795">
        <w:rPr>
          <w:rFonts w:ascii="Verdana" w:hAnsi="Verdana" w:cs="Arial"/>
          <w:b/>
          <w:sz w:val="16"/>
          <w:szCs w:val="16"/>
        </w:rPr>
        <w:t>%</w:t>
      </w:r>
      <w:r w:rsidRPr="00011AAA">
        <w:rPr>
          <w:rFonts w:ascii="Verdana" w:hAnsi="Verdana" w:cs="Arial"/>
          <w:sz w:val="16"/>
          <w:szCs w:val="16"/>
        </w:rPr>
        <w:t>.</w:t>
      </w:r>
      <w:r>
        <w:rPr>
          <w:rFonts w:ascii="Verdana" w:hAnsi="Verdana" w:cs="Arial"/>
          <w:sz w:val="16"/>
          <w:szCs w:val="16"/>
        </w:rPr>
        <w:t xml:space="preserve"> Dla lat 2025-2026 prognoza Ministerstwa Finansów zakłada realny wzrost PKB na poziomie kolejno </w:t>
      </w:r>
      <w:r w:rsidRPr="00F43DC2">
        <w:rPr>
          <w:rFonts w:ascii="Verdana" w:hAnsi="Verdana" w:cs="Arial"/>
          <w:b/>
          <w:sz w:val="16"/>
          <w:szCs w:val="16"/>
        </w:rPr>
        <w:t>3,4%</w:t>
      </w:r>
      <w:r>
        <w:rPr>
          <w:rFonts w:ascii="Verdana" w:hAnsi="Verdana" w:cs="Arial"/>
          <w:sz w:val="16"/>
          <w:szCs w:val="16"/>
        </w:rPr>
        <w:t xml:space="preserve"> i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rsidR="00CA374E" w:rsidRPr="00B4573D" w:rsidRDefault="00CA374E" w:rsidP="00CA374E">
      <w:pPr>
        <w:spacing w:before="60" w:after="60"/>
        <w:jc w:val="both"/>
        <w:rPr>
          <w:rFonts w:ascii="Verdana" w:hAnsi="Verdana" w:cs="Arial"/>
          <w:b/>
          <w:sz w:val="16"/>
          <w:szCs w:val="16"/>
        </w:rPr>
      </w:pPr>
      <w:r w:rsidRPr="00B4573D">
        <w:rPr>
          <w:rFonts w:ascii="Verdana" w:hAnsi="Verdana" w:cs="Arial"/>
          <w:b/>
          <w:sz w:val="16"/>
          <w:szCs w:val="16"/>
        </w:rPr>
        <w:t>Wskaźnik cen towarów i usług konsumpcyjnych</w:t>
      </w:r>
    </w:p>
    <w:p w:rsidR="00CA374E" w:rsidRDefault="00CA374E" w:rsidP="00CA374E">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sidRPr="00011AAA">
        <w:rPr>
          <w:rFonts w:ascii="Verdana" w:hAnsi="Verdana" w:cs="Arial"/>
          <w:sz w:val="16"/>
          <w:szCs w:val="16"/>
        </w:rPr>
        <w:t xml:space="preserve"> </w:t>
      </w:r>
      <w:r>
        <w:rPr>
          <w:rFonts w:ascii="Verdana" w:hAnsi="Verdana" w:cs="Arial"/>
          <w:sz w:val="16"/>
          <w:szCs w:val="16"/>
        </w:rPr>
        <w:t xml:space="preserve">średnioroczny </w:t>
      </w:r>
      <w:r w:rsidRPr="00011AAA">
        <w:rPr>
          <w:rFonts w:ascii="Verdana" w:hAnsi="Verdana" w:cs="Arial"/>
          <w:sz w:val="16"/>
          <w:szCs w:val="16"/>
        </w:rPr>
        <w:t xml:space="preserve">wskaźnik wzrostu cen towarów </w:t>
      </w:r>
      <w:r>
        <w:rPr>
          <w:rFonts w:ascii="Verdana" w:hAnsi="Verdana" w:cs="Arial"/>
          <w:sz w:val="16"/>
          <w:szCs w:val="16"/>
        </w:rPr>
        <w:br/>
      </w:r>
      <w:r w:rsidRPr="00011AAA">
        <w:rPr>
          <w:rFonts w:ascii="Verdana" w:hAnsi="Verdana" w:cs="Arial"/>
          <w:sz w:val="16"/>
          <w:szCs w:val="16"/>
        </w:rPr>
        <w:t xml:space="preserve">i usług konsumpcyjnych </w:t>
      </w:r>
      <w:r>
        <w:rPr>
          <w:rFonts w:ascii="Verdana" w:hAnsi="Verdana" w:cs="Arial"/>
          <w:sz w:val="16"/>
          <w:szCs w:val="16"/>
        </w:rPr>
        <w:t xml:space="preserve">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ma wynieść</w:t>
      </w:r>
      <w:r w:rsidRPr="00011AAA">
        <w:rPr>
          <w:rFonts w:ascii="Verdana" w:hAnsi="Verdana" w:cs="Arial"/>
          <w:sz w:val="16"/>
          <w:szCs w:val="16"/>
        </w:rPr>
        <w:t xml:space="preserve"> </w:t>
      </w:r>
      <w:r>
        <w:rPr>
          <w:rFonts w:ascii="Verdana" w:hAnsi="Verdana" w:cs="Arial"/>
          <w:b/>
          <w:sz w:val="16"/>
          <w:szCs w:val="16"/>
        </w:rPr>
        <w:t>6,6</w:t>
      </w:r>
      <w:r w:rsidRPr="00011AAA">
        <w:rPr>
          <w:rFonts w:ascii="Verdana" w:hAnsi="Verdana" w:cs="Arial"/>
          <w:b/>
          <w:sz w:val="16"/>
          <w:szCs w:val="16"/>
        </w:rPr>
        <w:t>%</w:t>
      </w:r>
      <w:r w:rsidRPr="00011AAA">
        <w:rPr>
          <w:rFonts w:ascii="Verdana" w:hAnsi="Verdana" w:cs="Arial"/>
          <w:sz w:val="16"/>
          <w:szCs w:val="16"/>
        </w:rPr>
        <w:t xml:space="preserve">, </w:t>
      </w:r>
      <w:r>
        <w:rPr>
          <w:rFonts w:ascii="Verdana" w:hAnsi="Verdana" w:cs="Arial"/>
          <w:sz w:val="16"/>
          <w:szCs w:val="16"/>
        </w:rPr>
        <w:t xml:space="preserve">po wzroście o </w:t>
      </w:r>
      <w:r>
        <w:rPr>
          <w:rFonts w:ascii="Verdana" w:hAnsi="Verdana" w:cs="Arial"/>
          <w:b/>
          <w:sz w:val="16"/>
          <w:szCs w:val="16"/>
        </w:rPr>
        <w:t>12%</w:t>
      </w:r>
      <w:r>
        <w:rPr>
          <w:rFonts w:ascii="Verdana" w:hAnsi="Verdana" w:cs="Arial"/>
          <w:sz w:val="16"/>
          <w:szCs w:val="16"/>
        </w:rPr>
        <w:t xml:space="preserve"> prognozowanym na </w:t>
      </w:r>
      <w:r w:rsidRPr="003567C6">
        <w:rPr>
          <w:rFonts w:ascii="Verdana" w:eastAsiaTheme="minorEastAsia" w:hAnsi="Verdana" w:cs="Verdana"/>
          <w:color w:val="000000"/>
          <w:sz w:val="16"/>
          <w:szCs w:val="16"/>
        </w:rPr>
        <w:t>2023</w:t>
      </w:r>
      <w:r w:rsidRPr="00011AAA">
        <w:rPr>
          <w:rFonts w:ascii="Verdana" w:hAnsi="Verdana" w:cs="Arial"/>
          <w:sz w:val="16"/>
          <w:szCs w:val="16"/>
        </w:rPr>
        <w:t xml:space="preserve"> r.</w:t>
      </w:r>
      <w:r>
        <w:rPr>
          <w:rFonts w:ascii="Verdana" w:hAnsi="Verdana" w:cs="Arial"/>
          <w:sz w:val="16"/>
          <w:szCs w:val="16"/>
        </w:rPr>
        <w:t xml:space="preserve">, </w:t>
      </w:r>
      <w:r>
        <w:rPr>
          <w:rFonts w:ascii="Verdana" w:hAnsi="Verdana" w:cs="Arial"/>
          <w:sz w:val="16"/>
          <w:szCs w:val="16"/>
        </w:rPr>
        <w:br/>
        <w:t xml:space="preserve">co oznacza prognozowany skumulowany wzrost cen w latach 2022-2024 wynoszący </w:t>
      </w:r>
      <w:r>
        <w:rPr>
          <w:rFonts w:ascii="Verdana" w:hAnsi="Verdana" w:cs="Arial"/>
          <w:b/>
          <w:sz w:val="16"/>
          <w:szCs w:val="16"/>
        </w:rPr>
        <w:t>36,6%</w:t>
      </w:r>
      <w:r>
        <w:rPr>
          <w:rFonts w:ascii="Verdana" w:hAnsi="Verdana" w:cs="Arial"/>
          <w:sz w:val="16"/>
          <w:szCs w:val="16"/>
        </w:rPr>
        <w:t>.</w:t>
      </w:r>
      <w:r>
        <w:rPr>
          <w:rFonts w:ascii="Verdana" w:hAnsi="Verdana"/>
          <w:sz w:val="16"/>
          <w:szCs w:val="16"/>
        </w:rPr>
        <w:t xml:space="preserve"> </w:t>
      </w:r>
      <w:r>
        <w:rPr>
          <w:rFonts w:ascii="Verdana" w:hAnsi="Verdana" w:cs="Arial"/>
          <w:sz w:val="16"/>
          <w:szCs w:val="16"/>
        </w:rPr>
        <w:t xml:space="preserve">W świetle prognozy Ministerstwa Finansów inflacja ma stopniowo w perspektywie kilku lat ulegać obniżeniu w kierunku celu inflacyjnego Narodowego Banku Polskiego wynoszącego 2,5%. Dla lat 2025-2026 prognoza Ministerstwa Finansów zakłada </w:t>
      </w:r>
      <w:r w:rsidRPr="00011AAA">
        <w:rPr>
          <w:rFonts w:ascii="Verdana" w:hAnsi="Verdana" w:cs="Arial"/>
          <w:sz w:val="16"/>
          <w:szCs w:val="16"/>
        </w:rPr>
        <w:t>wzrost cen towarów i usług konsumpcyjnych</w:t>
      </w:r>
      <w:r>
        <w:rPr>
          <w:rFonts w:ascii="Verdana" w:hAnsi="Verdana" w:cs="Arial"/>
          <w:sz w:val="16"/>
          <w:szCs w:val="16"/>
        </w:rPr>
        <w:t xml:space="preserve"> na poziomie kolejno </w:t>
      </w:r>
      <w:r>
        <w:rPr>
          <w:rFonts w:ascii="Verdana" w:hAnsi="Verdana" w:cs="Arial"/>
          <w:b/>
          <w:sz w:val="16"/>
          <w:szCs w:val="16"/>
        </w:rPr>
        <w:t>4,1</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3,1</w:t>
      </w:r>
      <w:r w:rsidRPr="002320AA">
        <w:rPr>
          <w:rFonts w:ascii="Verdana" w:hAnsi="Verdana" w:cs="Arial"/>
          <w:b/>
          <w:sz w:val="16"/>
          <w:szCs w:val="16"/>
        </w:rPr>
        <w:t>%</w:t>
      </w:r>
      <w:r>
        <w:rPr>
          <w:rFonts w:ascii="Verdana" w:hAnsi="Verdana" w:cs="Arial"/>
          <w:sz w:val="16"/>
          <w:szCs w:val="16"/>
        </w:rPr>
        <w:t>.</w:t>
      </w:r>
    </w:p>
    <w:p w:rsidR="00CA374E" w:rsidRPr="00B4573D" w:rsidRDefault="00CA374E" w:rsidP="00CA374E">
      <w:pPr>
        <w:spacing w:before="60" w:after="60"/>
        <w:jc w:val="both"/>
        <w:rPr>
          <w:rFonts w:ascii="Verdana" w:hAnsi="Verdana" w:cs="Arial"/>
          <w:b/>
          <w:sz w:val="16"/>
          <w:szCs w:val="16"/>
        </w:rPr>
      </w:pPr>
      <w:r w:rsidRPr="00B4573D">
        <w:rPr>
          <w:rFonts w:ascii="Verdana" w:hAnsi="Verdana" w:cs="Arial"/>
          <w:b/>
          <w:sz w:val="16"/>
          <w:szCs w:val="16"/>
        </w:rPr>
        <w:t>Wynagrodzenia</w:t>
      </w:r>
    </w:p>
    <w:p w:rsidR="00CA374E" w:rsidRDefault="00CA374E" w:rsidP="00CA374E">
      <w:pPr>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miesięczne wynagrodzenie brutto </w:t>
      </w:r>
      <w:r>
        <w:rPr>
          <w:rFonts w:ascii="Verdana" w:hAnsi="Verdana" w:cs="Arial"/>
          <w:sz w:val="16"/>
          <w:szCs w:val="16"/>
        </w:rPr>
        <w:br/>
        <w:t xml:space="preserve">w gospodarce narodowej 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ma wzrosnąć</w:t>
      </w:r>
      <w:r w:rsidRPr="00011AAA">
        <w:rPr>
          <w:rFonts w:ascii="Verdana" w:hAnsi="Verdana" w:cs="Arial"/>
          <w:sz w:val="16"/>
          <w:szCs w:val="16"/>
        </w:rPr>
        <w:t xml:space="preserve"> nominalnie o </w:t>
      </w:r>
      <w:r>
        <w:rPr>
          <w:rFonts w:ascii="Verdana" w:hAnsi="Verdana" w:cs="Arial"/>
          <w:b/>
          <w:sz w:val="16"/>
          <w:szCs w:val="16"/>
        </w:rPr>
        <w:t>9,8</w:t>
      </w:r>
      <w:r w:rsidRPr="00011AAA">
        <w:rPr>
          <w:rFonts w:ascii="Verdana" w:hAnsi="Verdana" w:cs="Arial"/>
          <w:b/>
          <w:sz w:val="16"/>
          <w:szCs w:val="16"/>
        </w:rPr>
        <w:t>%</w:t>
      </w:r>
      <w:r>
        <w:rPr>
          <w:rFonts w:ascii="Verdana" w:hAnsi="Verdana" w:cs="Arial"/>
          <w:sz w:val="16"/>
          <w:szCs w:val="16"/>
        </w:rPr>
        <w:t xml:space="preserve"> w porównaniu ze wzrostem na poziomie </w:t>
      </w:r>
      <w:r>
        <w:rPr>
          <w:rFonts w:ascii="Verdana" w:hAnsi="Verdana" w:cs="Arial"/>
          <w:b/>
          <w:sz w:val="16"/>
          <w:szCs w:val="16"/>
        </w:rPr>
        <w:t>12,3%</w:t>
      </w:r>
      <w:r>
        <w:rPr>
          <w:rFonts w:ascii="Verdana" w:hAnsi="Verdana" w:cs="Arial"/>
          <w:sz w:val="16"/>
          <w:szCs w:val="16"/>
        </w:rPr>
        <w:t xml:space="preserve"> oczekiwanym w </w:t>
      </w:r>
      <w:r w:rsidRPr="003567C6">
        <w:rPr>
          <w:rFonts w:ascii="Verdana" w:eastAsiaTheme="minorEastAsia" w:hAnsi="Verdana" w:cs="Verdana"/>
          <w:color w:val="000000"/>
          <w:sz w:val="16"/>
          <w:szCs w:val="16"/>
        </w:rPr>
        <w:t>2023</w:t>
      </w:r>
      <w:r w:rsidRPr="00011AAA">
        <w:rPr>
          <w:rFonts w:ascii="Verdana" w:hAnsi="Verdana" w:cs="Arial"/>
          <w:sz w:val="16"/>
          <w:szCs w:val="16"/>
        </w:rPr>
        <w:t xml:space="preserve"> r.</w:t>
      </w:r>
      <w:r>
        <w:rPr>
          <w:rFonts w:ascii="Verdana" w:hAnsi="Verdana" w:cs="Arial"/>
          <w:sz w:val="16"/>
          <w:szCs w:val="16"/>
        </w:rPr>
        <w:t xml:space="preserve"> Ministerstwo Finansów oczekuje dalszego spadku dynamiki wynagrodzeń </w:t>
      </w:r>
      <w:r>
        <w:rPr>
          <w:rFonts w:ascii="Verdana" w:hAnsi="Verdana" w:cs="Arial"/>
          <w:sz w:val="16"/>
          <w:szCs w:val="16"/>
        </w:rPr>
        <w:br/>
        <w:t xml:space="preserve">w kolejnych latach w ślad za prognozowanym spadkiem inflacji. Dla lat 2025-2026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w:t>
      </w:r>
      <w:r w:rsidRPr="00011AAA">
        <w:rPr>
          <w:rFonts w:ascii="Verdana" w:hAnsi="Verdana" w:cs="Arial"/>
          <w:sz w:val="16"/>
          <w:szCs w:val="16"/>
        </w:rPr>
        <w:t xml:space="preserve"> miesięczne</w:t>
      </w:r>
      <w:r>
        <w:rPr>
          <w:rFonts w:ascii="Verdana" w:hAnsi="Verdana" w:cs="Arial"/>
          <w:sz w:val="16"/>
          <w:szCs w:val="16"/>
        </w:rPr>
        <w:t>go wynagrodzenia</w:t>
      </w:r>
      <w:r w:rsidRPr="00011AAA">
        <w:rPr>
          <w:rFonts w:ascii="Verdana" w:hAnsi="Verdana" w:cs="Arial"/>
          <w:sz w:val="16"/>
          <w:szCs w:val="16"/>
        </w:rPr>
        <w:t xml:space="preserve"> brutto </w:t>
      </w:r>
      <w:r>
        <w:rPr>
          <w:rFonts w:ascii="Verdana" w:hAnsi="Verdana" w:cs="Arial"/>
          <w:sz w:val="16"/>
          <w:szCs w:val="16"/>
        </w:rPr>
        <w:t xml:space="preserve">w gospodarce narodowej na poziomie kolejno </w:t>
      </w:r>
      <w:r>
        <w:rPr>
          <w:rFonts w:ascii="Verdana" w:hAnsi="Verdana" w:cs="Arial"/>
          <w:b/>
          <w:sz w:val="16"/>
          <w:szCs w:val="16"/>
        </w:rPr>
        <w:t>7%</w:t>
      </w:r>
      <w:r>
        <w:rPr>
          <w:rFonts w:ascii="Verdana" w:hAnsi="Verdana" w:cs="Arial"/>
          <w:sz w:val="16"/>
          <w:szCs w:val="16"/>
        </w:rPr>
        <w:t xml:space="preserve"> i </w:t>
      </w:r>
      <w:r>
        <w:rPr>
          <w:rFonts w:ascii="Verdana" w:hAnsi="Verdana" w:cs="Arial"/>
          <w:b/>
          <w:sz w:val="16"/>
          <w:szCs w:val="16"/>
        </w:rPr>
        <w:t>6</w:t>
      </w:r>
      <w:r w:rsidRPr="002320AA">
        <w:rPr>
          <w:rFonts w:ascii="Verdana" w:hAnsi="Verdana" w:cs="Arial"/>
          <w:b/>
          <w:sz w:val="16"/>
          <w:szCs w:val="16"/>
        </w:rPr>
        <w:t>%</w:t>
      </w:r>
      <w:r>
        <w:rPr>
          <w:rFonts w:ascii="Verdana" w:hAnsi="Verdana" w:cs="Arial"/>
          <w:sz w:val="16"/>
          <w:szCs w:val="16"/>
        </w:rPr>
        <w:t>.</w:t>
      </w:r>
    </w:p>
    <w:p w:rsidR="00CA374E" w:rsidRPr="00B4573D" w:rsidRDefault="00CA374E" w:rsidP="00CA374E">
      <w:pPr>
        <w:spacing w:before="60" w:after="60"/>
        <w:jc w:val="both"/>
        <w:rPr>
          <w:rFonts w:ascii="Verdana" w:hAnsi="Verdana" w:cs="Arial"/>
          <w:b/>
          <w:sz w:val="16"/>
          <w:szCs w:val="16"/>
        </w:rPr>
      </w:pPr>
      <w:r w:rsidRPr="00B4573D">
        <w:rPr>
          <w:rFonts w:ascii="Verdana" w:hAnsi="Verdana" w:cs="Arial"/>
          <w:b/>
          <w:sz w:val="16"/>
          <w:szCs w:val="16"/>
        </w:rPr>
        <w:t>Zatrudnienie</w:t>
      </w:r>
    </w:p>
    <w:p w:rsidR="00CA374E" w:rsidRDefault="00CA374E" w:rsidP="00CA374E">
      <w:pPr>
        <w:autoSpaceDE w:val="0"/>
        <w:autoSpaceDN w:val="0"/>
        <w:adjustRightInd w:val="0"/>
        <w:spacing w:before="60" w:after="60"/>
        <w:jc w:val="both"/>
        <w:rPr>
          <w:rFonts w:ascii="Verdana" w:hAnsi="Verdana" w:cs="Arial"/>
          <w:sz w:val="16"/>
          <w:szCs w:val="16"/>
        </w:rPr>
      </w:pPr>
      <w:r>
        <w:rPr>
          <w:rFonts w:ascii="Verdana" w:hAnsi="Verdana" w:cs="Arial"/>
          <w:sz w:val="16"/>
          <w:szCs w:val="16"/>
        </w:rPr>
        <w:t>Zgodnie z prognozą makroekonomiczną Ministerstwa Finansów</w:t>
      </w:r>
      <w:r>
        <w:rPr>
          <w:rFonts w:ascii="Verdana" w:hAnsi="Verdana"/>
          <w:spacing w:val="2"/>
          <w:sz w:val="16"/>
          <w:szCs w:val="16"/>
        </w:rPr>
        <w:t xml:space="preserve"> </w:t>
      </w:r>
      <w:r w:rsidRPr="00011AAA">
        <w:rPr>
          <w:rFonts w:ascii="Verdana" w:hAnsi="Verdana"/>
          <w:spacing w:val="2"/>
          <w:sz w:val="16"/>
          <w:szCs w:val="16"/>
        </w:rPr>
        <w:t>p</w:t>
      </w:r>
      <w:r w:rsidRPr="00011AAA">
        <w:rPr>
          <w:rFonts w:ascii="Verdana" w:hAnsi="Verdana" w:cs="Arial"/>
          <w:sz w:val="16"/>
          <w:szCs w:val="16"/>
        </w:rPr>
        <w:t xml:space="preserve">rzeciętne zatrudnienie w gospodarce narodowej </w:t>
      </w:r>
      <w:r>
        <w:rPr>
          <w:rFonts w:ascii="Verdana" w:hAnsi="Verdana" w:cs="Arial"/>
          <w:sz w:val="16"/>
          <w:szCs w:val="16"/>
        </w:rPr>
        <w:t xml:space="preserve">w </w:t>
      </w:r>
      <w:r w:rsidRPr="003567C6">
        <w:rPr>
          <w:rFonts w:ascii="Verdana" w:eastAsiaTheme="minorEastAsia" w:hAnsi="Verdana" w:cs="Verdana"/>
          <w:color w:val="000000"/>
          <w:sz w:val="16"/>
          <w:szCs w:val="16"/>
        </w:rPr>
        <w:t>2024</w:t>
      </w:r>
      <w:r w:rsidRPr="00011AAA">
        <w:rPr>
          <w:rFonts w:ascii="Verdana" w:hAnsi="Verdana" w:cs="Arial"/>
          <w:sz w:val="16"/>
          <w:szCs w:val="16"/>
        </w:rPr>
        <w:t xml:space="preserve"> r. </w:t>
      </w:r>
      <w:r>
        <w:rPr>
          <w:rFonts w:ascii="Verdana" w:hAnsi="Verdana" w:cs="Arial"/>
          <w:sz w:val="16"/>
          <w:szCs w:val="16"/>
        </w:rPr>
        <w:t>wzrośnie</w:t>
      </w:r>
      <w:r w:rsidRPr="00011AAA">
        <w:rPr>
          <w:rFonts w:ascii="Verdana" w:hAnsi="Verdana" w:cs="Arial"/>
          <w:sz w:val="16"/>
          <w:szCs w:val="16"/>
        </w:rPr>
        <w:t xml:space="preserve"> o </w:t>
      </w:r>
      <w:r>
        <w:rPr>
          <w:rFonts w:ascii="Verdana" w:hAnsi="Verdana" w:cs="Arial"/>
          <w:b/>
          <w:sz w:val="16"/>
          <w:szCs w:val="16"/>
        </w:rPr>
        <w:t>1,2</w:t>
      </w:r>
      <w:r w:rsidRPr="00011AAA">
        <w:rPr>
          <w:rFonts w:ascii="Verdana" w:hAnsi="Verdana" w:cs="Arial"/>
          <w:b/>
          <w:sz w:val="16"/>
          <w:szCs w:val="16"/>
        </w:rPr>
        <w:t>%</w:t>
      </w:r>
      <w:r>
        <w:rPr>
          <w:rFonts w:ascii="Verdana" w:hAnsi="Verdana" w:cs="Arial"/>
          <w:sz w:val="16"/>
          <w:szCs w:val="16"/>
        </w:rPr>
        <w:t>,</w:t>
      </w:r>
      <w:r w:rsidRPr="00011AAA">
        <w:rPr>
          <w:rFonts w:ascii="Verdana" w:hAnsi="Verdana" w:cs="Arial"/>
          <w:sz w:val="16"/>
          <w:szCs w:val="16"/>
        </w:rPr>
        <w:t xml:space="preserve"> </w:t>
      </w:r>
      <w:r>
        <w:rPr>
          <w:rFonts w:ascii="Verdana" w:hAnsi="Verdana" w:cs="Arial"/>
          <w:sz w:val="16"/>
          <w:szCs w:val="16"/>
        </w:rPr>
        <w:t xml:space="preserve">po wzroście oczekiwanym w </w:t>
      </w:r>
      <w:r w:rsidRPr="003567C6">
        <w:rPr>
          <w:rFonts w:ascii="Verdana" w:eastAsiaTheme="minorEastAsia" w:hAnsi="Verdana" w:cs="Verdana"/>
          <w:color w:val="000000"/>
          <w:sz w:val="16"/>
          <w:szCs w:val="16"/>
        </w:rPr>
        <w:t>2023</w:t>
      </w:r>
      <w:r>
        <w:rPr>
          <w:rFonts w:ascii="Verdana" w:hAnsi="Verdana" w:cs="Arial"/>
          <w:sz w:val="16"/>
          <w:szCs w:val="16"/>
        </w:rPr>
        <w:t xml:space="preserve"> r. na poziomie</w:t>
      </w:r>
      <w:r w:rsidRPr="00011AAA">
        <w:rPr>
          <w:rFonts w:ascii="Verdana" w:hAnsi="Verdana" w:cs="Arial"/>
          <w:sz w:val="16"/>
          <w:szCs w:val="16"/>
        </w:rPr>
        <w:t xml:space="preserve"> </w:t>
      </w:r>
      <w:r>
        <w:rPr>
          <w:rFonts w:ascii="Verdana" w:hAnsi="Verdana" w:cs="Arial"/>
          <w:b/>
          <w:sz w:val="16"/>
          <w:szCs w:val="16"/>
        </w:rPr>
        <w:t>0,3</w:t>
      </w:r>
      <w:r w:rsidRPr="00011AAA">
        <w:rPr>
          <w:rFonts w:ascii="Verdana" w:hAnsi="Verdana" w:cs="Arial"/>
          <w:b/>
          <w:sz w:val="16"/>
          <w:szCs w:val="16"/>
        </w:rPr>
        <w:t>%</w:t>
      </w:r>
      <w:r>
        <w:rPr>
          <w:rFonts w:ascii="Verdana" w:hAnsi="Verdana" w:cs="Arial"/>
          <w:sz w:val="16"/>
          <w:szCs w:val="16"/>
        </w:rPr>
        <w:t xml:space="preserve">. Na kolejne lata Ministerstwo Finansów przewiduje obniżenie się dynamiki wzrostu zatrudnienia. Dla lat 2025-2026 prognoza Ministerstwa Finansów zakłada wzrost </w:t>
      </w:r>
      <w:r w:rsidRPr="00011AAA">
        <w:rPr>
          <w:rFonts w:ascii="Verdana" w:hAnsi="Verdana"/>
          <w:spacing w:val="2"/>
          <w:sz w:val="16"/>
          <w:szCs w:val="16"/>
        </w:rPr>
        <w:t>p</w:t>
      </w:r>
      <w:r w:rsidRPr="00011AAA">
        <w:rPr>
          <w:rFonts w:ascii="Verdana" w:hAnsi="Verdana" w:cs="Arial"/>
          <w:sz w:val="16"/>
          <w:szCs w:val="16"/>
        </w:rPr>
        <w:t>rzeciętne</w:t>
      </w:r>
      <w:r>
        <w:rPr>
          <w:rFonts w:ascii="Verdana" w:hAnsi="Verdana" w:cs="Arial"/>
          <w:sz w:val="16"/>
          <w:szCs w:val="16"/>
        </w:rPr>
        <w:t>go zatrudnienia</w:t>
      </w:r>
      <w:r w:rsidRPr="00011AAA">
        <w:rPr>
          <w:rFonts w:ascii="Verdana" w:hAnsi="Verdana" w:cs="Arial"/>
          <w:sz w:val="16"/>
          <w:szCs w:val="16"/>
        </w:rPr>
        <w:t xml:space="preserve"> w gospodarce narodowej</w:t>
      </w:r>
      <w:r>
        <w:rPr>
          <w:rFonts w:ascii="Verdana" w:hAnsi="Verdana" w:cs="Arial"/>
          <w:sz w:val="16"/>
          <w:szCs w:val="16"/>
        </w:rPr>
        <w:t xml:space="preserve"> na poziomie kolejno </w:t>
      </w:r>
      <w:r>
        <w:rPr>
          <w:rFonts w:ascii="Verdana" w:hAnsi="Verdana" w:cs="Arial"/>
          <w:b/>
          <w:sz w:val="16"/>
          <w:szCs w:val="16"/>
        </w:rPr>
        <w:t>0,8</w:t>
      </w:r>
      <w:r w:rsidRPr="00F43DC2">
        <w:rPr>
          <w:rFonts w:ascii="Verdana" w:hAnsi="Verdana" w:cs="Arial"/>
          <w:b/>
          <w:sz w:val="16"/>
          <w:szCs w:val="16"/>
        </w:rPr>
        <w:t>%</w:t>
      </w:r>
      <w:r>
        <w:rPr>
          <w:rFonts w:ascii="Verdana" w:hAnsi="Verdana" w:cs="Arial"/>
          <w:sz w:val="16"/>
          <w:szCs w:val="16"/>
        </w:rPr>
        <w:t xml:space="preserve"> i </w:t>
      </w:r>
      <w:r>
        <w:rPr>
          <w:rFonts w:ascii="Verdana" w:hAnsi="Verdana" w:cs="Arial"/>
          <w:b/>
          <w:sz w:val="16"/>
          <w:szCs w:val="16"/>
        </w:rPr>
        <w:t>0,2</w:t>
      </w:r>
      <w:r w:rsidRPr="002320AA">
        <w:rPr>
          <w:rFonts w:ascii="Verdana" w:hAnsi="Verdana" w:cs="Arial"/>
          <w:b/>
          <w:sz w:val="16"/>
          <w:szCs w:val="16"/>
        </w:rPr>
        <w:t>%</w:t>
      </w:r>
      <w:r>
        <w:rPr>
          <w:rFonts w:ascii="Verdana" w:hAnsi="Verdana" w:cs="Arial"/>
          <w:sz w:val="16"/>
          <w:szCs w:val="16"/>
        </w:rPr>
        <w:t>.</w:t>
      </w:r>
      <w:r>
        <w:rPr>
          <w:rFonts w:ascii="Verdana" w:hAnsi="Verdana" w:cs="Arial"/>
          <w:sz w:val="16"/>
          <w:szCs w:val="16"/>
        </w:rPr>
        <w:br w:type="page"/>
      </w:r>
    </w:p>
    <w:p w:rsidR="00CA374E" w:rsidRPr="000A6485" w:rsidRDefault="00CA374E" w:rsidP="00CA374E">
      <w:pPr>
        <w:spacing w:before="240" w:after="120"/>
        <w:rPr>
          <w:rFonts w:ascii="Verdana" w:hAnsi="Verdana"/>
          <w:b/>
          <w:bCs/>
          <w:sz w:val="20"/>
          <w:szCs w:val="20"/>
        </w:rPr>
      </w:pPr>
      <w:r w:rsidRPr="0008033C">
        <w:rPr>
          <w:rFonts w:ascii="Verdana" w:hAnsi="Verdana"/>
          <w:b/>
          <w:bCs/>
          <w:sz w:val="20"/>
          <w:szCs w:val="20"/>
        </w:rPr>
        <w:lastRenderedPageBreak/>
        <w:t>4.3 Uwarunkowania budżetowe m.st. Warszawy</w:t>
      </w:r>
    </w:p>
    <w:p w:rsidR="00CA374E" w:rsidRPr="00DA1C1A" w:rsidRDefault="00CA374E" w:rsidP="00CA374E">
      <w:pPr>
        <w:tabs>
          <w:tab w:val="left" w:pos="567"/>
        </w:tabs>
        <w:spacing w:before="120" w:after="120"/>
        <w:jc w:val="both"/>
        <w:rPr>
          <w:rFonts w:ascii="Verdana" w:hAnsi="Verdana"/>
          <w:sz w:val="16"/>
          <w:szCs w:val="16"/>
        </w:rPr>
      </w:pPr>
      <w:r w:rsidRPr="00DA1C1A">
        <w:rPr>
          <w:rFonts w:ascii="Verdana" w:hAnsi="Verdana" w:cstheme="minorHAnsi"/>
          <w:sz w:val="16"/>
          <w:szCs w:val="16"/>
        </w:rPr>
        <w:t xml:space="preserve">W warunkach ograniczonego wzrostu gospodarczego i wysokiego poziomu inflacji samorządy, </w:t>
      </w:r>
      <w:r w:rsidRPr="00DA1C1A">
        <w:rPr>
          <w:rFonts w:ascii="Verdana" w:hAnsi="Verdana" w:cstheme="minorHAnsi"/>
          <w:sz w:val="16"/>
          <w:szCs w:val="16"/>
        </w:rPr>
        <w:br/>
        <w:t>w szczególności samorządy największych miast, muszą mierzyć się z trwałym ograniczeniem dochodów własnych. Jest to skutek rozwiązań systemowych wprowadzonych w ramach rządowego programu Polski Ład wraz z jego modyfikacjami. Decyzje te nałożyły się na wdrożone w poprzednich latach zmiany ograniczające dochody JST, polegające na uwłaszczeniu wieczystych użytkowników gruntów zabudowanych na cele mieszkaniowe oraz na zmianach wprowadzonych w ramach tzw. 5 Kaczyńskiego, dotyczących obniżenia stawki podatku PIT z 18% do 17%, podwyższenia kosztów uzyskania przychodu, zwolnienia z podatku osób w wieku poniżej 26 roku życia, bez rekompensat ich negatywnych skutków dla budżetów JST, co w rezultacie osłabiło finanse JST.</w:t>
      </w:r>
    </w:p>
    <w:p w:rsidR="00CA374E" w:rsidRDefault="00CA374E" w:rsidP="00CA374E">
      <w:pPr>
        <w:tabs>
          <w:tab w:val="left" w:pos="567"/>
        </w:tabs>
        <w:spacing w:before="120" w:after="120"/>
        <w:jc w:val="both"/>
        <w:rPr>
          <w:rFonts w:ascii="Verdana" w:hAnsi="Verdana" w:cstheme="minorHAnsi"/>
          <w:sz w:val="16"/>
          <w:szCs w:val="16"/>
        </w:rPr>
      </w:pPr>
      <w:r>
        <w:rPr>
          <w:rFonts w:ascii="Verdana" w:hAnsi="Verdana"/>
          <w:sz w:val="16"/>
          <w:szCs w:val="16"/>
        </w:rPr>
        <w:t>Przy konstruowaniu Wieloletniej Prognozy Finansowej m.st. Warszawy edycji 2024-2050 założono, że</w:t>
      </w:r>
      <w:r>
        <w:rPr>
          <w:rFonts w:ascii="Verdana" w:hAnsi="Verdana" w:cstheme="minorHAnsi"/>
          <w:sz w:val="16"/>
          <w:szCs w:val="16"/>
        </w:rPr>
        <w:t xml:space="preserve"> b</w:t>
      </w:r>
      <w:r w:rsidRPr="005B77FA">
        <w:rPr>
          <w:rFonts w:ascii="Verdana" w:hAnsi="Verdana" w:cstheme="minorHAnsi"/>
          <w:sz w:val="16"/>
          <w:szCs w:val="16"/>
        </w:rPr>
        <w:t xml:space="preserve">udżet m.st. Warszawy w 2024 r. realizowany będzie w warunkach niepewności </w:t>
      </w:r>
      <w:r>
        <w:rPr>
          <w:rFonts w:ascii="Verdana" w:hAnsi="Verdana" w:cstheme="minorHAnsi"/>
          <w:sz w:val="16"/>
          <w:szCs w:val="16"/>
        </w:rPr>
        <w:t xml:space="preserve">co do </w:t>
      </w:r>
      <w:r w:rsidRPr="005B77FA">
        <w:rPr>
          <w:rFonts w:ascii="Verdana" w:hAnsi="Verdana" w:cstheme="minorHAnsi"/>
          <w:sz w:val="16"/>
          <w:szCs w:val="16"/>
        </w:rPr>
        <w:t xml:space="preserve">kształtowania się czynników wpływających na finanse Miasta, w szczególności zjawisk inflacyjnych. Sytuacja geopolityczna związana z konfliktem zbrojnym toczonym na terytorium Ukrainy poza skutkami gospodarczymi </w:t>
      </w:r>
      <w:r>
        <w:rPr>
          <w:rFonts w:ascii="Verdana" w:hAnsi="Verdana" w:cstheme="minorHAnsi"/>
          <w:sz w:val="16"/>
          <w:szCs w:val="16"/>
        </w:rPr>
        <w:t xml:space="preserve">nadal </w:t>
      </w:r>
      <w:r w:rsidRPr="005B77FA">
        <w:rPr>
          <w:rFonts w:ascii="Verdana" w:hAnsi="Verdana" w:cstheme="minorHAnsi"/>
          <w:sz w:val="16"/>
          <w:szCs w:val="16"/>
        </w:rPr>
        <w:t xml:space="preserve">oddziałuje wprost na budżet Miasta w związku z pomocą udzielaną obywatelom Ukrainy przebywającym na terenie Warszawy. Natomiast </w:t>
      </w:r>
      <w:r>
        <w:rPr>
          <w:rFonts w:ascii="Verdana" w:hAnsi="Verdana" w:cstheme="minorHAnsi"/>
          <w:sz w:val="16"/>
          <w:szCs w:val="16"/>
        </w:rPr>
        <w:t>przebieg</w:t>
      </w:r>
      <w:r w:rsidRPr="005B77FA">
        <w:rPr>
          <w:rFonts w:ascii="Verdana" w:hAnsi="Verdana" w:cstheme="minorHAnsi"/>
          <w:sz w:val="16"/>
          <w:szCs w:val="16"/>
        </w:rPr>
        <w:t xml:space="preserve"> procesów inflacyjnych w połączeniu z niepewnością ich rozwoju wywołuje presję na wydatki Miasta we wszystkich obszarach działalności, zarówno w obszarze zadań bieżących, jak i w zakresie inwestycyjnym.</w:t>
      </w:r>
    </w:p>
    <w:p w:rsidR="00CA374E" w:rsidRDefault="00CA374E" w:rsidP="00CA374E">
      <w:pPr>
        <w:tabs>
          <w:tab w:val="left" w:pos="567"/>
        </w:tabs>
        <w:spacing w:before="120" w:after="120"/>
        <w:jc w:val="both"/>
        <w:rPr>
          <w:rFonts w:ascii="Verdana" w:hAnsi="Verdana" w:cstheme="minorHAnsi"/>
          <w:sz w:val="16"/>
          <w:szCs w:val="16"/>
        </w:rPr>
      </w:pPr>
      <w:r>
        <w:rPr>
          <w:rFonts w:ascii="Verdana" w:hAnsi="Verdana" w:cstheme="minorHAnsi"/>
          <w:sz w:val="16"/>
          <w:szCs w:val="16"/>
        </w:rPr>
        <w:t>Z szacunków przeprowadzonych</w:t>
      </w:r>
      <w:r w:rsidRPr="00BC7ABE">
        <w:rPr>
          <w:rFonts w:ascii="Verdana" w:hAnsi="Verdana" w:cstheme="minorHAnsi"/>
          <w:sz w:val="16"/>
          <w:szCs w:val="16"/>
        </w:rPr>
        <w:t xml:space="preserve"> </w:t>
      </w:r>
      <w:r>
        <w:rPr>
          <w:rFonts w:ascii="Verdana" w:hAnsi="Verdana" w:cstheme="minorHAnsi"/>
          <w:sz w:val="16"/>
          <w:szCs w:val="16"/>
        </w:rPr>
        <w:t xml:space="preserve">na podstawie aktualnej prognozy makroekonomicznej Ministerstwa Finansów </w:t>
      </w:r>
      <w:r w:rsidRPr="00BC7ABE">
        <w:rPr>
          <w:rFonts w:ascii="Verdana" w:hAnsi="Verdana" w:cstheme="minorHAnsi"/>
          <w:sz w:val="16"/>
          <w:szCs w:val="16"/>
        </w:rPr>
        <w:t xml:space="preserve">przedstawionej w projekcie budżetu państwa na 2024 r. </w:t>
      </w:r>
      <w:r>
        <w:rPr>
          <w:rFonts w:ascii="Verdana" w:hAnsi="Verdana" w:cstheme="minorHAnsi"/>
          <w:sz w:val="16"/>
          <w:szCs w:val="16"/>
        </w:rPr>
        <w:t xml:space="preserve">wynika, że </w:t>
      </w:r>
      <w:r w:rsidRPr="00BC7ABE">
        <w:rPr>
          <w:rFonts w:ascii="Verdana" w:hAnsi="Verdana" w:cstheme="minorHAnsi"/>
          <w:sz w:val="16"/>
          <w:szCs w:val="16"/>
        </w:rPr>
        <w:t xml:space="preserve">w </w:t>
      </w:r>
      <w:r w:rsidRPr="00286AC7">
        <w:rPr>
          <w:rFonts w:ascii="Verdana" w:hAnsi="Verdana" w:cstheme="minorHAnsi"/>
          <w:b/>
          <w:sz w:val="16"/>
          <w:szCs w:val="16"/>
        </w:rPr>
        <w:t>konsekwencji Polskiego Ładu</w:t>
      </w:r>
      <w:r w:rsidRPr="00BC7ABE">
        <w:rPr>
          <w:rFonts w:ascii="Verdana" w:hAnsi="Verdana" w:cstheme="minorHAnsi"/>
          <w:sz w:val="16"/>
          <w:szCs w:val="16"/>
        </w:rPr>
        <w:t xml:space="preserve"> </w:t>
      </w:r>
      <w:r>
        <w:rPr>
          <w:rFonts w:ascii="Verdana" w:hAnsi="Verdana" w:cstheme="minorHAnsi"/>
          <w:sz w:val="16"/>
          <w:szCs w:val="16"/>
        </w:rPr>
        <w:br/>
      </w:r>
      <w:r w:rsidRPr="00BC7ABE">
        <w:rPr>
          <w:rFonts w:ascii="Verdana" w:hAnsi="Verdana" w:cstheme="minorHAnsi"/>
          <w:sz w:val="16"/>
          <w:szCs w:val="16"/>
        </w:rPr>
        <w:t xml:space="preserve">m.st. Warszawa w latach 2022-2023 zostało pozbawione dochodów z </w:t>
      </w:r>
      <w:r>
        <w:rPr>
          <w:rFonts w:ascii="Verdana" w:hAnsi="Verdana" w:cstheme="minorHAnsi"/>
          <w:sz w:val="16"/>
          <w:szCs w:val="16"/>
        </w:rPr>
        <w:t>podatku dochodowego od osób fizycznych (</w:t>
      </w:r>
      <w:r w:rsidRPr="00BC7ABE">
        <w:rPr>
          <w:rFonts w:ascii="Verdana" w:hAnsi="Verdana" w:cstheme="minorHAnsi"/>
          <w:sz w:val="16"/>
          <w:szCs w:val="16"/>
        </w:rPr>
        <w:t>PIT</w:t>
      </w:r>
      <w:r>
        <w:rPr>
          <w:rFonts w:ascii="Verdana" w:hAnsi="Verdana" w:cstheme="minorHAnsi"/>
          <w:sz w:val="16"/>
          <w:szCs w:val="16"/>
        </w:rPr>
        <w:t>)</w:t>
      </w:r>
      <w:r w:rsidRPr="00BC7ABE">
        <w:rPr>
          <w:rFonts w:ascii="Verdana" w:hAnsi="Verdana" w:cstheme="minorHAnsi"/>
          <w:sz w:val="16"/>
          <w:szCs w:val="16"/>
        </w:rPr>
        <w:t xml:space="preserve"> rzędu </w:t>
      </w:r>
      <w:r w:rsidRPr="00BC7ABE">
        <w:rPr>
          <w:rFonts w:ascii="Verdana" w:hAnsi="Verdana" w:cstheme="minorHAnsi"/>
          <w:b/>
          <w:sz w:val="16"/>
          <w:szCs w:val="16"/>
        </w:rPr>
        <w:t>5,1 mld zł</w:t>
      </w:r>
      <w:r w:rsidRPr="00F06025">
        <w:rPr>
          <w:rFonts w:ascii="Verdana" w:hAnsi="Verdana"/>
          <w:sz w:val="16"/>
          <w:szCs w:val="16"/>
          <w:vertAlign w:val="superscript"/>
        </w:rPr>
        <w:footnoteReference w:id="4"/>
      </w:r>
      <w:r w:rsidRPr="00BC7ABE">
        <w:rPr>
          <w:rFonts w:ascii="Verdana" w:hAnsi="Verdana" w:cstheme="minorHAnsi"/>
          <w:sz w:val="16"/>
          <w:szCs w:val="16"/>
        </w:rPr>
        <w:t xml:space="preserve"> przy rekompensatach na łączną kwotę niecałych </w:t>
      </w:r>
      <w:r w:rsidRPr="00BC7ABE">
        <w:rPr>
          <w:rFonts w:ascii="Verdana" w:hAnsi="Verdana" w:cstheme="minorHAnsi"/>
          <w:b/>
          <w:sz w:val="16"/>
          <w:szCs w:val="16"/>
        </w:rPr>
        <w:t>1,5 mld zł</w:t>
      </w:r>
      <w:r w:rsidRPr="00F06025">
        <w:rPr>
          <w:rFonts w:ascii="Verdana" w:hAnsi="Verdana"/>
          <w:sz w:val="16"/>
          <w:szCs w:val="16"/>
          <w:vertAlign w:val="superscript"/>
        </w:rPr>
        <w:footnoteReference w:id="5"/>
      </w:r>
      <w:r w:rsidRPr="00BC7ABE">
        <w:rPr>
          <w:rFonts w:ascii="Verdana" w:hAnsi="Verdana" w:cstheme="minorHAnsi"/>
          <w:sz w:val="16"/>
          <w:szCs w:val="16"/>
        </w:rPr>
        <w:t xml:space="preserve">, </w:t>
      </w:r>
      <w:r>
        <w:rPr>
          <w:rFonts w:ascii="Verdana" w:hAnsi="Verdana" w:cstheme="minorHAnsi"/>
          <w:sz w:val="16"/>
          <w:szCs w:val="16"/>
        </w:rPr>
        <w:t>co w</w:t>
      </w:r>
      <w:r w:rsidRPr="00BC7ABE">
        <w:rPr>
          <w:rFonts w:ascii="Verdana" w:hAnsi="Verdana" w:cstheme="minorHAnsi"/>
          <w:sz w:val="16"/>
          <w:szCs w:val="16"/>
        </w:rPr>
        <w:t xml:space="preserve"> rezultacie </w:t>
      </w:r>
      <w:r>
        <w:rPr>
          <w:rFonts w:ascii="Verdana" w:hAnsi="Verdana" w:cstheme="minorHAnsi"/>
          <w:sz w:val="16"/>
          <w:szCs w:val="16"/>
        </w:rPr>
        <w:t xml:space="preserve">oznacza </w:t>
      </w:r>
      <w:r w:rsidRPr="00BC7ABE">
        <w:rPr>
          <w:rFonts w:ascii="Verdana" w:hAnsi="Verdana" w:cstheme="minorHAnsi"/>
          <w:sz w:val="16"/>
          <w:szCs w:val="16"/>
        </w:rPr>
        <w:t xml:space="preserve">ograniczenie dochodów Miasta o </w:t>
      </w:r>
      <w:r w:rsidRPr="00F06025">
        <w:rPr>
          <w:rFonts w:ascii="Verdana" w:hAnsi="Verdana" w:cstheme="minorHAnsi"/>
          <w:b/>
          <w:sz w:val="16"/>
          <w:szCs w:val="16"/>
        </w:rPr>
        <w:t>3,6 mld zł</w:t>
      </w:r>
      <w:r w:rsidRPr="00BC7ABE">
        <w:rPr>
          <w:rFonts w:ascii="Verdana" w:hAnsi="Verdana" w:cstheme="minorHAnsi"/>
          <w:sz w:val="16"/>
          <w:szCs w:val="16"/>
        </w:rPr>
        <w:t xml:space="preserve"> dla lat 2022-2023, przy czym te negatywne skutki dotyczyć będą również budżetów kolejnych lat. Na podstawie wysokości dochodów z udziału w PIT zaplanowanych przez Ministerstwo Finansów dla m.st. Warszawy na 2024 r.</w:t>
      </w:r>
      <w:r w:rsidRPr="00F06025">
        <w:rPr>
          <w:rFonts w:ascii="Verdana" w:hAnsi="Verdana"/>
          <w:sz w:val="16"/>
          <w:szCs w:val="16"/>
          <w:vertAlign w:val="superscript"/>
        </w:rPr>
        <w:footnoteReference w:id="6"/>
      </w:r>
      <w:r w:rsidRPr="00BC7ABE">
        <w:rPr>
          <w:rFonts w:ascii="Verdana" w:hAnsi="Verdana" w:cstheme="minorHAnsi"/>
          <w:sz w:val="16"/>
          <w:szCs w:val="16"/>
        </w:rPr>
        <w:t xml:space="preserve"> </w:t>
      </w:r>
      <w:r>
        <w:rPr>
          <w:rFonts w:ascii="Verdana" w:hAnsi="Verdana" w:cstheme="minorHAnsi"/>
          <w:sz w:val="16"/>
          <w:szCs w:val="16"/>
        </w:rPr>
        <w:t>szacuje się</w:t>
      </w:r>
      <w:r w:rsidRPr="00BC7ABE">
        <w:rPr>
          <w:rFonts w:ascii="Verdana" w:hAnsi="Verdana" w:cstheme="minorHAnsi"/>
          <w:sz w:val="16"/>
          <w:szCs w:val="16"/>
        </w:rPr>
        <w:t xml:space="preserve">, że ubytek dochodów m.st. Warszawy z PIT </w:t>
      </w:r>
      <w:r>
        <w:rPr>
          <w:rFonts w:ascii="Verdana" w:hAnsi="Verdana" w:cstheme="minorHAnsi"/>
          <w:sz w:val="16"/>
          <w:szCs w:val="16"/>
        </w:rPr>
        <w:br/>
      </w:r>
      <w:r w:rsidRPr="00BC7ABE">
        <w:rPr>
          <w:rFonts w:ascii="Verdana" w:hAnsi="Verdana" w:cstheme="minorHAnsi"/>
          <w:sz w:val="16"/>
          <w:szCs w:val="16"/>
        </w:rPr>
        <w:t xml:space="preserve">w 2024 r. spowodowany przepisami Polskiego Ładu wyniesie </w:t>
      </w:r>
      <w:r w:rsidRPr="00F06025">
        <w:rPr>
          <w:rFonts w:ascii="Verdana" w:hAnsi="Verdana" w:cstheme="minorHAnsi"/>
          <w:b/>
          <w:sz w:val="16"/>
          <w:szCs w:val="16"/>
        </w:rPr>
        <w:t>1,3 mld zł</w:t>
      </w:r>
      <w:r w:rsidRPr="00F06025">
        <w:rPr>
          <w:rFonts w:ascii="Verdana" w:hAnsi="Verdana"/>
          <w:sz w:val="16"/>
          <w:szCs w:val="16"/>
          <w:vertAlign w:val="superscript"/>
        </w:rPr>
        <w:footnoteReference w:id="7"/>
      </w:r>
      <w:r w:rsidRPr="00BC7ABE">
        <w:rPr>
          <w:rFonts w:ascii="Verdana" w:hAnsi="Verdana" w:cstheme="minorHAnsi"/>
          <w:sz w:val="16"/>
          <w:szCs w:val="16"/>
        </w:rPr>
        <w:t xml:space="preserve"> w stosunku do sytuacji gdyby takich </w:t>
      </w:r>
      <w:r w:rsidRPr="00BC7ABE">
        <w:rPr>
          <w:rFonts w:ascii="Verdana" w:hAnsi="Verdana" w:cstheme="minorHAnsi"/>
          <w:sz w:val="16"/>
          <w:szCs w:val="16"/>
        </w:rPr>
        <w:lastRenderedPageBreak/>
        <w:t>zmian nie wprowadzono.</w:t>
      </w:r>
      <w:r>
        <w:rPr>
          <w:rFonts w:ascii="Verdana" w:hAnsi="Verdana" w:cstheme="minorHAnsi"/>
          <w:sz w:val="16"/>
          <w:szCs w:val="16"/>
        </w:rPr>
        <w:t xml:space="preserve"> </w:t>
      </w:r>
      <w:r w:rsidRPr="00BC7ABE">
        <w:rPr>
          <w:rFonts w:ascii="Verdana" w:hAnsi="Verdana" w:cstheme="minorHAnsi"/>
          <w:sz w:val="16"/>
          <w:szCs w:val="16"/>
        </w:rPr>
        <w:t xml:space="preserve">Jednocześnie w związku z przepisami projektu tzw. ustawy okołobudżetowej na </w:t>
      </w:r>
      <w:r>
        <w:rPr>
          <w:rFonts w:ascii="Verdana" w:hAnsi="Verdana" w:cstheme="minorHAnsi"/>
          <w:sz w:val="16"/>
          <w:szCs w:val="16"/>
        </w:rPr>
        <w:br/>
      </w:r>
      <w:r w:rsidRPr="00BC7ABE">
        <w:rPr>
          <w:rFonts w:ascii="Verdana" w:hAnsi="Verdana" w:cstheme="minorHAnsi"/>
          <w:sz w:val="16"/>
          <w:szCs w:val="16"/>
        </w:rPr>
        <w:t>2024 r., zgodnie z informacją przedstawioną przez Ministerstwo Finansów</w:t>
      </w:r>
      <w:r w:rsidRPr="00F06025">
        <w:rPr>
          <w:rFonts w:ascii="Verdana" w:hAnsi="Verdana"/>
          <w:sz w:val="16"/>
          <w:szCs w:val="16"/>
          <w:vertAlign w:val="superscript"/>
        </w:rPr>
        <w:footnoteReference w:id="8"/>
      </w:r>
      <w:r w:rsidRPr="00BC7ABE">
        <w:rPr>
          <w:rFonts w:ascii="Verdana" w:hAnsi="Verdana" w:cstheme="minorHAnsi"/>
          <w:sz w:val="16"/>
          <w:szCs w:val="16"/>
        </w:rPr>
        <w:t xml:space="preserve">, samorządy w 2024 r. nie otrzymają subwencji rozwojowej jako rekompensaty z tytułu ograniczenia dochodów z PIT. </w:t>
      </w:r>
      <w:r>
        <w:rPr>
          <w:rFonts w:ascii="Verdana" w:hAnsi="Verdana" w:cstheme="minorHAnsi"/>
          <w:sz w:val="16"/>
          <w:szCs w:val="16"/>
        </w:rPr>
        <w:t xml:space="preserve">Zatem łącznie w latach 2022-2024 strata dochodów m.st. Warszawy z PIT wynosi </w:t>
      </w:r>
      <w:r>
        <w:rPr>
          <w:rFonts w:ascii="Verdana" w:hAnsi="Verdana" w:cstheme="minorHAnsi"/>
          <w:b/>
          <w:sz w:val="16"/>
          <w:szCs w:val="16"/>
        </w:rPr>
        <w:t>6,4 mld zł</w:t>
      </w:r>
      <w:r>
        <w:rPr>
          <w:rFonts w:ascii="Verdana" w:hAnsi="Verdana" w:cstheme="minorHAnsi"/>
          <w:sz w:val="16"/>
          <w:szCs w:val="16"/>
        </w:rPr>
        <w:t xml:space="preserve"> przy rekompensatach w łącznej kwocie </w:t>
      </w:r>
      <w:r>
        <w:rPr>
          <w:rFonts w:ascii="Verdana" w:hAnsi="Verdana" w:cstheme="minorHAnsi"/>
          <w:sz w:val="16"/>
          <w:szCs w:val="16"/>
        </w:rPr>
        <w:br/>
      </w:r>
      <w:r w:rsidRPr="00F06025">
        <w:rPr>
          <w:rFonts w:ascii="Verdana" w:hAnsi="Verdana" w:cstheme="minorHAnsi"/>
          <w:b/>
          <w:sz w:val="16"/>
          <w:szCs w:val="16"/>
        </w:rPr>
        <w:t>1,5 mld zł</w:t>
      </w:r>
      <w:r>
        <w:rPr>
          <w:rFonts w:ascii="Verdana" w:hAnsi="Verdana" w:cstheme="minorHAnsi"/>
          <w:sz w:val="16"/>
          <w:szCs w:val="16"/>
        </w:rPr>
        <w:t>,</w:t>
      </w:r>
      <w:r w:rsidRPr="00BC7ABE">
        <w:rPr>
          <w:rFonts w:ascii="Verdana" w:hAnsi="Verdana" w:cstheme="minorHAnsi"/>
          <w:sz w:val="16"/>
          <w:szCs w:val="16"/>
        </w:rPr>
        <w:t xml:space="preserve"> co oznacza zaledwie </w:t>
      </w:r>
      <w:r>
        <w:rPr>
          <w:rFonts w:ascii="Verdana" w:hAnsi="Verdana" w:cstheme="minorHAnsi"/>
          <w:b/>
          <w:sz w:val="16"/>
          <w:szCs w:val="16"/>
        </w:rPr>
        <w:t>23</w:t>
      </w:r>
      <w:r w:rsidRPr="00BC7ABE">
        <w:rPr>
          <w:rFonts w:ascii="Verdana" w:hAnsi="Verdana" w:cstheme="minorHAnsi"/>
          <w:b/>
          <w:sz w:val="16"/>
          <w:szCs w:val="16"/>
        </w:rPr>
        <w:t>%</w:t>
      </w:r>
      <w:r w:rsidRPr="00BC7ABE">
        <w:rPr>
          <w:rFonts w:ascii="Verdana" w:hAnsi="Verdana" w:cstheme="minorHAnsi"/>
          <w:sz w:val="16"/>
          <w:szCs w:val="16"/>
        </w:rPr>
        <w:t xml:space="preserve"> poziom substytucji utraty dochodów</w:t>
      </w:r>
      <w:r>
        <w:rPr>
          <w:rFonts w:ascii="Verdana" w:hAnsi="Verdana" w:cstheme="minorHAnsi"/>
          <w:sz w:val="16"/>
          <w:szCs w:val="16"/>
        </w:rPr>
        <w:t xml:space="preserve"> z PIT będącej konsekwencją Polskiego Ładu i ich ograniczenie o </w:t>
      </w:r>
      <w:r>
        <w:rPr>
          <w:rFonts w:ascii="Verdana" w:hAnsi="Verdana" w:cstheme="minorHAnsi"/>
          <w:b/>
          <w:sz w:val="16"/>
          <w:szCs w:val="16"/>
        </w:rPr>
        <w:t>4,9 mld zł</w:t>
      </w:r>
      <w:r>
        <w:rPr>
          <w:rFonts w:ascii="Verdana" w:hAnsi="Verdana" w:cstheme="minorHAnsi"/>
          <w:sz w:val="16"/>
          <w:szCs w:val="16"/>
        </w:rPr>
        <w:t xml:space="preserve"> łącznie w latach 2022-2024, co prezentuje wykres nr 1. Ubytki dochodów mają charakter trwały i będą negatywnie oddziaływały na możliwości budżetowe m.st. Warszawy także </w:t>
      </w:r>
      <w:r>
        <w:rPr>
          <w:rFonts w:ascii="Verdana" w:hAnsi="Verdana" w:cstheme="minorHAnsi"/>
          <w:sz w:val="16"/>
          <w:szCs w:val="16"/>
        </w:rPr>
        <w:br/>
        <w:t xml:space="preserve">w kolejnych latach. Założono, że zawieszenie wypłaty subwencji rozwojowej zostanie ograniczone do 2024 r., </w:t>
      </w:r>
      <w:r>
        <w:rPr>
          <w:rFonts w:ascii="Verdana" w:hAnsi="Verdana" w:cstheme="minorHAnsi"/>
          <w:sz w:val="16"/>
          <w:szCs w:val="16"/>
        </w:rPr>
        <w:br/>
        <w:t>z tym iż mechanizm jej naliczenia nie zapewnia pełnej rekompensaty ubytku dochodów m.st. Warszawy z PIT będącego konsekwencją Polskiego Ładu.</w:t>
      </w:r>
    </w:p>
    <w:p w:rsidR="00CA374E" w:rsidRDefault="00CA374E" w:rsidP="00CA374E">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1</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SKUTKI POLSKIEGO ŁADU DLA DOCHODÓW M.ST. WARSZAWY Z PIT W LATACH 2022-2024</w:t>
      </w:r>
      <w:r>
        <w:rPr>
          <w:rFonts w:ascii="Verdana" w:hAnsi="Verdana" w:cs="Arial"/>
          <w:bCs/>
          <w:iCs/>
          <w:sz w:val="14"/>
          <w:szCs w:val="14"/>
        </w:rPr>
        <w:t xml:space="preserve"> [w mln zł]</w:t>
      </w:r>
      <w:r>
        <w:rPr>
          <w:rFonts w:ascii="Verdana" w:hAnsi="Verdana" w:cs="Arial"/>
          <w:b/>
          <w:bCs/>
          <w:iCs/>
          <w:sz w:val="14"/>
          <w:szCs w:val="14"/>
        </w:rPr>
        <w:t xml:space="preserve">               </w:t>
      </w:r>
    </w:p>
    <w:p w:rsidR="00CA374E" w:rsidRDefault="00CA374E" w:rsidP="00CA374E">
      <w:pPr>
        <w:tabs>
          <w:tab w:val="left" w:pos="567"/>
        </w:tabs>
        <w:spacing w:before="120" w:after="120"/>
        <w:jc w:val="both"/>
        <w:rPr>
          <w:rStyle w:val="markedcontent"/>
          <w:rFonts w:ascii="Verdana" w:hAnsi="Verdana" w:cs="Arial"/>
          <w:b/>
          <w:sz w:val="16"/>
          <w:szCs w:val="16"/>
        </w:rPr>
      </w:pPr>
      <w:r>
        <w:rPr>
          <w:rFonts w:ascii="Verdana" w:hAnsi="Verdana" w:cs="Arial"/>
          <w:b/>
          <w:noProof/>
          <w:sz w:val="16"/>
          <w:szCs w:val="16"/>
        </w:rPr>
        <mc:AlternateContent>
          <mc:Choice Requires="wps">
            <w:drawing>
              <wp:anchor distT="0" distB="0" distL="114300" distR="114300" simplePos="0" relativeHeight="251721728" behindDoc="0" locked="0" layoutInCell="1" allowOverlap="1" wp14:anchorId="4EB2DD04" wp14:editId="3ED5BA32">
                <wp:simplePos x="0" y="0"/>
                <wp:positionH relativeFrom="column">
                  <wp:posOffset>-54668</wp:posOffset>
                </wp:positionH>
                <wp:positionV relativeFrom="paragraph">
                  <wp:posOffset>2606617</wp:posOffset>
                </wp:positionV>
                <wp:extent cx="5745480" cy="339437"/>
                <wp:effectExtent l="0" t="0" r="0" b="3810"/>
                <wp:wrapNone/>
                <wp:docPr id="7" name="Pole tekstowe 7"/>
                <wp:cNvGraphicFramePr/>
                <a:graphic xmlns:a="http://schemas.openxmlformats.org/drawingml/2006/main">
                  <a:graphicData uri="http://schemas.microsoft.com/office/word/2010/wordprocessingShape">
                    <wps:wsp>
                      <wps:cNvSpPr txBox="1"/>
                      <wps:spPr>
                        <a:xfrm>
                          <a:off x="0" y="0"/>
                          <a:ext cx="5745480" cy="339437"/>
                        </a:xfrm>
                        <a:prstGeom prst="rect">
                          <a:avLst/>
                        </a:prstGeom>
                        <a:noFill/>
                        <a:ln w="6350">
                          <a:noFill/>
                        </a:ln>
                      </wps:spPr>
                      <wps:txbx>
                        <w:txbxContent>
                          <w:p w:rsidR="00067F5A" w:rsidRPr="00C17FA0" w:rsidRDefault="00067F5A" w:rsidP="00CA374E">
                            <w:pPr>
                              <w:spacing w:line="240" w:lineRule="auto"/>
                              <w:rPr>
                                <w:rFonts w:ascii="Verdana" w:hAnsi="Verdana"/>
                                <w:color w:val="595959" w:themeColor="text1" w:themeTint="A6"/>
                                <w:sz w:val="10"/>
                                <w:szCs w:val="10"/>
                              </w:rPr>
                            </w:pPr>
                            <w:r w:rsidRPr="00C17FA0">
                              <w:rPr>
                                <w:rFonts w:ascii="Verdana" w:hAnsi="Verdana"/>
                                <w:color w:val="595959" w:themeColor="text1" w:themeTint="A6"/>
                                <w:sz w:val="10"/>
                                <w:szCs w:val="10"/>
                              </w:rPr>
                              <w:t xml:space="preserve">* </w:t>
                            </w:r>
                            <w:r w:rsidRPr="00C17FA0">
                              <w:rPr>
                                <w:rFonts w:ascii="Verdana" w:hAnsi="Verdana" w:cs="Arial"/>
                                <w:color w:val="595959" w:themeColor="text1" w:themeTint="A6"/>
                                <w:sz w:val="9"/>
                                <w:szCs w:val="9"/>
                              </w:rPr>
                              <w:t xml:space="preserve">Zgodnie z obowiązującymi przepisami począwszy od 2022 r. zaplanowane przez Ministerstwo Finansów dochody z PIT i CIT są </w:t>
                            </w:r>
                            <w:r w:rsidRPr="00C17FA0">
                              <w:rPr>
                                <w:rFonts w:ascii="Verdana" w:hAnsi="Verdana"/>
                                <w:iCs/>
                                <w:color w:val="595959" w:themeColor="text1" w:themeTint="A6"/>
                                <w:sz w:val="9"/>
                                <w:szCs w:val="9"/>
                              </w:rPr>
                              <w:t xml:space="preserve">przekazywane samorządom w dwunastu miesięcznych ratach. Natomiast po dwóch latach następuje rozliczenie przekazanych środków w odniesieniu do rzeczywistej realizacji dochodów </w:t>
                            </w:r>
                            <w:r>
                              <w:rPr>
                                <w:rFonts w:ascii="Verdana" w:hAnsi="Verdana"/>
                                <w:iCs/>
                                <w:color w:val="595959" w:themeColor="text1" w:themeTint="A6"/>
                                <w:sz w:val="9"/>
                                <w:szCs w:val="9"/>
                              </w:rPr>
                              <w:t xml:space="preserve">należnych JST </w:t>
                            </w:r>
                            <w:r w:rsidRPr="00C17FA0">
                              <w:rPr>
                                <w:rFonts w:ascii="Verdana" w:hAnsi="Verdana"/>
                                <w:iCs/>
                                <w:color w:val="595959" w:themeColor="text1" w:themeTint="A6"/>
                                <w:sz w:val="9"/>
                                <w:szCs w:val="9"/>
                              </w:rPr>
                              <w:t xml:space="preserve">poprzez odpowiednią korektę planu dochodów </w:t>
                            </w:r>
                            <w:r>
                              <w:rPr>
                                <w:rFonts w:ascii="Verdana" w:hAnsi="Verdana"/>
                                <w:iCs/>
                                <w:color w:val="595959" w:themeColor="text1" w:themeTint="A6"/>
                                <w:sz w:val="9"/>
                                <w:szCs w:val="9"/>
                              </w:rPr>
                              <w:br/>
                            </w:r>
                            <w:r w:rsidRPr="00C17FA0">
                              <w:rPr>
                                <w:rFonts w:ascii="Verdana" w:hAnsi="Verdana"/>
                                <w:iCs/>
                                <w:color w:val="595959" w:themeColor="text1" w:themeTint="A6"/>
                                <w:sz w:val="9"/>
                                <w:szCs w:val="9"/>
                              </w:rPr>
                              <w:t>z powyższych źródeł w budżetach 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DD04" id="Pole tekstowe 7" o:spid="_x0000_s1027" type="#_x0000_t202" style="position:absolute;left:0;text-align:left;margin-left:-4.3pt;margin-top:205.25pt;width:452.4pt;height: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" filled="f" stroked="f" strokeweight=".5pt">
                <v:textbox>
                  <w:txbxContent>
                    <w:p w:rsidR="00067F5A" w:rsidRPr="00C17FA0" w:rsidRDefault="00067F5A" w:rsidP="00CA374E">
                      <w:pPr>
                        <w:spacing w:line="240" w:lineRule="auto"/>
                        <w:rPr>
                          <w:rFonts w:ascii="Verdana" w:hAnsi="Verdana"/>
                          <w:color w:val="595959" w:themeColor="text1" w:themeTint="A6"/>
                          <w:sz w:val="10"/>
                          <w:szCs w:val="10"/>
                        </w:rPr>
                      </w:pPr>
                      <w:r w:rsidRPr="00C17FA0">
                        <w:rPr>
                          <w:rFonts w:ascii="Verdana" w:hAnsi="Verdana"/>
                          <w:color w:val="595959" w:themeColor="text1" w:themeTint="A6"/>
                          <w:sz w:val="10"/>
                          <w:szCs w:val="10"/>
                        </w:rPr>
                        <w:t xml:space="preserve">* </w:t>
                      </w:r>
                      <w:r w:rsidRPr="00C17FA0">
                        <w:rPr>
                          <w:rFonts w:ascii="Verdana" w:hAnsi="Verdana" w:cs="Arial"/>
                          <w:color w:val="595959" w:themeColor="text1" w:themeTint="A6"/>
                          <w:sz w:val="9"/>
                          <w:szCs w:val="9"/>
                        </w:rPr>
                        <w:t xml:space="preserve">Zgodnie z obowiązującymi przepisami począwszy od 2022 r. zaplanowane przez Ministerstwo Finansów dochody z PIT i CIT są </w:t>
                      </w:r>
                      <w:r w:rsidRPr="00C17FA0">
                        <w:rPr>
                          <w:rFonts w:ascii="Verdana" w:hAnsi="Verdana"/>
                          <w:iCs/>
                          <w:color w:val="595959" w:themeColor="text1" w:themeTint="A6"/>
                          <w:sz w:val="9"/>
                          <w:szCs w:val="9"/>
                        </w:rPr>
                        <w:t xml:space="preserve">przekazywane samorządom w dwunastu miesięcznych ratach. Natomiast po dwóch latach następuje rozliczenie przekazanych środków w odniesieniu do rzeczywistej realizacji dochodów </w:t>
                      </w:r>
                      <w:r>
                        <w:rPr>
                          <w:rFonts w:ascii="Verdana" w:hAnsi="Verdana"/>
                          <w:iCs/>
                          <w:color w:val="595959" w:themeColor="text1" w:themeTint="A6"/>
                          <w:sz w:val="9"/>
                          <w:szCs w:val="9"/>
                        </w:rPr>
                        <w:t xml:space="preserve">należnych JST </w:t>
                      </w:r>
                      <w:r w:rsidRPr="00C17FA0">
                        <w:rPr>
                          <w:rFonts w:ascii="Verdana" w:hAnsi="Verdana"/>
                          <w:iCs/>
                          <w:color w:val="595959" w:themeColor="text1" w:themeTint="A6"/>
                          <w:sz w:val="9"/>
                          <w:szCs w:val="9"/>
                        </w:rPr>
                        <w:t xml:space="preserve">poprzez odpowiednią korektę planu dochodów </w:t>
                      </w:r>
                      <w:r>
                        <w:rPr>
                          <w:rFonts w:ascii="Verdana" w:hAnsi="Verdana"/>
                          <w:iCs/>
                          <w:color w:val="595959" w:themeColor="text1" w:themeTint="A6"/>
                          <w:sz w:val="9"/>
                          <w:szCs w:val="9"/>
                        </w:rPr>
                        <w:br/>
                      </w:r>
                      <w:r w:rsidRPr="00C17FA0">
                        <w:rPr>
                          <w:rFonts w:ascii="Verdana" w:hAnsi="Verdana"/>
                          <w:iCs/>
                          <w:color w:val="595959" w:themeColor="text1" w:themeTint="A6"/>
                          <w:sz w:val="9"/>
                          <w:szCs w:val="9"/>
                        </w:rPr>
                        <w:t>z powyższych źródeł w budżetach JST.</w:t>
                      </w:r>
                    </w:p>
                  </w:txbxContent>
                </v:textbox>
              </v:shape>
            </w:pict>
          </mc:Fallback>
        </mc:AlternateContent>
      </w:r>
      <w:r w:rsidRPr="00121A9F">
        <w:rPr>
          <w:rStyle w:val="markedcontent"/>
          <w:rFonts w:ascii="Verdana" w:hAnsi="Verdana" w:cs="Arial"/>
          <w:b/>
          <w:sz w:val="16"/>
          <w:szCs w:val="16"/>
        </w:rPr>
        <w:t xml:space="preserve"> </w:t>
      </w:r>
      <w:r w:rsidRPr="00121A9F">
        <w:rPr>
          <w:rStyle w:val="markedcontent"/>
          <w:noProof/>
        </w:rPr>
        <w:drawing>
          <wp:inline distT="0" distB="0" distL="0" distR="0" wp14:anchorId="2854DE8A" wp14:editId="5AEA2DD2">
            <wp:extent cx="5883215" cy="236581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4355" cy="2370296"/>
                    </a:xfrm>
                    <a:prstGeom prst="rect">
                      <a:avLst/>
                    </a:prstGeom>
                    <a:noFill/>
                    <a:ln>
                      <a:noFill/>
                    </a:ln>
                  </pic:spPr>
                </pic:pic>
              </a:graphicData>
            </a:graphic>
          </wp:inline>
        </w:drawing>
      </w:r>
    </w:p>
    <w:p w:rsidR="00CA374E" w:rsidRDefault="00CA374E" w:rsidP="00CA374E">
      <w:pPr>
        <w:tabs>
          <w:tab w:val="left" w:pos="567"/>
        </w:tabs>
        <w:spacing w:before="120" w:after="120"/>
        <w:jc w:val="both"/>
        <w:rPr>
          <w:rStyle w:val="markedcontent"/>
          <w:rFonts w:ascii="Verdana" w:hAnsi="Verdana" w:cs="Arial"/>
          <w:b/>
          <w:sz w:val="16"/>
          <w:szCs w:val="16"/>
        </w:rPr>
      </w:pPr>
    </w:p>
    <w:p w:rsidR="00CA374E" w:rsidRDefault="00CA374E" w:rsidP="00CA374E">
      <w:pPr>
        <w:tabs>
          <w:tab w:val="left" w:pos="567"/>
        </w:tabs>
        <w:spacing w:before="120" w:after="120"/>
        <w:jc w:val="both"/>
        <w:rPr>
          <w:rStyle w:val="markedcontent"/>
          <w:rFonts w:ascii="Verdana" w:hAnsi="Verdana" w:cs="Arial"/>
          <w:b/>
          <w:sz w:val="16"/>
          <w:szCs w:val="16"/>
        </w:rPr>
      </w:pPr>
      <w:r w:rsidRPr="00E3641D">
        <w:rPr>
          <w:rStyle w:val="markedcontent"/>
          <w:rFonts w:ascii="Verdana" w:hAnsi="Verdana" w:cs="Arial"/>
          <w:b/>
          <w:sz w:val="16"/>
          <w:szCs w:val="16"/>
        </w:rPr>
        <w:t xml:space="preserve">Skalę zawężenia możliwości budżetowych </w:t>
      </w:r>
      <w:r>
        <w:rPr>
          <w:rStyle w:val="markedcontent"/>
          <w:rFonts w:ascii="Verdana" w:hAnsi="Verdana" w:cs="Arial"/>
          <w:b/>
          <w:sz w:val="16"/>
          <w:szCs w:val="16"/>
        </w:rPr>
        <w:t xml:space="preserve">m.st. </w:t>
      </w:r>
      <w:r w:rsidRPr="00E3641D">
        <w:rPr>
          <w:rStyle w:val="markedcontent"/>
          <w:rFonts w:ascii="Verdana" w:hAnsi="Verdana" w:cs="Arial"/>
          <w:b/>
          <w:sz w:val="16"/>
          <w:szCs w:val="16"/>
        </w:rPr>
        <w:t>Warszawy na skutek zmian w podatku PIT wprowadzony</w:t>
      </w:r>
      <w:r>
        <w:rPr>
          <w:rStyle w:val="markedcontent"/>
          <w:rFonts w:ascii="Verdana" w:hAnsi="Verdana" w:cs="Arial"/>
          <w:b/>
          <w:sz w:val="16"/>
          <w:szCs w:val="16"/>
        </w:rPr>
        <w:t>ch w ramach programu Polski Ład</w:t>
      </w:r>
      <w:r w:rsidRPr="00E3641D">
        <w:rPr>
          <w:rStyle w:val="markedcontent"/>
          <w:rFonts w:ascii="Verdana" w:hAnsi="Verdana" w:cs="Arial"/>
          <w:b/>
          <w:sz w:val="16"/>
          <w:szCs w:val="16"/>
        </w:rPr>
        <w:t xml:space="preserve"> obrazuje zestawienie dochodów </w:t>
      </w:r>
      <w:r>
        <w:rPr>
          <w:rStyle w:val="markedcontent"/>
          <w:rFonts w:ascii="Verdana" w:hAnsi="Verdana" w:cs="Arial"/>
          <w:b/>
          <w:sz w:val="16"/>
          <w:szCs w:val="16"/>
        </w:rPr>
        <w:t xml:space="preserve">m.st. </w:t>
      </w:r>
      <w:r w:rsidRPr="00E3641D">
        <w:rPr>
          <w:rStyle w:val="markedcontent"/>
          <w:rFonts w:ascii="Verdana" w:hAnsi="Verdana" w:cs="Arial"/>
          <w:b/>
          <w:sz w:val="16"/>
          <w:szCs w:val="16"/>
        </w:rPr>
        <w:t xml:space="preserve">Warszawy </w:t>
      </w:r>
      <w:r>
        <w:rPr>
          <w:rStyle w:val="markedcontent"/>
          <w:rFonts w:ascii="Verdana" w:hAnsi="Verdana" w:cs="Arial"/>
          <w:b/>
          <w:sz w:val="16"/>
          <w:szCs w:val="16"/>
        </w:rPr>
        <w:br/>
      </w:r>
      <w:r w:rsidRPr="00E3641D">
        <w:rPr>
          <w:rStyle w:val="markedcontent"/>
          <w:rFonts w:ascii="Verdana" w:hAnsi="Verdana" w:cs="Arial"/>
          <w:b/>
          <w:sz w:val="16"/>
          <w:szCs w:val="16"/>
        </w:rPr>
        <w:t xml:space="preserve">z udziału w PIT powiększonych o rekompensaty z Produktem Krajowym Brutto wytwarzanym na obszarze Warszawy (a więc także z uwzględnieniem tendencji inflacyjnych wyrażających się </w:t>
      </w:r>
      <w:r>
        <w:rPr>
          <w:rStyle w:val="markedcontent"/>
          <w:rFonts w:ascii="Verdana" w:hAnsi="Verdana" w:cs="Arial"/>
          <w:b/>
          <w:sz w:val="16"/>
          <w:szCs w:val="16"/>
        </w:rPr>
        <w:br/>
      </w:r>
      <w:r w:rsidRPr="00E3641D">
        <w:rPr>
          <w:rStyle w:val="markedcontent"/>
          <w:rFonts w:ascii="Verdana" w:hAnsi="Verdana" w:cs="Arial"/>
          <w:b/>
          <w:sz w:val="16"/>
          <w:szCs w:val="16"/>
        </w:rPr>
        <w:t xml:space="preserve">w wielkości nominalnego PKB). </w:t>
      </w:r>
    </w:p>
    <w:p w:rsidR="00CA374E" w:rsidRPr="006F6480" w:rsidRDefault="00CA374E" w:rsidP="00CA374E">
      <w:pPr>
        <w:tabs>
          <w:tab w:val="left" w:pos="567"/>
        </w:tabs>
        <w:spacing w:before="120" w:after="120"/>
        <w:jc w:val="both"/>
        <w:rPr>
          <w:rFonts w:ascii="Verdana" w:hAnsi="Verdana" w:cs="Arial"/>
          <w:sz w:val="16"/>
          <w:szCs w:val="16"/>
        </w:rPr>
      </w:pPr>
      <w:r w:rsidRPr="006F6480">
        <w:rPr>
          <w:rFonts w:ascii="Verdana" w:hAnsi="Verdana" w:cs="Arial"/>
          <w:sz w:val="16"/>
          <w:szCs w:val="16"/>
        </w:rPr>
        <w:t>W latach 2008-2021 potencjał Warszawy do realizacji zadań ze środków pochodzących z dochodów z PIT, a więc ze źródła zapewniającego w zależności od roku od 40% do 50% dochodów własnych, wyrażony relacją tych dochodów do PKB Warszawy</w:t>
      </w:r>
      <w:r>
        <w:rPr>
          <w:rFonts w:ascii="Verdana" w:hAnsi="Verdana" w:cs="Arial"/>
          <w:sz w:val="16"/>
          <w:szCs w:val="16"/>
        </w:rPr>
        <w:t xml:space="preserve"> w cenach bieżących</w:t>
      </w:r>
      <w:r w:rsidRPr="006F6480">
        <w:rPr>
          <w:rFonts w:ascii="Verdana" w:hAnsi="Verdana" w:cs="Arial"/>
          <w:sz w:val="16"/>
          <w:szCs w:val="16"/>
        </w:rPr>
        <w:t xml:space="preserve">, wynosił średnio </w:t>
      </w:r>
      <w:r w:rsidRPr="006F6480">
        <w:rPr>
          <w:rFonts w:ascii="Verdana" w:hAnsi="Verdana" w:cs="Arial"/>
          <w:b/>
          <w:bCs/>
          <w:sz w:val="16"/>
          <w:szCs w:val="16"/>
        </w:rPr>
        <w:t>1,88%</w:t>
      </w:r>
      <w:r w:rsidRPr="006F6480">
        <w:rPr>
          <w:rFonts w:ascii="Verdana" w:hAnsi="Verdana" w:cs="Arial"/>
          <w:sz w:val="16"/>
          <w:szCs w:val="16"/>
        </w:rPr>
        <w:t xml:space="preserve">. </w:t>
      </w:r>
    </w:p>
    <w:p w:rsidR="00CA374E" w:rsidRDefault="00CA374E" w:rsidP="00CA374E">
      <w:pPr>
        <w:tabs>
          <w:tab w:val="left" w:pos="567"/>
        </w:tabs>
        <w:spacing w:before="120" w:after="120"/>
        <w:jc w:val="both"/>
        <w:rPr>
          <w:rFonts w:ascii="Verdana" w:hAnsi="Verdana" w:cs="Arial"/>
          <w:sz w:val="16"/>
          <w:szCs w:val="16"/>
        </w:rPr>
      </w:pPr>
      <w:r w:rsidRPr="006F6480">
        <w:rPr>
          <w:rFonts w:ascii="Verdana" w:hAnsi="Verdana" w:cs="Arial"/>
          <w:sz w:val="16"/>
          <w:szCs w:val="16"/>
        </w:rPr>
        <w:t xml:space="preserve">Program Polski Ład obniżył tak zdefiniowaną zdolność zadaniową Warszawy do poziomu </w:t>
      </w:r>
      <w:r w:rsidRPr="006F6480">
        <w:rPr>
          <w:rFonts w:ascii="Verdana" w:hAnsi="Verdana" w:cs="Arial"/>
          <w:b/>
          <w:bCs/>
          <w:sz w:val="16"/>
          <w:szCs w:val="16"/>
        </w:rPr>
        <w:t>1,54%</w:t>
      </w:r>
      <w:r w:rsidRPr="006F6480">
        <w:rPr>
          <w:rFonts w:ascii="Verdana" w:hAnsi="Verdana" w:cs="Arial"/>
          <w:sz w:val="16"/>
          <w:szCs w:val="16"/>
        </w:rPr>
        <w:t xml:space="preserve"> średnio w latach 2022-2024 (PIT w relacji do PKB po uwzględnieniu rekompensat), co oznacza obniżenie potencjału o </w:t>
      </w:r>
      <w:r w:rsidRPr="006F6480">
        <w:rPr>
          <w:rFonts w:ascii="Verdana" w:hAnsi="Verdana" w:cs="Arial"/>
          <w:b/>
          <w:bCs/>
          <w:sz w:val="16"/>
          <w:szCs w:val="16"/>
        </w:rPr>
        <w:t>18%</w:t>
      </w:r>
      <w:r w:rsidRPr="006F6480">
        <w:rPr>
          <w:rFonts w:ascii="Verdana" w:hAnsi="Verdana" w:cs="Arial"/>
          <w:sz w:val="16"/>
          <w:szCs w:val="16"/>
        </w:rPr>
        <w:t xml:space="preserve"> </w:t>
      </w:r>
      <w:r>
        <w:rPr>
          <w:rFonts w:ascii="Verdana" w:hAnsi="Verdana" w:cs="Arial"/>
          <w:sz w:val="16"/>
          <w:szCs w:val="16"/>
        </w:rPr>
        <w:br/>
      </w:r>
      <w:r w:rsidRPr="006F6480">
        <w:rPr>
          <w:rFonts w:ascii="Verdana" w:hAnsi="Verdana" w:cs="Arial"/>
          <w:sz w:val="16"/>
          <w:szCs w:val="16"/>
        </w:rPr>
        <w:t xml:space="preserve">w stosunku do lat 2008-2021, pogłębiając dysonans między zapotrzebowaniem na usługi publiczne świadczone przez samorząd w celu wspierania rozwoju społeczno-gospodarczego, a możliwościami sprostania przez </w:t>
      </w:r>
      <w:r>
        <w:rPr>
          <w:rFonts w:ascii="Verdana" w:hAnsi="Verdana" w:cs="Arial"/>
          <w:sz w:val="16"/>
          <w:szCs w:val="16"/>
        </w:rPr>
        <w:br/>
      </w:r>
      <w:r w:rsidRPr="006F6480">
        <w:rPr>
          <w:rFonts w:ascii="Verdana" w:hAnsi="Verdana" w:cs="Arial"/>
          <w:sz w:val="16"/>
          <w:szCs w:val="16"/>
        </w:rPr>
        <w:t>m.st. Warszawę temu zapotrzebowaniu, szczególnie w dobie podwyższonej inflacji.</w:t>
      </w:r>
      <w:r>
        <w:rPr>
          <w:rFonts w:ascii="Verdana" w:hAnsi="Verdana" w:cs="Arial"/>
          <w:sz w:val="16"/>
          <w:szCs w:val="16"/>
        </w:rPr>
        <w:br w:type="page"/>
      </w:r>
    </w:p>
    <w:p w:rsidR="00CA374E" w:rsidRDefault="00CA374E" w:rsidP="00CA374E">
      <w:pPr>
        <w:spacing w:before="120" w:after="60" w:line="240" w:lineRule="auto"/>
        <w:rPr>
          <w:rFonts w:ascii="Verdana" w:hAnsi="Verdana" w:cs="Arial"/>
          <w:b/>
          <w:bCs/>
          <w:iCs/>
          <w:sz w:val="14"/>
          <w:szCs w:val="14"/>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2</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DOCHODY Z PIT M.ST. WARSZAWY POWIĘKSZONE O REKOMPENSATĘ SKUTKÓW POLSKIEGO ŁADU </w:t>
      </w:r>
      <w:r>
        <w:rPr>
          <w:rFonts w:ascii="Verdana" w:hAnsi="Verdana" w:cs="Arial"/>
          <w:b/>
          <w:bCs/>
          <w:iCs/>
          <w:sz w:val="14"/>
          <w:szCs w:val="14"/>
        </w:rPr>
        <w:br/>
        <w:t xml:space="preserve">               ORAZ ICH RELACJA DO PRODUKTU KRAJOWEGO BRUTTO WARSZAWY W CENACH BIEŻĄCYCH </w:t>
      </w:r>
      <w:r>
        <w:rPr>
          <w:rFonts w:ascii="Verdana" w:hAnsi="Verdana" w:cs="Arial"/>
          <w:b/>
          <w:bCs/>
          <w:iCs/>
          <w:sz w:val="14"/>
          <w:szCs w:val="14"/>
        </w:rPr>
        <w:br/>
        <w:t xml:space="preserve">               W LATACH 2008-2024               </w:t>
      </w:r>
    </w:p>
    <w:p w:rsidR="00CA374E" w:rsidRDefault="00CA374E" w:rsidP="00CA374E">
      <w:pPr>
        <w:spacing w:before="120" w:after="60" w:line="240" w:lineRule="auto"/>
        <w:rPr>
          <w:rFonts w:ascii="Verdana" w:hAnsi="Verdana"/>
          <w:sz w:val="16"/>
          <w:szCs w:val="16"/>
        </w:rPr>
      </w:pPr>
      <w:r>
        <w:rPr>
          <w:rFonts w:ascii="Verdana" w:hAnsi="Verdana" w:cs="Arial"/>
          <w:b/>
          <w:bCs/>
          <w:iCs/>
          <w:noProof/>
          <w:sz w:val="14"/>
          <w:szCs w:val="14"/>
        </w:rPr>
        <w:drawing>
          <wp:inline distT="0" distB="0" distL="0" distR="0" wp14:anchorId="64ECBB63" wp14:editId="68DDA698">
            <wp:extent cx="5964485" cy="2976113"/>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541" cy="2998096"/>
                    </a:xfrm>
                    <a:prstGeom prst="rect">
                      <a:avLst/>
                    </a:prstGeom>
                    <a:noFill/>
                  </pic:spPr>
                </pic:pic>
              </a:graphicData>
            </a:graphic>
          </wp:inline>
        </w:drawing>
      </w:r>
    </w:p>
    <w:p w:rsidR="00CA374E" w:rsidRDefault="00CA374E" w:rsidP="00CA374E">
      <w:pPr>
        <w:tabs>
          <w:tab w:val="left" w:pos="567"/>
        </w:tabs>
        <w:spacing w:before="120" w:after="120"/>
        <w:jc w:val="both"/>
        <w:rPr>
          <w:rFonts w:ascii="Verdana" w:hAnsi="Verdana" w:cstheme="minorHAnsi"/>
          <w:sz w:val="16"/>
          <w:szCs w:val="16"/>
        </w:rPr>
      </w:pPr>
      <w:r>
        <w:rPr>
          <w:rFonts w:ascii="Verdana" w:hAnsi="Verdana"/>
          <w:sz w:val="16"/>
          <w:szCs w:val="16"/>
        </w:rPr>
        <w:t xml:space="preserve">W skład pakietu rozwiązań programu Polski Ład weszły ustawy uchwalone w 2021 r. wprowadzające zmiany podatkowe i korekty w systemie dochodów jednostek samorządu terytorialnego. Następnie rozwiązania przyjęte w 2021 r. podlegały w latach 2022-2023 modyfikacjom, zarówno w zakresie rozwiązań podatkowych, jak </w:t>
      </w:r>
      <w:r>
        <w:rPr>
          <w:rFonts w:ascii="Verdana" w:hAnsi="Verdana"/>
          <w:sz w:val="16"/>
          <w:szCs w:val="16"/>
        </w:rPr>
        <w:br/>
        <w:t>i systemu rekompensat dla samorządów utraty dochodów z PIT na skutek zmian legislacyjnych. Aktualnie zgodnie z projektem tzw. ustawy okołobudżetowej na 2024 r. przewidziano wprowadzenie kolejnej korekty polegającej na zawieszeniu w 2024 r. wypłaty samorządom części rozwojowej subwencji ogólnej mającej w zamierzeniu rekompensować samorządom straty w PIT będące konsekwencją Polskiego Ładu.</w:t>
      </w:r>
    </w:p>
    <w:p w:rsidR="00CA374E" w:rsidRDefault="00CA374E" w:rsidP="00CA374E">
      <w:pPr>
        <w:tabs>
          <w:tab w:val="left" w:pos="567"/>
        </w:tabs>
        <w:spacing w:before="120" w:after="120"/>
        <w:jc w:val="both"/>
        <w:rPr>
          <w:rFonts w:ascii="Verdana" w:hAnsi="Verdana" w:cstheme="minorHAnsi"/>
          <w:sz w:val="16"/>
          <w:szCs w:val="16"/>
        </w:rPr>
      </w:pPr>
      <w:r w:rsidRPr="00BC7ABE">
        <w:rPr>
          <w:rFonts w:ascii="Verdana" w:hAnsi="Verdana" w:cstheme="minorHAnsi"/>
          <w:sz w:val="16"/>
          <w:szCs w:val="16"/>
        </w:rPr>
        <w:t xml:space="preserve">Negatywne dla dochodów m.st. Warszawy skutki Polskiego Ładu nałożyły się na </w:t>
      </w:r>
      <w:r w:rsidRPr="00286AC7">
        <w:rPr>
          <w:rFonts w:ascii="Verdana" w:hAnsi="Verdana" w:cstheme="minorHAnsi"/>
          <w:b/>
          <w:sz w:val="16"/>
          <w:szCs w:val="16"/>
        </w:rPr>
        <w:t>wcześniej wdrożone zmiany prawne w PIT ograniczające dochody Miasta</w:t>
      </w:r>
      <w:r w:rsidRPr="00BC7ABE">
        <w:rPr>
          <w:rFonts w:ascii="Verdana" w:hAnsi="Verdana" w:cstheme="minorHAnsi"/>
          <w:sz w:val="16"/>
          <w:szCs w:val="16"/>
        </w:rPr>
        <w:t xml:space="preserve">, tj. preferencje dla formy zryczałtowanej podatku, w której JST nie partycypują oraz tzw. 5 Kaczyńskiego, których negatywny skutek dla dochodów Miasta oszacowano </w:t>
      </w:r>
      <w:r>
        <w:rPr>
          <w:rFonts w:ascii="Verdana" w:hAnsi="Verdana" w:cstheme="minorHAnsi"/>
          <w:sz w:val="16"/>
          <w:szCs w:val="16"/>
        </w:rPr>
        <w:br/>
      </w:r>
      <w:r w:rsidRPr="00BC7ABE">
        <w:rPr>
          <w:rFonts w:ascii="Verdana" w:hAnsi="Verdana" w:cstheme="minorHAnsi"/>
          <w:sz w:val="16"/>
          <w:szCs w:val="16"/>
        </w:rPr>
        <w:t xml:space="preserve">na </w:t>
      </w:r>
      <w:r w:rsidRPr="00E66C79">
        <w:rPr>
          <w:rFonts w:ascii="Verdana" w:hAnsi="Verdana" w:cstheme="minorHAnsi"/>
          <w:b/>
          <w:sz w:val="16"/>
          <w:szCs w:val="16"/>
        </w:rPr>
        <w:t>1,5 mld zł</w:t>
      </w:r>
      <w:r w:rsidRPr="00BC7ABE">
        <w:rPr>
          <w:rFonts w:ascii="Verdana" w:hAnsi="Verdana" w:cstheme="minorHAnsi"/>
          <w:sz w:val="16"/>
          <w:szCs w:val="16"/>
        </w:rPr>
        <w:t xml:space="preserve"> rocznie. </w:t>
      </w:r>
      <w:r>
        <w:rPr>
          <w:rFonts w:ascii="Verdana" w:hAnsi="Verdana" w:cstheme="minorHAnsi"/>
          <w:sz w:val="16"/>
          <w:szCs w:val="16"/>
        </w:rPr>
        <w:t>Zatem łączn</w:t>
      </w:r>
      <w:r w:rsidRPr="00BC7ABE">
        <w:rPr>
          <w:rFonts w:ascii="Verdana" w:hAnsi="Verdana" w:cstheme="minorHAnsi"/>
          <w:sz w:val="16"/>
          <w:szCs w:val="16"/>
        </w:rPr>
        <w:t xml:space="preserve">e negatywne dla dochodów m.st. Warszawy z PIT skutki zmian prawnych dla 2024 r. wynoszą </w:t>
      </w:r>
      <w:r w:rsidRPr="00E66C79">
        <w:rPr>
          <w:rFonts w:ascii="Verdana" w:hAnsi="Verdana" w:cstheme="minorHAnsi"/>
          <w:b/>
          <w:sz w:val="16"/>
          <w:szCs w:val="16"/>
        </w:rPr>
        <w:t>2,8 mld zł</w:t>
      </w:r>
      <w:r>
        <w:rPr>
          <w:rFonts w:ascii="Verdana" w:hAnsi="Verdana" w:cstheme="minorHAnsi"/>
          <w:sz w:val="16"/>
          <w:szCs w:val="16"/>
        </w:rPr>
        <w:t xml:space="preserve"> (w tym 1,3 mld zł skutków Polskiego Ładu)</w:t>
      </w:r>
      <w:r w:rsidRPr="00BC7ABE">
        <w:rPr>
          <w:rFonts w:ascii="Verdana" w:hAnsi="Verdana" w:cstheme="minorHAnsi"/>
          <w:sz w:val="16"/>
          <w:szCs w:val="16"/>
        </w:rPr>
        <w:t xml:space="preserve">. </w:t>
      </w:r>
      <w:r>
        <w:rPr>
          <w:rFonts w:ascii="Verdana" w:hAnsi="Verdana" w:cstheme="minorHAnsi"/>
          <w:sz w:val="16"/>
          <w:szCs w:val="16"/>
        </w:rPr>
        <w:t xml:space="preserve">Natomiast począwszy od 2019 r. zmiany prawne w PIT uszczuplają dochody m.st. Warszawy o </w:t>
      </w:r>
      <w:r w:rsidRPr="002D030A">
        <w:rPr>
          <w:rFonts w:ascii="Verdana" w:hAnsi="Verdana" w:cstheme="minorHAnsi"/>
          <w:b/>
          <w:sz w:val="16"/>
          <w:szCs w:val="16"/>
        </w:rPr>
        <w:t>11,3 mld zł</w:t>
      </w:r>
      <w:r>
        <w:rPr>
          <w:rFonts w:ascii="Verdana" w:hAnsi="Verdana" w:cstheme="minorHAnsi"/>
          <w:sz w:val="16"/>
          <w:szCs w:val="16"/>
        </w:rPr>
        <w:t xml:space="preserve"> w horyzoncie 2024 r. już po uwzględnieniu rekompensat, co prezentuje wykres nr 3. Negatywne konsekwencje zmian prawnych dla dochodów </w:t>
      </w:r>
      <w:r>
        <w:rPr>
          <w:rFonts w:ascii="Verdana" w:hAnsi="Verdana" w:cstheme="minorHAnsi"/>
          <w:sz w:val="16"/>
          <w:szCs w:val="16"/>
        </w:rPr>
        <w:br/>
        <w:t>m.st. Warszawy będą trwale ograniczały możliwości budżetowe Miasta.</w:t>
      </w:r>
    </w:p>
    <w:p w:rsidR="00CA374E" w:rsidRDefault="00CA374E" w:rsidP="00CA374E">
      <w:pPr>
        <w:spacing w:before="120" w:after="60" w:line="240" w:lineRule="auto"/>
        <w:rPr>
          <w:rFonts w:ascii="Verdana" w:hAnsi="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UBYTEK DOCHODÓW Z PIT M.ST. WARSZAWY W LATACH 2019-2024 NA SKUTEK ZMIAN PRAWNYCH </w:t>
      </w:r>
      <w:r>
        <w:rPr>
          <w:rFonts w:ascii="Verdana" w:hAnsi="Verdana" w:cs="Arial"/>
          <w:b/>
          <w:bCs/>
          <w:iCs/>
          <w:sz w:val="14"/>
          <w:szCs w:val="14"/>
        </w:rPr>
        <w:br/>
        <w:t xml:space="preserve">                PO UWZGLĘDNIENIU REKOMPENSAT</w:t>
      </w:r>
      <w:r>
        <w:rPr>
          <w:rFonts w:ascii="Verdana" w:hAnsi="Verdana" w:cs="Arial"/>
          <w:bCs/>
          <w:iCs/>
          <w:sz w:val="14"/>
          <w:szCs w:val="14"/>
        </w:rPr>
        <w:t xml:space="preserve"> [w mln zł]</w:t>
      </w:r>
      <w:r>
        <w:rPr>
          <w:rFonts w:ascii="Verdana" w:hAnsi="Verdana" w:cs="Arial"/>
          <w:b/>
          <w:bCs/>
          <w:iCs/>
          <w:sz w:val="14"/>
          <w:szCs w:val="14"/>
        </w:rPr>
        <w:t xml:space="preserve">          </w:t>
      </w:r>
      <w:r>
        <w:rPr>
          <w:noProof/>
        </w:rPr>
        <w:drawing>
          <wp:inline distT="0" distB="0" distL="0" distR="0" wp14:anchorId="1A4D090F" wp14:editId="1861573F">
            <wp:extent cx="5972898" cy="2242868"/>
            <wp:effectExtent l="0" t="0" r="889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9287" cy="2252777"/>
                    </a:xfrm>
                    <a:prstGeom prst="rect">
                      <a:avLst/>
                    </a:prstGeom>
                  </pic:spPr>
                </pic:pic>
              </a:graphicData>
            </a:graphic>
          </wp:inline>
        </w:drawing>
      </w:r>
    </w:p>
    <w:p w:rsidR="00CA374E" w:rsidRDefault="00CA374E" w:rsidP="00CA374E">
      <w:pPr>
        <w:tabs>
          <w:tab w:val="left" w:pos="567"/>
        </w:tabs>
        <w:spacing w:before="120" w:after="120"/>
        <w:jc w:val="both"/>
        <w:rPr>
          <w:rFonts w:ascii="Verdana" w:hAnsi="Verdana"/>
          <w:sz w:val="16"/>
          <w:szCs w:val="16"/>
        </w:rPr>
      </w:pPr>
      <w:r>
        <w:rPr>
          <w:rFonts w:ascii="Verdana" w:hAnsi="Verdana" w:cstheme="minorHAnsi"/>
          <w:sz w:val="16"/>
          <w:szCs w:val="16"/>
        </w:rPr>
        <w:lastRenderedPageBreak/>
        <w:t>Jednocześnie w</w:t>
      </w:r>
      <w:r w:rsidRPr="00BC7ABE">
        <w:rPr>
          <w:rFonts w:ascii="Verdana" w:hAnsi="Verdana" w:cstheme="minorHAnsi"/>
          <w:sz w:val="16"/>
          <w:szCs w:val="16"/>
        </w:rPr>
        <w:t xml:space="preserve"> 2024 r. w stosunku do 2023 r. </w:t>
      </w:r>
      <w:r w:rsidRPr="00F55403">
        <w:rPr>
          <w:rFonts w:ascii="Verdana" w:hAnsi="Verdana" w:cstheme="minorHAnsi"/>
          <w:b/>
          <w:sz w:val="16"/>
          <w:szCs w:val="16"/>
        </w:rPr>
        <w:t>radykalnie wzrośnie obciążenie budżetu m.st. Warszawy obowiązkową wpłatą do budżetu państwa z tytułu tzw. Janosikowego</w:t>
      </w:r>
      <w:r w:rsidRPr="00BC7ABE">
        <w:rPr>
          <w:rFonts w:ascii="Verdana" w:hAnsi="Verdana" w:cstheme="minorHAnsi"/>
          <w:sz w:val="16"/>
          <w:szCs w:val="16"/>
        </w:rPr>
        <w:t xml:space="preserve">, której wysokość wzrośnie </w:t>
      </w:r>
      <w:r>
        <w:rPr>
          <w:rFonts w:ascii="Verdana" w:hAnsi="Verdana" w:cstheme="minorHAnsi"/>
          <w:sz w:val="16"/>
          <w:szCs w:val="16"/>
        </w:rPr>
        <w:br/>
      </w:r>
      <w:r w:rsidRPr="00BC7ABE">
        <w:rPr>
          <w:rFonts w:ascii="Verdana" w:hAnsi="Verdana" w:cstheme="minorHAnsi"/>
          <w:sz w:val="16"/>
          <w:szCs w:val="16"/>
        </w:rPr>
        <w:t xml:space="preserve">z </w:t>
      </w:r>
      <w:r w:rsidRPr="002D030A">
        <w:rPr>
          <w:rFonts w:ascii="Verdana" w:hAnsi="Verdana" w:cstheme="minorHAnsi"/>
          <w:b/>
          <w:sz w:val="16"/>
          <w:szCs w:val="16"/>
        </w:rPr>
        <w:t>1,4 mld zł</w:t>
      </w:r>
      <w:r w:rsidRPr="00BC7ABE">
        <w:rPr>
          <w:rFonts w:ascii="Verdana" w:hAnsi="Verdana" w:cstheme="minorHAnsi"/>
          <w:sz w:val="16"/>
          <w:szCs w:val="16"/>
        </w:rPr>
        <w:t xml:space="preserve"> do </w:t>
      </w:r>
      <w:r w:rsidRPr="002D030A">
        <w:rPr>
          <w:rFonts w:ascii="Verdana" w:hAnsi="Verdana" w:cstheme="minorHAnsi"/>
          <w:b/>
          <w:sz w:val="16"/>
          <w:szCs w:val="16"/>
        </w:rPr>
        <w:t>2,1 mld zł</w:t>
      </w:r>
      <w:r w:rsidRPr="00BC7ABE">
        <w:rPr>
          <w:rFonts w:ascii="Verdana" w:hAnsi="Verdana" w:cstheme="minorHAnsi"/>
          <w:sz w:val="16"/>
          <w:szCs w:val="16"/>
        </w:rPr>
        <w:t>. Wzrost kwoty wpłaty sięgnie blisko 50%.</w:t>
      </w:r>
    </w:p>
    <w:p w:rsidR="00CA374E" w:rsidRPr="00B32066" w:rsidRDefault="00CA374E" w:rsidP="00CA374E">
      <w:pPr>
        <w:spacing w:before="60" w:after="60"/>
        <w:jc w:val="both"/>
        <w:rPr>
          <w:rFonts w:ascii="Verdana" w:hAnsi="Verdana"/>
          <w:sz w:val="16"/>
          <w:szCs w:val="16"/>
        </w:rPr>
      </w:pPr>
      <w:r w:rsidRPr="004D417C">
        <w:rPr>
          <w:rFonts w:ascii="Verdana" w:hAnsi="Verdana"/>
          <w:b/>
          <w:sz w:val="16"/>
          <w:szCs w:val="16"/>
        </w:rPr>
        <w:t xml:space="preserve">Systematycznemu ograniczaniu potencjału dochodowego </w:t>
      </w:r>
      <w:r>
        <w:rPr>
          <w:rFonts w:ascii="Verdana" w:hAnsi="Verdana"/>
          <w:b/>
          <w:sz w:val="16"/>
          <w:szCs w:val="16"/>
        </w:rPr>
        <w:t xml:space="preserve">m.st. </w:t>
      </w:r>
      <w:r w:rsidRPr="004D417C">
        <w:rPr>
          <w:rFonts w:ascii="Verdana" w:hAnsi="Verdana"/>
          <w:b/>
          <w:sz w:val="16"/>
          <w:szCs w:val="16"/>
        </w:rPr>
        <w:t>Warszawy towarzyszy zwiększające się niedoszacowanie subwencji oświatowej w stosunku do rze</w:t>
      </w:r>
      <w:r>
        <w:rPr>
          <w:rFonts w:ascii="Verdana" w:hAnsi="Verdana"/>
          <w:b/>
          <w:sz w:val="16"/>
          <w:szCs w:val="16"/>
        </w:rPr>
        <w:t>czywistych potrzeb wydatkowych wynikających z dynamicznie wzrastających kosztów realizacji zadań oświatowych.</w:t>
      </w:r>
      <w:r w:rsidRPr="004D417C">
        <w:rPr>
          <w:rFonts w:ascii="Verdana" w:hAnsi="Verdana"/>
          <w:b/>
          <w:sz w:val="16"/>
          <w:szCs w:val="16"/>
        </w:rPr>
        <w:t xml:space="preserve"> </w:t>
      </w:r>
      <w:r w:rsidRPr="00931370">
        <w:rPr>
          <w:rFonts w:ascii="Verdana" w:hAnsi="Verdana"/>
          <w:sz w:val="16"/>
          <w:szCs w:val="16"/>
        </w:rPr>
        <w:t xml:space="preserve">Z uwagi na zaniżony poziom subwencji oświatowej w stosunku do potrzeb wydatkowych, w ostatnich latach konieczny był wzrost dopłaty m.st. Warszawy do bieżącego funkcjonowania oświaty ponad środki otrzymywane na ten cel z budżetu państwa w formie subwencji oświatowej oraz dotacji przedszkolnej. </w:t>
      </w:r>
      <w:r>
        <w:rPr>
          <w:rFonts w:ascii="Verdana" w:hAnsi="Verdana"/>
          <w:sz w:val="16"/>
          <w:szCs w:val="16"/>
        </w:rPr>
        <w:t xml:space="preserve">W stosunku do 2014 r. dopłata Warszawy do oświaty finansowana ze środków własnych uległa przeszło podwojeniu do poziomu </w:t>
      </w:r>
      <w:r w:rsidRPr="009138DF">
        <w:rPr>
          <w:rFonts w:ascii="Verdana" w:hAnsi="Verdana"/>
          <w:b/>
          <w:sz w:val="16"/>
          <w:szCs w:val="16"/>
        </w:rPr>
        <w:t>3</w:t>
      </w:r>
      <w:r>
        <w:rPr>
          <w:rFonts w:ascii="Verdana" w:hAnsi="Verdana"/>
          <w:b/>
          <w:sz w:val="16"/>
          <w:szCs w:val="16"/>
        </w:rPr>
        <w:t>,3</w:t>
      </w:r>
      <w:r w:rsidRPr="009138DF">
        <w:rPr>
          <w:rFonts w:ascii="Verdana" w:hAnsi="Verdana"/>
          <w:b/>
          <w:sz w:val="16"/>
          <w:szCs w:val="16"/>
        </w:rPr>
        <w:t xml:space="preserve"> mld zł</w:t>
      </w:r>
      <w:r>
        <w:rPr>
          <w:rFonts w:ascii="Verdana" w:hAnsi="Verdana"/>
          <w:sz w:val="16"/>
          <w:szCs w:val="16"/>
        </w:rPr>
        <w:t xml:space="preserve"> w 2023 r. i planuje się utrzymanie jej na zbliżonym poziomie w 2024 r. Środki pochodzące z subwencji oświatowej i dotacji przedszkolnej pozwalają jedynie w około połowie sfinansować wydatki bieżące Warszawy przeznaczane na zadania oświatowe. </w:t>
      </w:r>
      <w:r w:rsidRPr="00B32066">
        <w:rPr>
          <w:rFonts w:ascii="Verdana" w:hAnsi="Verdana"/>
          <w:bCs/>
          <w:sz w:val="16"/>
          <w:szCs w:val="16"/>
        </w:rPr>
        <w:t>Subwencja oświatowa</w:t>
      </w:r>
      <w:r w:rsidRPr="00B32066">
        <w:rPr>
          <w:rFonts w:ascii="Verdana" w:hAnsi="Verdana"/>
          <w:b/>
          <w:bCs/>
          <w:sz w:val="16"/>
          <w:szCs w:val="16"/>
        </w:rPr>
        <w:t xml:space="preserve"> </w:t>
      </w:r>
      <w:r>
        <w:rPr>
          <w:rFonts w:ascii="Verdana" w:hAnsi="Verdana"/>
          <w:sz w:val="16"/>
          <w:szCs w:val="16"/>
        </w:rPr>
        <w:t>jest dalece niewystarczająca</w:t>
      </w:r>
      <w:r w:rsidRPr="00B32066">
        <w:rPr>
          <w:rFonts w:ascii="Verdana" w:hAnsi="Verdana"/>
          <w:sz w:val="16"/>
          <w:szCs w:val="16"/>
        </w:rPr>
        <w:t xml:space="preserve"> nawet do pokrycia wydatków na wynagrodzenia w oświacie.</w:t>
      </w:r>
    </w:p>
    <w:p w:rsidR="00CA374E" w:rsidRPr="00AD3F74" w:rsidRDefault="00CA374E" w:rsidP="00CA374E">
      <w:pPr>
        <w:tabs>
          <w:tab w:val="left" w:pos="567"/>
        </w:tabs>
        <w:spacing w:before="120" w:after="120"/>
        <w:jc w:val="both"/>
        <w:rPr>
          <w:rFonts w:ascii="Verdana" w:hAnsi="Verdana" w:cstheme="minorHAnsi"/>
          <w:sz w:val="16"/>
          <w:szCs w:val="16"/>
        </w:rPr>
      </w:pPr>
      <w:r>
        <w:rPr>
          <w:rFonts w:ascii="Verdana" w:hAnsi="Verdana"/>
          <w:sz w:val="16"/>
          <w:szCs w:val="16"/>
        </w:rPr>
        <w:t xml:space="preserve">Źródłem finansowania dopłaty do oświaty są dochody własne m.st. Warszawy, które do czasu rozwiązań wprowadzonych przez Polski Ład blisko w połowie pochodziły z wpływów z PIT (47% w 2021 r.). </w:t>
      </w:r>
      <w:r w:rsidRPr="00137500">
        <w:rPr>
          <w:rFonts w:ascii="Verdana" w:hAnsi="Verdana"/>
          <w:b/>
          <w:sz w:val="16"/>
          <w:szCs w:val="16"/>
        </w:rPr>
        <w:t xml:space="preserve">Utrzymanie zdolności Warszawy do pokrywania ze środków własnych luki w finansowaniu wydatków bieżących w oświacie </w:t>
      </w:r>
      <w:r>
        <w:rPr>
          <w:rFonts w:ascii="Verdana" w:hAnsi="Verdana"/>
          <w:b/>
          <w:sz w:val="16"/>
          <w:szCs w:val="16"/>
        </w:rPr>
        <w:t>subwencją oświatową</w:t>
      </w:r>
      <w:r w:rsidRPr="00137500">
        <w:rPr>
          <w:rFonts w:ascii="Verdana" w:hAnsi="Verdana"/>
          <w:b/>
          <w:sz w:val="16"/>
          <w:szCs w:val="16"/>
        </w:rPr>
        <w:t xml:space="preserve">, w warunkach drastycznego ograniczenia dochodów Warszawy </w:t>
      </w:r>
      <w:r>
        <w:rPr>
          <w:rFonts w:ascii="Verdana" w:hAnsi="Verdana"/>
          <w:b/>
          <w:sz w:val="16"/>
          <w:szCs w:val="16"/>
        </w:rPr>
        <w:br/>
      </w:r>
      <w:r w:rsidRPr="00137500">
        <w:rPr>
          <w:rFonts w:ascii="Verdana" w:hAnsi="Verdana"/>
          <w:b/>
          <w:sz w:val="16"/>
          <w:szCs w:val="16"/>
        </w:rPr>
        <w:t>z PIT bez adekwatnych</w:t>
      </w:r>
      <w:r>
        <w:rPr>
          <w:rFonts w:ascii="Verdana" w:hAnsi="Verdana"/>
          <w:b/>
          <w:sz w:val="16"/>
          <w:szCs w:val="16"/>
        </w:rPr>
        <w:t xml:space="preserve"> do ubytku dochodów</w:t>
      </w:r>
      <w:r w:rsidRPr="00137500">
        <w:rPr>
          <w:rFonts w:ascii="Verdana" w:hAnsi="Verdana"/>
          <w:b/>
          <w:sz w:val="16"/>
          <w:szCs w:val="16"/>
        </w:rPr>
        <w:t xml:space="preserve"> rekompensat</w:t>
      </w:r>
      <w:r>
        <w:rPr>
          <w:rFonts w:ascii="Verdana" w:hAnsi="Verdana"/>
          <w:b/>
          <w:sz w:val="16"/>
          <w:szCs w:val="16"/>
        </w:rPr>
        <w:t>,</w:t>
      </w:r>
      <w:r w:rsidRPr="00645561">
        <w:rPr>
          <w:rFonts w:ascii="Verdana" w:hAnsi="Verdana"/>
          <w:b/>
          <w:sz w:val="16"/>
          <w:szCs w:val="16"/>
        </w:rPr>
        <w:t xml:space="preserve"> </w:t>
      </w:r>
      <w:r w:rsidRPr="00137500">
        <w:rPr>
          <w:rFonts w:ascii="Verdana" w:hAnsi="Verdana"/>
          <w:b/>
          <w:sz w:val="16"/>
          <w:szCs w:val="16"/>
        </w:rPr>
        <w:t xml:space="preserve">będzie </w:t>
      </w:r>
      <w:r>
        <w:rPr>
          <w:rFonts w:ascii="Verdana" w:hAnsi="Verdana"/>
          <w:b/>
          <w:sz w:val="16"/>
          <w:szCs w:val="16"/>
        </w:rPr>
        <w:t xml:space="preserve">w przyszłości wyjątkowo trudne </w:t>
      </w:r>
      <w:r>
        <w:rPr>
          <w:rFonts w:ascii="Verdana" w:hAnsi="Verdana"/>
          <w:b/>
          <w:sz w:val="16"/>
          <w:szCs w:val="16"/>
        </w:rPr>
        <w:br/>
      </w:r>
      <w:r>
        <w:rPr>
          <w:rFonts w:ascii="Verdana" w:hAnsi="Verdana"/>
          <w:sz w:val="16"/>
          <w:szCs w:val="16"/>
        </w:rPr>
        <w:t>(w tym zakresie wymagane byłyby zmiany systemowe)</w:t>
      </w:r>
      <w:r w:rsidRPr="000157C4">
        <w:rPr>
          <w:rFonts w:ascii="Verdana" w:hAnsi="Verdana"/>
          <w:sz w:val="16"/>
          <w:szCs w:val="16"/>
        </w:rPr>
        <w:t>.</w:t>
      </w:r>
    </w:p>
    <w:p w:rsidR="00CA374E" w:rsidRDefault="00CA374E" w:rsidP="00CA374E">
      <w:pPr>
        <w:spacing w:before="60" w:after="60"/>
        <w:jc w:val="both"/>
        <w:rPr>
          <w:rFonts w:ascii="Verdana" w:hAnsi="Verdana" w:cstheme="minorHAnsi"/>
          <w:sz w:val="16"/>
          <w:szCs w:val="16"/>
        </w:rPr>
      </w:pPr>
      <w:r w:rsidRPr="00CE1624">
        <w:rPr>
          <w:rFonts w:ascii="Verdana" w:hAnsi="Verdana" w:cstheme="minorHAnsi"/>
          <w:b/>
          <w:sz w:val="16"/>
          <w:szCs w:val="16"/>
        </w:rPr>
        <w:t>Wymiernemu ograniczeniu dochodów m.st. Warszawy w wyniku zmian prawnych w PIT towarzyszy środowisko wysokiej inflacji.</w:t>
      </w:r>
      <w:r w:rsidRPr="00C10E1B">
        <w:rPr>
          <w:rFonts w:ascii="Verdana" w:hAnsi="Verdana" w:cstheme="minorHAnsi"/>
          <w:sz w:val="16"/>
          <w:szCs w:val="16"/>
        </w:rPr>
        <w:t xml:space="preserve"> Rozwój tendencji inflacyjnych obserwowany od 2021 r. sprzyjał w ograniczony sposób wzrostowi niektórych dochodów, natomiast przede wszystkim stwarzał niespotykaną dotychczas presję na wzrost </w:t>
      </w:r>
      <w:r>
        <w:rPr>
          <w:rFonts w:ascii="Verdana" w:hAnsi="Verdana" w:cstheme="minorHAnsi"/>
          <w:sz w:val="16"/>
          <w:szCs w:val="16"/>
        </w:rPr>
        <w:t>kosztów realizacji zadań Miasta</w:t>
      </w:r>
      <w:r w:rsidRPr="00C10E1B">
        <w:rPr>
          <w:rFonts w:ascii="Verdana" w:hAnsi="Verdana" w:cstheme="minorHAnsi"/>
          <w:sz w:val="16"/>
          <w:szCs w:val="16"/>
        </w:rPr>
        <w:t>.</w:t>
      </w:r>
    </w:p>
    <w:p w:rsidR="00CA374E" w:rsidRPr="00CE1624" w:rsidRDefault="00CA374E" w:rsidP="00CA374E">
      <w:pPr>
        <w:spacing w:before="60" w:after="60"/>
        <w:jc w:val="both"/>
        <w:rPr>
          <w:rFonts w:ascii="Verdana" w:hAnsi="Verdana" w:cstheme="minorHAnsi"/>
          <w:sz w:val="16"/>
          <w:szCs w:val="16"/>
        </w:rPr>
      </w:pPr>
      <w:r>
        <w:rPr>
          <w:rFonts w:ascii="Verdana" w:hAnsi="Verdana" w:cstheme="minorHAnsi"/>
          <w:sz w:val="16"/>
          <w:szCs w:val="16"/>
        </w:rPr>
        <w:t xml:space="preserve">Prognoza Ministerstwa Finansów przedstawiona w projekcie ustawy budżetowej na 2024 rok zakłada nieznaczny spadek średniorocznej inflacji w 2023 r. do </w:t>
      </w:r>
      <w:r w:rsidRPr="00724731">
        <w:rPr>
          <w:rFonts w:ascii="Verdana" w:hAnsi="Verdana" w:cstheme="minorHAnsi"/>
          <w:b/>
          <w:sz w:val="16"/>
          <w:szCs w:val="16"/>
        </w:rPr>
        <w:t>12%</w:t>
      </w:r>
      <w:r>
        <w:rPr>
          <w:rFonts w:ascii="Verdana" w:hAnsi="Verdana" w:cstheme="minorHAnsi"/>
          <w:sz w:val="16"/>
          <w:szCs w:val="16"/>
        </w:rPr>
        <w:t xml:space="preserve"> z poziomu </w:t>
      </w:r>
      <w:r w:rsidRPr="00724731">
        <w:rPr>
          <w:rFonts w:ascii="Verdana" w:hAnsi="Verdana" w:cstheme="minorHAnsi"/>
          <w:b/>
          <w:sz w:val="16"/>
          <w:szCs w:val="16"/>
        </w:rPr>
        <w:t>14,4%</w:t>
      </w:r>
      <w:r>
        <w:rPr>
          <w:rFonts w:ascii="Verdana" w:hAnsi="Verdana" w:cstheme="minorHAnsi"/>
          <w:sz w:val="16"/>
          <w:szCs w:val="16"/>
        </w:rPr>
        <w:t xml:space="preserve"> w 2022 r. W świetle założeń Ministerstwa Finansów 2024 r. ma przynieść znaczny spadek inflacji średniorocznej do poziomu </w:t>
      </w:r>
      <w:r w:rsidRPr="00724731">
        <w:rPr>
          <w:rFonts w:ascii="Verdana" w:hAnsi="Verdana" w:cstheme="minorHAnsi"/>
          <w:b/>
          <w:sz w:val="16"/>
          <w:szCs w:val="16"/>
        </w:rPr>
        <w:t>6,6%</w:t>
      </w:r>
      <w:r>
        <w:rPr>
          <w:rFonts w:ascii="Verdana" w:hAnsi="Verdana" w:cstheme="minorHAnsi"/>
          <w:sz w:val="16"/>
          <w:szCs w:val="16"/>
        </w:rPr>
        <w:t xml:space="preserve">, niemniej i tak będzie to poziom znacząco przewyższający historyczne odczyty, jak również należy pamiętać, że prognoza Ministerstwa Finansów z września 2022 r. przewidywała inflację w 2023 r. na poziomie </w:t>
      </w:r>
      <w:r w:rsidRPr="00724731">
        <w:rPr>
          <w:rFonts w:ascii="Verdana" w:hAnsi="Verdana" w:cstheme="minorHAnsi"/>
          <w:b/>
          <w:sz w:val="16"/>
          <w:szCs w:val="16"/>
        </w:rPr>
        <w:t>9,8%</w:t>
      </w:r>
      <w:r>
        <w:rPr>
          <w:rFonts w:ascii="Verdana" w:hAnsi="Verdana" w:cstheme="minorHAnsi"/>
          <w:sz w:val="16"/>
          <w:szCs w:val="16"/>
        </w:rPr>
        <w:t xml:space="preserve"> następnie zrewidowaną do wyższego poziomu </w:t>
      </w:r>
      <w:r w:rsidRPr="00724731">
        <w:rPr>
          <w:rFonts w:ascii="Verdana" w:hAnsi="Verdana" w:cstheme="minorHAnsi"/>
          <w:b/>
          <w:sz w:val="16"/>
          <w:szCs w:val="16"/>
        </w:rPr>
        <w:t>12%</w:t>
      </w:r>
      <w:r>
        <w:rPr>
          <w:rFonts w:ascii="Verdana" w:hAnsi="Verdana" w:cstheme="minorHAnsi"/>
          <w:sz w:val="16"/>
          <w:szCs w:val="16"/>
        </w:rPr>
        <w:t xml:space="preserve">. </w:t>
      </w:r>
      <w:r w:rsidRPr="0079450E">
        <w:rPr>
          <w:rFonts w:ascii="Verdana" w:hAnsi="Verdana"/>
          <w:b/>
          <w:sz w:val="16"/>
          <w:szCs w:val="16"/>
        </w:rPr>
        <w:t xml:space="preserve">W świetle prognoz </w:t>
      </w:r>
      <w:r w:rsidRPr="0079450E">
        <w:rPr>
          <w:rFonts w:ascii="Verdana" w:hAnsi="Verdana" w:cstheme="minorHAnsi"/>
          <w:b/>
          <w:sz w:val="16"/>
          <w:szCs w:val="16"/>
        </w:rPr>
        <w:t>Ministerstwa Finansów</w:t>
      </w:r>
      <w:r w:rsidRPr="0079450E">
        <w:rPr>
          <w:rFonts w:ascii="Verdana" w:hAnsi="Verdana"/>
          <w:b/>
          <w:sz w:val="16"/>
          <w:szCs w:val="16"/>
        </w:rPr>
        <w:t xml:space="preserve"> prognozowana skumulowana inflacja w latach 2022-2024 ma zatem wynieść</w:t>
      </w:r>
      <w:r w:rsidRPr="00CE1624">
        <w:rPr>
          <w:rFonts w:ascii="Verdana" w:hAnsi="Verdana"/>
          <w:sz w:val="16"/>
          <w:szCs w:val="16"/>
        </w:rPr>
        <w:t xml:space="preserve"> </w:t>
      </w:r>
      <w:r w:rsidRPr="00CE1624">
        <w:rPr>
          <w:rFonts w:ascii="Verdana" w:hAnsi="Verdana"/>
          <w:b/>
          <w:sz w:val="16"/>
          <w:szCs w:val="16"/>
        </w:rPr>
        <w:t>36,6%</w:t>
      </w:r>
      <w:r>
        <w:rPr>
          <w:rFonts w:ascii="Verdana" w:hAnsi="Verdana"/>
          <w:sz w:val="16"/>
          <w:szCs w:val="16"/>
        </w:rPr>
        <w:t>.</w:t>
      </w:r>
    </w:p>
    <w:p w:rsidR="00CA374E" w:rsidRDefault="00CA374E" w:rsidP="00CA374E">
      <w:pPr>
        <w:spacing w:before="60" w:after="60"/>
        <w:jc w:val="both"/>
        <w:rPr>
          <w:rFonts w:ascii="Verdana" w:hAnsi="Verdana" w:cstheme="minorHAnsi"/>
          <w:sz w:val="16"/>
          <w:szCs w:val="16"/>
        </w:rPr>
      </w:pPr>
      <w:r w:rsidRPr="00724731">
        <w:rPr>
          <w:rFonts w:ascii="Verdana" w:hAnsi="Verdana" w:cstheme="minorHAnsi"/>
          <w:sz w:val="16"/>
          <w:szCs w:val="16"/>
        </w:rPr>
        <w:t>Niemający precedensu w okresie obecnej formy prawnej funkcjonowania samorządu warszawskiego charakter zjawisk inflacyjnych, w szczególności wysoki na tle historycznym ogólny wzrost cen, ale także niepewność dalszego rozwoju procesów inflacyjnych, znacznie zwiększają ryzyko powstania napięć budżetow</w:t>
      </w:r>
      <w:r>
        <w:rPr>
          <w:rFonts w:ascii="Verdana" w:hAnsi="Verdana" w:cstheme="minorHAnsi"/>
          <w:sz w:val="16"/>
          <w:szCs w:val="16"/>
        </w:rPr>
        <w:t>ych. Ponadto należy zwrócić uwagę, że z uwagi na zaburzenia inflacyjne porównywalność danych budżetowych z latami wcześniejszymi jest mocno ograniczona.</w:t>
      </w:r>
      <w:r>
        <w:rPr>
          <w:rFonts w:ascii="Verdana" w:hAnsi="Verdana" w:cstheme="minorHAnsi"/>
          <w:sz w:val="16"/>
          <w:szCs w:val="16"/>
        </w:rPr>
        <w:br w:type="page"/>
      </w:r>
    </w:p>
    <w:p w:rsidR="00CA374E" w:rsidRPr="009254D6" w:rsidRDefault="00CA374E" w:rsidP="00CA374E">
      <w:pPr>
        <w:spacing w:before="120" w:after="60" w:line="240" w:lineRule="auto"/>
        <w:rPr>
          <w:rFonts w:ascii="Verdana" w:hAnsi="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4</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ROCZNE WSKAŹNIKI CEN TOWARÓW I USŁUG KONSUMCYJNYCH (POT. INFLACJA) W LATACH 2003-2027</w:t>
      </w:r>
      <w:r>
        <w:rPr>
          <w:rFonts w:ascii="Verdana" w:hAnsi="Verdana" w:cs="Arial"/>
          <w:b/>
          <w:bCs/>
          <w:iCs/>
          <w:sz w:val="14"/>
          <w:szCs w:val="14"/>
        </w:rPr>
        <w:br/>
        <w:t xml:space="preserve">               </w:t>
      </w:r>
      <w:r>
        <w:rPr>
          <w:rFonts w:ascii="Verdana" w:hAnsi="Verdana" w:cs="Arial"/>
          <w:bCs/>
          <w:iCs/>
          <w:sz w:val="14"/>
          <w:szCs w:val="14"/>
        </w:rPr>
        <w:t>(lata 2023-2027</w:t>
      </w:r>
      <w:r w:rsidRPr="009254D6">
        <w:rPr>
          <w:rFonts w:ascii="Verdana" w:hAnsi="Verdana" w:cs="Arial"/>
          <w:bCs/>
          <w:iCs/>
          <w:sz w:val="14"/>
          <w:szCs w:val="14"/>
        </w:rPr>
        <w:t xml:space="preserve"> wg prognozy Ministerstwa Finansów zawartej w </w:t>
      </w:r>
      <w:r>
        <w:rPr>
          <w:rFonts w:ascii="Verdana" w:hAnsi="Verdana" w:cs="Arial"/>
          <w:bCs/>
          <w:iCs/>
          <w:sz w:val="14"/>
          <w:szCs w:val="14"/>
        </w:rPr>
        <w:t xml:space="preserve">uzasadnieniu do </w:t>
      </w:r>
      <w:r w:rsidRPr="009254D6">
        <w:rPr>
          <w:rFonts w:ascii="Verdana" w:hAnsi="Verdana" w:cs="Arial"/>
          <w:bCs/>
          <w:iCs/>
          <w:sz w:val="14"/>
          <w:szCs w:val="14"/>
        </w:rPr>
        <w:t>pro</w:t>
      </w:r>
      <w:r>
        <w:rPr>
          <w:rFonts w:ascii="Verdana" w:hAnsi="Verdana" w:cs="Arial"/>
          <w:bCs/>
          <w:iCs/>
          <w:sz w:val="14"/>
          <w:szCs w:val="14"/>
        </w:rPr>
        <w:t xml:space="preserve">jektu ustawy budżetowej </w:t>
      </w:r>
      <w:r>
        <w:rPr>
          <w:rFonts w:ascii="Verdana" w:hAnsi="Verdana" w:cs="Arial"/>
          <w:bCs/>
          <w:iCs/>
          <w:sz w:val="14"/>
          <w:szCs w:val="14"/>
        </w:rPr>
        <w:br/>
        <w:t xml:space="preserve">               na 2024 r.</w:t>
      </w:r>
      <w:r w:rsidRPr="009254D6">
        <w:rPr>
          <w:rFonts w:ascii="Verdana" w:hAnsi="Verdana" w:cs="Arial"/>
          <w:bCs/>
          <w:iCs/>
          <w:sz w:val="14"/>
          <w:szCs w:val="14"/>
        </w:rPr>
        <w:t>)</w:t>
      </w:r>
    </w:p>
    <w:p w:rsidR="00CA374E" w:rsidRDefault="00CA374E" w:rsidP="00CA374E">
      <w:pPr>
        <w:spacing w:before="60" w:after="60"/>
        <w:jc w:val="both"/>
        <w:rPr>
          <w:rFonts w:ascii="Verdana" w:hAnsi="Verdana" w:cstheme="minorHAnsi"/>
          <w:b/>
          <w:bCs/>
          <w:color w:val="000000"/>
          <w:sz w:val="16"/>
          <w:szCs w:val="16"/>
        </w:rPr>
      </w:pPr>
      <w:r w:rsidRPr="003C5CAF">
        <w:rPr>
          <w:noProof/>
        </w:rPr>
        <w:drawing>
          <wp:inline distT="0" distB="0" distL="0" distR="0" wp14:anchorId="695CDAB6" wp14:editId="2A3F5541">
            <wp:extent cx="5760085" cy="2566576"/>
            <wp:effectExtent l="0" t="0" r="0"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566576"/>
                    </a:xfrm>
                    <a:prstGeom prst="rect">
                      <a:avLst/>
                    </a:prstGeom>
                    <a:noFill/>
                    <a:ln>
                      <a:noFill/>
                    </a:ln>
                  </pic:spPr>
                </pic:pic>
              </a:graphicData>
            </a:graphic>
          </wp:inline>
        </w:drawing>
      </w:r>
      <w:r w:rsidRPr="003C5CAF">
        <w:rPr>
          <w:rFonts w:ascii="Verdana" w:hAnsi="Verdana" w:cstheme="minorHAnsi"/>
          <w:b/>
          <w:bCs/>
          <w:color w:val="000000"/>
          <w:sz w:val="16"/>
          <w:szCs w:val="16"/>
        </w:rPr>
        <w:t xml:space="preserve"> </w:t>
      </w:r>
      <w:r w:rsidRPr="00286AC7">
        <w:rPr>
          <w:rFonts w:ascii="Verdana" w:hAnsi="Verdana" w:cstheme="minorHAnsi"/>
          <w:b/>
          <w:bCs/>
          <w:color w:val="000000"/>
          <w:sz w:val="16"/>
          <w:szCs w:val="16"/>
        </w:rPr>
        <w:t xml:space="preserve">W sytuacji braku zmian legislacyjnych </w:t>
      </w:r>
      <w:r>
        <w:rPr>
          <w:rFonts w:ascii="Verdana" w:hAnsi="Verdana" w:cstheme="minorHAnsi"/>
          <w:b/>
          <w:bCs/>
          <w:color w:val="000000"/>
          <w:sz w:val="16"/>
          <w:szCs w:val="16"/>
        </w:rPr>
        <w:t>przywracających dochody m.st. Warszawy do poziomu zapewniającego pełne finansowanie podstawowych sfer działalności Miasta, m.st. Warszawa</w:t>
      </w:r>
      <w:r w:rsidRPr="00286AC7">
        <w:rPr>
          <w:rFonts w:ascii="Verdana" w:hAnsi="Verdana" w:cstheme="minorHAnsi"/>
          <w:b/>
          <w:bCs/>
          <w:color w:val="000000"/>
          <w:sz w:val="16"/>
          <w:szCs w:val="16"/>
        </w:rPr>
        <w:t xml:space="preserve"> </w:t>
      </w:r>
      <w:r>
        <w:rPr>
          <w:rFonts w:ascii="Verdana" w:hAnsi="Verdana" w:cstheme="minorHAnsi"/>
          <w:b/>
          <w:bCs/>
          <w:color w:val="000000"/>
          <w:sz w:val="16"/>
          <w:szCs w:val="16"/>
        </w:rPr>
        <w:br/>
      </w:r>
      <w:r w:rsidRPr="00286AC7">
        <w:rPr>
          <w:rFonts w:ascii="Verdana" w:hAnsi="Verdana" w:cstheme="minorHAnsi"/>
          <w:b/>
          <w:bCs/>
          <w:color w:val="000000"/>
          <w:sz w:val="16"/>
          <w:szCs w:val="16"/>
        </w:rPr>
        <w:t xml:space="preserve">w 2024 r. i latach kolejnych, podobnie jak w latach 2022-2023, </w:t>
      </w:r>
      <w:r>
        <w:rPr>
          <w:rFonts w:ascii="Verdana" w:hAnsi="Verdana" w:cstheme="minorHAnsi"/>
          <w:b/>
          <w:bCs/>
          <w:color w:val="000000"/>
          <w:sz w:val="16"/>
          <w:szCs w:val="16"/>
        </w:rPr>
        <w:t>będzie</w:t>
      </w:r>
      <w:r w:rsidRPr="00286AC7">
        <w:rPr>
          <w:rFonts w:ascii="Verdana" w:hAnsi="Verdana" w:cstheme="minorHAnsi"/>
          <w:b/>
          <w:bCs/>
          <w:color w:val="000000"/>
          <w:sz w:val="16"/>
          <w:szCs w:val="16"/>
        </w:rPr>
        <w:t xml:space="preserve"> dysponował</w:t>
      </w:r>
      <w:r>
        <w:rPr>
          <w:rFonts w:ascii="Verdana" w:hAnsi="Verdana" w:cstheme="minorHAnsi"/>
          <w:b/>
          <w:bCs/>
          <w:color w:val="000000"/>
          <w:sz w:val="16"/>
          <w:szCs w:val="16"/>
        </w:rPr>
        <w:t>o</w:t>
      </w:r>
      <w:r w:rsidRPr="00286AC7">
        <w:rPr>
          <w:rFonts w:ascii="Verdana" w:hAnsi="Verdana" w:cstheme="minorHAnsi"/>
          <w:b/>
          <w:bCs/>
          <w:color w:val="000000"/>
          <w:sz w:val="16"/>
          <w:szCs w:val="16"/>
        </w:rPr>
        <w:t xml:space="preserve"> znacząco ograniczonymi dochodami ob</w:t>
      </w:r>
      <w:r>
        <w:rPr>
          <w:rFonts w:ascii="Verdana" w:hAnsi="Verdana" w:cstheme="minorHAnsi"/>
          <w:b/>
          <w:bCs/>
          <w:color w:val="000000"/>
          <w:sz w:val="16"/>
          <w:szCs w:val="16"/>
        </w:rPr>
        <w:t>niżającymi możliwości wydatkowe, co w szczególności w dobie podwyższonej inflacji może prowadzić do napięć budżetowych ze względu na trudność w sprostaniu presji wydatkowej.</w:t>
      </w:r>
    </w:p>
    <w:p w:rsidR="00CA374E" w:rsidRPr="005B77FA" w:rsidRDefault="00CA374E" w:rsidP="00CA374E">
      <w:pPr>
        <w:spacing w:before="120" w:after="120"/>
        <w:jc w:val="both"/>
        <w:rPr>
          <w:rFonts w:ascii="Verdana" w:hAnsi="Verdana" w:cstheme="minorHAnsi"/>
          <w:sz w:val="16"/>
          <w:szCs w:val="16"/>
        </w:rPr>
      </w:pPr>
      <w:r w:rsidRPr="005B77FA">
        <w:rPr>
          <w:rFonts w:ascii="Verdana" w:hAnsi="Verdana"/>
          <w:sz w:val="16"/>
          <w:szCs w:val="16"/>
        </w:rPr>
        <w:t xml:space="preserve">Wdrożony jeszcze przed skutkami Polskiego Ładu program adaptacji finansów m.st. Warszawy do ograniczonych na skutek pandemii i zmian systemowych z 2019 r. w podatku PIT możliwości dochodowych przewidywał </w:t>
      </w:r>
      <w:r>
        <w:rPr>
          <w:rFonts w:ascii="Verdana" w:hAnsi="Verdana"/>
          <w:sz w:val="16"/>
          <w:szCs w:val="16"/>
        </w:rPr>
        <w:br/>
      </w:r>
      <w:r w:rsidRPr="005B77FA">
        <w:rPr>
          <w:rFonts w:ascii="Verdana" w:hAnsi="Verdana"/>
          <w:sz w:val="16"/>
          <w:szCs w:val="16"/>
        </w:rPr>
        <w:t>m.in. maksymalne wykorzystanie instrumentu długu w celu zapewnienia ochrony poziomu nakładów inwestycyjnych założonych przed pandemią przy konieczności respektowania ograniczeń fiskalnych wynikających z art. 242 i 243 ustawy o finansach publicznych. W konsekwencji zadłużenie Miasta wg stanu na koniec 2021 r. było o 49,2</w:t>
      </w:r>
      <w:r>
        <w:rPr>
          <w:rFonts w:ascii="Verdana" w:hAnsi="Verdana"/>
          <w:sz w:val="16"/>
          <w:szCs w:val="16"/>
        </w:rPr>
        <w:t xml:space="preserve">% wyższe w stosunku do 2019 r., tj. nastąpił </w:t>
      </w:r>
      <w:r w:rsidRPr="005B77FA">
        <w:rPr>
          <w:rFonts w:ascii="Verdana" w:hAnsi="Verdana"/>
          <w:sz w:val="16"/>
          <w:szCs w:val="16"/>
        </w:rPr>
        <w:t>wzrost</w:t>
      </w:r>
      <w:r>
        <w:rPr>
          <w:rFonts w:ascii="Verdana" w:hAnsi="Verdana"/>
          <w:sz w:val="16"/>
          <w:szCs w:val="16"/>
        </w:rPr>
        <w:t xml:space="preserve"> zadłużenia z 3,896 mld zł (2019 r.) do </w:t>
      </w:r>
      <w:r>
        <w:rPr>
          <w:rFonts w:ascii="Verdana" w:hAnsi="Verdana"/>
          <w:sz w:val="16"/>
          <w:szCs w:val="16"/>
        </w:rPr>
        <w:br/>
        <w:t>5,811 mld zł (2021 r.).</w:t>
      </w:r>
      <w:r w:rsidRPr="005B77FA">
        <w:rPr>
          <w:rFonts w:ascii="Verdana" w:hAnsi="Verdana"/>
          <w:sz w:val="16"/>
          <w:szCs w:val="16"/>
        </w:rPr>
        <w:t xml:space="preserve"> </w:t>
      </w:r>
      <w:r>
        <w:rPr>
          <w:rFonts w:ascii="Verdana" w:hAnsi="Verdana"/>
          <w:sz w:val="16"/>
          <w:szCs w:val="16"/>
        </w:rPr>
        <w:t>Z</w:t>
      </w:r>
      <w:r w:rsidRPr="005B77FA">
        <w:rPr>
          <w:rFonts w:ascii="Verdana" w:hAnsi="Verdana"/>
          <w:sz w:val="16"/>
          <w:szCs w:val="16"/>
        </w:rPr>
        <w:t xml:space="preserve">godnie z </w:t>
      </w:r>
      <w:r>
        <w:rPr>
          <w:rFonts w:ascii="Verdana" w:hAnsi="Verdana"/>
          <w:sz w:val="16"/>
          <w:szCs w:val="16"/>
        </w:rPr>
        <w:t>budżetem na 2023 r., uwzględniającym</w:t>
      </w:r>
      <w:r w:rsidRPr="005B77FA">
        <w:rPr>
          <w:rFonts w:ascii="Verdana" w:hAnsi="Verdana"/>
          <w:sz w:val="16"/>
          <w:szCs w:val="16"/>
        </w:rPr>
        <w:t xml:space="preserve"> już negatywne dla dochodów Miasta skutki Polskiego Ładu</w:t>
      </w:r>
      <w:r>
        <w:rPr>
          <w:rFonts w:ascii="Verdana" w:hAnsi="Verdana"/>
          <w:sz w:val="16"/>
          <w:szCs w:val="16"/>
        </w:rPr>
        <w:t xml:space="preserve"> zapoczątkowane w 2022 r.,</w:t>
      </w:r>
      <w:r w:rsidRPr="005B77FA">
        <w:rPr>
          <w:rFonts w:ascii="Verdana" w:hAnsi="Verdana"/>
          <w:sz w:val="16"/>
          <w:szCs w:val="16"/>
        </w:rPr>
        <w:t xml:space="preserve"> zadłużenie </w:t>
      </w:r>
      <w:r>
        <w:rPr>
          <w:rFonts w:ascii="Verdana" w:hAnsi="Verdana"/>
          <w:sz w:val="16"/>
          <w:szCs w:val="16"/>
        </w:rPr>
        <w:t>na koniec 2023 r.</w:t>
      </w:r>
      <w:r w:rsidRPr="005B77FA">
        <w:rPr>
          <w:rFonts w:ascii="Verdana" w:hAnsi="Verdana"/>
          <w:sz w:val="16"/>
          <w:szCs w:val="16"/>
        </w:rPr>
        <w:t xml:space="preserve"> ma </w:t>
      </w:r>
      <w:r>
        <w:rPr>
          <w:rFonts w:ascii="Verdana" w:hAnsi="Verdana"/>
          <w:sz w:val="16"/>
          <w:szCs w:val="16"/>
        </w:rPr>
        <w:t>wynieść</w:t>
      </w:r>
      <w:r w:rsidRPr="005B77FA">
        <w:rPr>
          <w:rFonts w:ascii="Verdana" w:hAnsi="Verdana"/>
          <w:sz w:val="16"/>
          <w:szCs w:val="16"/>
        </w:rPr>
        <w:t xml:space="preserve"> </w:t>
      </w:r>
      <w:r>
        <w:rPr>
          <w:rFonts w:ascii="Verdana" w:hAnsi="Verdana"/>
          <w:sz w:val="16"/>
          <w:szCs w:val="16"/>
        </w:rPr>
        <w:t>5,669</w:t>
      </w:r>
      <w:r w:rsidRPr="005B77FA">
        <w:rPr>
          <w:rFonts w:ascii="Verdana" w:hAnsi="Verdana"/>
          <w:sz w:val="16"/>
          <w:szCs w:val="16"/>
        </w:rPr>
        <w:t xml:space="preserve"> mld zł </w:t>
      </w:r>
      <w:r>
        <w:rPr>
          <w:rFonts w:ascii="Verdana" w:hAnsi="Verdana"/>
          <w:sz w:val="16"/>
          <w:szCs w:val="16"/>
        </w:rPr>
        <w:br/>
      </w:r>
      <w:r w:rsidRPr="005B77FA">
        <w:rPr>
          <w:rFonts w:ascii="Verdana" w:hAnsi="Verdana"/>
          <w:sz w:val="16"/>
          <w:szCs w:val="16"/>
        </w:rPr>
        <w:t xml:space="preserve">i </w:t>
      </w:r>
      <w:r>
        <w:rPr>
          <w:rFonts w:ascii="Verdana" w:hAnsi="Verdana"/>
          <w:sz w:val="16"/>
          <w:szCs w:val="16"/>
        </w:rPr>
        <w:t xml:space="preserve">następnie zgodnie z budżetem na 2024 r. wzrosnąć do 8,260 mld zł na koniec 2024 r. oraz </w:t>
      </w:r>
      <w:r w:rsidRPr="005B77FA">
        <w:rPr>
          <w:rFonts w:ascii="Verdana" w:hAnsi="Verdana"/>
          <w:sz w:val="16"/>
          <w:szCs w:val="16"/>
        </w:rPr>
        <w:t>maksymalnie do 1</w:t>
      </w:r>
      <w:r>
        <w:rPr>
          <w:rFonts w:ascii="Verdana" w:hAnsi="Verdana"/>
          <w:sz w:val="16"/>
          <w:szCs w:val="16"/>
        </w:rPr>
        <w:t>1,321</w:t>
      </w:r>
      <w:r w:rsidRPr="005B77FA">
        <w:rPr>
          <w:rFonts w:ascii="Verdana" w:hAnsi="Verdana"/>
          <w:sz w:val="16"/>
          <w:szCs w:val="16"/>
        </w:rPr>
        <w:t xml:space="preserve"> mld zł</w:t>
      </w:r>
      <w:r>
        <w:rPr>
          <w:rFonts w:ascii="Verdana" w:hAnsi="Verdana"/>
          <w:sz w:val="16"/>
          <w:szCs w:val="16"/>
        </w:rPr>
        <w:t xml:space="preserve"> na koniec 2027 r. wedle założeń przyjętych w Wieloletniej Prognozy Finansowej edycji 2024-2050</w:t>
      </w:r>
      <w:r w:rsidRPr="005B77FA">
        <w:rPr>
          <w:rFonts w:ascii="Verdana" w:hAnsi="Verdana"/>
          <w:sz w:val="16"/>
          <w:szCs w:val="16"/>
        </w:rPr>
        <w:t xml:space="preserve">. </w:t>
      </w:r>
      <w:r w:rsidRPr="005B77FA">
        <w:rPr>
          <w:rFonts w:ascii="Verdana" w:hAnsi="Verdana"/>
          <w:b/>
          <w:sz w:val="16"/>
          <w:szCs w:val="16"/>
        </w:rPr>
        <w:t xml:space="preserve">Dzięki zaplanowanemu wzrostowi zadłużenia w okresie 2023–2027 istnieje możliwość utrzymania </w:t>
      </w:r>
      <w:r>
        <w:rPr>
          <w:rFonts w:ascii="Verdana" w:hAnsi="Verdana"/>
          <w:b/>
          <w:sz w:val="16"/>
          <w:szCs w:val="16"/>
        </w:rPr>
        <w:br/>
      </w:r>
      <w:r w:rsidRPr="005B77FA">
        <w:rPr>
          <w:rFonts w:ascii="Verdana" w:hAnsi="Verdana"/>
          <w:b/>
          <w:sz w:val="16"/>
          <w:szCs w:val="16"/>
        </w:rPr>
        <w:t xml:space="preserve">w WPF programu inwestycyjnego Miasta bez wprowadzania ograniczeń w tym zakresie, potencjalnie związanych z ograniczeniami dochodowymi wywołanymi programem Polski Ład. Natomiast </w:t>
      </w:r>
      <w:r>
        <w:rPr>
          <w:rFonts w:ascii="Verdana" w:hAnsi="Verdana"/>
          <w:b/>
          <w:sz w:val="16"/>
          <w:szCs w:val="16"/>
        </w:rPr>
        <w:br/>
      </w:r>
      <w:r w:rsidRPr="005B77FA">
        <w:rPr>
          <w:rFonts w:ascii="Verdana" w:hAnsi="Verdana"/>
          <w:b/>
          <w:sz w:val="16"/>
          <w:szCs w:val="16"/>
        </w:rPr>
        <w:t xml:space="preserve">w dłuższym okresie skutki Polskiego Ładu poprzez trwale istotne ograniczenie dochodów własnych Miasta będą negatywnie oddziaływały na możliwości wydatkowe Miasta, w tym również na </w:t>
      </w:r>
      <w:r>
        <w:rPr>
          <w:rFonts w:ascii="Verdana" w:hAnsi="Verdana"/>
          <w:b/>
          <w:sz w:val="16"/>
          <w:szCs w:val="16"/>
        </w:rPr>
        <w:t xml:space="preserve">możliwości powiększenia </w:t>
      </w:r>
      <w:r w:rsidRPr="005B77FA">
        <w:rPr>
          <w:rFonts w:ascii="Verdana" w:hAnsi="Verdana"/>
          <w:b/>
          <w:sz w:val="16"/>
          <w:szCs w:val="16"/>
        </w:rPr>
        <w:t>potencjał</w:t>
      </w:r>
      <w:r>
        <w:rPr>
          <w:rFonts w:ascii="Verdana" w:hAnsi="Verdana"/>
          <w:b/>
          <w:sz w:val="16"/>
          <w:szCs w:val="16"/>
        </w:rPr>
        <w:t>u inwestycyjnego</w:t>
      </w:r>
      <w:r w:rsidRPr="005B77FA">
        <w:rPr>
          <w:rFonts w:ascii="Verdana" w:hAnsi="Verdana"/>
          <w:b/>
          <w:sz w:val="16"/>
          <w:szCs w:val="16"/>
        </w:rPr>
        <w:t>.</w:t>
      </w:r>
    </w:p>
    <w:p w:rsidR="00CA374E" w:rsidRDefault="00CA374E" w:rsidP="00CA374E">
      <w:pPr>
        <w:spacing w:before="120" w:after="120"/>
        <w:jc w:val="both"/>
        <w:rPr>
          <w:rStyle w:val="markedcontent"/>
          <w:rFonts w:ascii="Verdana" w:hAnsi="Verdana" w:cstheme="minorHAnsi"/>
          <w:sz w:val="16"/>
          <w:szCs w:val="16"/>
        </w:rPr>
      </w:pPr>
      <w:r w:rsidRPr="005B77FA">
        <w:rPr>
          <w:rStyle w:val="markedcontent"/>
          <w:rFonts w:ascii="Verdana" w:hAnsi="Verdana" w:cstheme="minorHAnsi"/>
          <w:b/>
          <w:sz w:val="16"/>
          <w:szCs w:val="16"/>
        </w:rPr>
        <w:t xml:space="preserve">Istotne ograniczenie potencjału dochodowego m.st. Warszawy w konsekwencji rozwiązań programu Polski Ład znalazło odzwierciedlenie w znaczącym </w:t>
      </w:r>
      <w:r>
        <w:rPr>
          <w:rStyle w:val="markedcontent"/>
          <w:rFonts w:ascii="Verdana" w:hAnsi="Verdana" w:cstheme="minorHAnsi"/>
          <w:b/>
          <w:sz w:val="16"/>
          <w:szCs w:val="16"/>
        </w:rPr>
        <w:t xml:space="preserve">pogorszeniu </w:t>
      </w:r>
      <w:r w:rsidRPr="005B77FA">
        <w:rPr>
          <w:rStyle w:val="markedcontent"/>
          <w:rFonts w:ascii="Verdana" w:hAnsi="Verdana" w:cstheme="minorHAnsi"/>
          <w:b/>
          <w:sz w:val="16"/>
          <w:szCs w:val="16"/>
        </w:rPr>
        <w:t>wyniku budżetowego</w:t>
      </w:r>
      <w:r>
        <w:rPr>
          <w:rStyle w:val="markedcontent"/>
          <w:rFonts w:ascii="Verdana" w:hAnsi="Verdana" w:cstheme="minorHAnsi"/>
          <w:b/>
          <w:sz w:val="16"/>
          <w:szCs w:val="16"/>
        </w:rPr>
        <w:t xml:space="preserve"> obserwowanym już od pierwszego roku obowiązywania Programu</w:t>
      </w:r>
      <w:r w:rsidRPr="005B77FA">
        <w:rPr>
          <w:rStyle w:val="markedcontent"/>
          <w:rFonts w:ascii="Verdana" w:hAnsi="Verdana" w:cstheme="minorHAnsi"/>
          <w:sz w:val="16"/>
          <w:szCs w:val="16"/>
        </w:rPr>
        <w:t xml:space="preserve">. </w:t>
      </w:r>
      <w:r w:rsidRPr="00C06D33">
        <w:rPr>
          <w:rStyle w:val="markedcontent"/>
          <w:rFonts w:ascii="Verdana" w:hAnsi="Verdana" w:cstheme="minorHAnsi"/>
          <w:b/>
          <w:sz w:val="16"/>
          <w:szCs w:val="16"/>
        </w:rPr>
        <w:t xml:space="preserve">Dodatni wynik budżetowy skurczył się </w:t>
      </w:r>
      <w:r>
        <w:rPr>
          <w:rStyle w:val="markedcontent"/>
          <w:rFonts w:ascii="Verdana" w:hAnsi="Verdana" w:cstheme="minorHAnsi"/>
          <w:b/>
          <w:sz w:val="16"/>
          <w:szCs w:val="16"/>
        </w:rPr>
        <w:br/>
      </w:r>
      <w:r w:rsidRPr="00C06D33">
        <w:rPr>
          <w:rStyle w:val="markedcontent"/>
          <w:rFonts w:ascii="Verdana" w:hAnsi="Verdana" w:cstheme="minorHAnsi"/>
          <w:b/>
          <w:sz w:val="16"/>
          <w:szCs w:val="16"/>
        </w:rPr>
        <w:t>z 1,309 mld zł w 2021 r. do 496,6 mln zł w 2022 r.</w:t>
      </w:r>
      <w:r>
        <w:rPr>
          <w:rStyle w:val="markedcontent"/>
          <w:rFonts w:ascii="Verdana" w:hAnsi="Verdana" w:cstheme="minorHAnsi"/>
          <w:b/>
          <w:sz w:val="16"/>
          <w:szCs w:val="16"/>
        </w:rPr>
        <w:t xml:space="preserve">, a następnie w 2023 r. osiągnął wartość ujemną </w:t>
      </w:r>
      <w:r>
        <w:rPr>
          <w:rStyle w:val="markedcontent"/>
          <w:rFonts w:ascii="Verdana" w:hAnsi="Verdana" w:cstheme="minorHAnsi"/>
          <w:b/>
          <w:sz w:val="16"/>
          <w:szCs w:val="16"/>
        </w:rPr>
        <w:br/>
        <w:t xml:space="preserve">i jest deficytem w kwocie </w:t>
      </w:r>
      <w:r>
        <w:rPr>
          <w:rFonts w:ascii="Verdana" w:hAnsi="Verdana" w:cstheme="minorHAnsi"/>
          <w:b/>
          <w:sz w:val="16"/>
          <w:szCs w:val="16"/>
        </w:rPr>
        <w:t>4,051</w:t>
      </w:r>
      <w:r w:rsidRPr="00B62341">
        <w:rPr>
          <w:rFonts w:ascii="Verdana" w:hAnsi="Verdana" w:cstheme="minorHAnsi"/>
          <w:b/>
          <w:sz w:val="16"/>
          <w:szCs w:val="16"/>
        </w:rPr>
        <w:t xml:space="preserve"> mld zł</w:t>
      </w:r>
      <w:r>
        <w:rPr>
          <w:rFonts w:ascii="Verdana" w:hAnsi="Verdana" w:cstheme="minorHAnsi"/>
          <w:sz w:val="16"/>
          <w:szCs w:val="16"/>
        </w:rPr>
        <w:t xml:space="preserve"> </w:t>
      </w:r>
      <w:r>
        <w:rPr>
          <w:rFonts w:ascii="Verdana" w:hAnsi="Verdana" w:cstheme="minorHAnsi"/>
          <w:b/>
          <w:sz w:val="16"/>
          <w:szCs w:val="16"/>
        </w:rPr>
        <w:t>(plan na 14 grudnia; wg stanu na początek roku planowany deficyt wynosił 4,150 mld zł).</w:t>
      </w:r>
      <w:r>
        <w:rPr>
          <w:rStyle w:val="markedcontent"/>
          <w:rFonts w:ascii="Verdana" w:hAnsi="Verdana" w:cstheme="minorHAnsi"/>
          <w:sz w:val="16"/>
          <w:szCs w:val="16"/>
        </w:rPr>
        <w:br w:type="page"/>
      </w:r>
    </w:p>
    <w:p w:rsidR="00CA374E" w:rsidRPr="005B77FA" w:rsidRDefault="00CA374E" w:rsidP="00CA374E">
      <w:pPr>
        <w:spacing w:before="120" w:after="120"/>
        <w:jc w:val="both"/>
        <w:rPr>
          <w:rFonts w:ascii="Verdana" w:hAnsi="Verdana" w:cstheme="minorHAnsi"/>
          <w:sz w:val="16"/>
          <w:szCs w:val="16"/>
        </w:rPr>
      </w:pPr>
      <w:r w:rsidRPr="005B77FA">
        <w:rPr>
          <w:rFonts w:ascii="Verdana" w:hAnsi="Verdana" w:cstheme="minorHAnsi"/>
          <w:b/>
          <w:sz w:val="16"/>
          <w:szCs w:val="16"/>
        </w:rPr>
        <w:lastRenderedPageBreak/>
        <w:t>Deficyt budżetowy</w:t>
      </w:r>
      <w:r w:rsidRPr="005B77FA">
        <w:rPr>
          <w:rFonts w:ascii="Verdana" w:hAnsi="Verdana" w:cstheme="minorHAnsi"/>
          <w:sz w:val="16"/>
          <w:szCs w:val="16"/>
        </w:rPr>
        <w:t xml:space="preserve"> zapisany w uchwale budżetowej </w:t>
      </w:r>
      <w:r w:rsidRPr="005B77FA">
        <w:rPr>
          <w:rFonts w:ascii="Verdana" w:hAnsi="Verdana" w:cstheme="minorHAnsi"/>
          <w:b/>
          <w:sz w:val="16"/>
          <w:szCs w:val="16"/>
        </w:rPr>
        <w:t>na 2023 r.</w:t>
      </w:r>
      <w:r w:rsidRPr="005B77FA">
        <w:rPr>
          <w:rStyle w:val="Odwoanieprzypisudolnego"/>
          <w:rFonts w:ascii="Verdana" w:hAnsi="Verdana" w:cstheme="minorHAnsi"/>
          <w:sz w:val="16"/>
          <w:szCs w:val="16"/>
        </w:rPr>
        <w:footnoteReference w:id="9"/>
      </w:r>
      <w:r w:rsidRPr="005B77FA">
        <w:rPr>
          <w:rFonts w:ascii="Verdana" w:hAnsi="Verdana" w:cstheme="minorHAnsi"/>
          <w:sz w:val="16"/>
          <w:szCs w:val="16"/>
        </w:rPr>
        <w:t xml:space="preserve"> </w:t>
      </w:r>
      <w:r w:rsidRPr="005B77FA">
        <w:rPr>
          <w:rFonts w:ascii="Verdana" w:hAnsi="Verdana" w:cstheme="minorHAnsi"/>
          <w:b/>
          <w:sz w:val="16"/>
          <w:szCs w:val="16"/>
        </w:rPr>
        <w:t>został zaplanowany na historycznie wysokim poziomie wynoszącym 4,150 mld zł</w:t>
      </w:r>
      <w:r w:rsidRPr="005B77FA">
        <w:rPr>
          <w:rFonts w:ascii="Verdana" w:hAnsi="Verdana" w:cstheme="minorHAnsi"/>
          <w:sz w:val="16"/>
          <w:szCs w:val="16"/>
        </w:rPr>
        <w:t xml:space="preserve">. Podobna sytuacja ma miejsce w przypadku wyniku operacyjnego. </w:t>
      </w:r>
      <w:r w:rsidRPr="005B77FA">
        <w:rPr>
          <w:rFonts w:ascii="Verdana" w:hAnsi="Verdana" w:cstheme="minorHAnsi"/>
          <w:b/>
          <w:sz w:val="16"/>
          <w:szCs w:val="16"/>
        </w:rPr>
        <w:t xml:space="preserve">W uchwale budżetowej na 2023 r. deficyt operacyjny został zaplanowany na poziomie 1,496 mld zł. </w:t>
      </w:r>
      <w:r w:rsidRPr="005B77FA">
        <w:rPr>
          <w:rFonts w:ascii="Verdana" w:hAnsi="Verdana" w:cstheme="minorHAnsi"/>
          <w:sz w:val="16"/>
          <w:szCs w:val="16"/>
        </w:rPr>
        <w:t xml:space="preserve">Jest to rekordowy poziom w 15-letniej historii, tj. w okresie 2008-2022, i ponad 5-krotnie wyższy niż dotąd planowane deficyty operacyjne z lat 2010-2011 i 2022 r. (planowane deficyty operacyjne odpowiednio 291, 286 i 231 mln zł, średnio 270 mln zł). W pozostałych latach od 2008 r. uchwały budżetowe przewidywały wystąpienie nadwyżek operacyjnych. </w:t>
      </w:r>
      <w:r>
        <w:rPr>
          <w:rFonts w:ascii="Verdana" w:hAnsi="Verdana" w:cstheme="minorHAnsi"/>
          <w:sz w:val="16"/>
          <w:szCs w:val="16"/>
        </w:rPr>
        <w:t xml:space="preserve">W stosunku do uchwały budżetowej na 2023 r. dokonane w trakcie 2023 r. zmiany w budżecie spowodowały utrzymanie planowanego deficytu budżetu na zbliżonym poziomie </w:t>
      </w:r>
      <w:r>
        <w:rPr>
          <w:rFonts w:ascii="Verdana" w:hAnsi="Verdana" w:cstheme="minorHAnsi"/>
          <w:sz w:val="16"/>
          <w:szCs w:val="16"/>
        </w:rPr>
        <w:br/>
      </w:r>
      <w:r>
        <w:rPr>
          <w:rFonts w:ascii="Verdana" w:hAnsi="Verdana" w:cstheme="minorHAnsi"/>
          <w:b/>
          <w:sz w:val="16"/>
          <w:szCs w:val="16"/>
        </w:rPr>
        <w:t>4,051</w:t>
      </w:r>
      <w:r w:rsidRPr="00B62341">
        <w:rPr>
          <w:rFonts w:ascii="Verdana" w:hAnsi="Verdana" w:cstheme="minorHAnsi"/>
          <w:b/>
          <w:sz w:val="16"/>
          <w:szCs w:val="16"/>
        </w:rPr>
        <w:t xml:space="preserve"> mld zł</w:t>
      </w:r>
      <w:r>
        <w:rPr>
          <w:rFonts w:ascii="Verdana" w:hAnsi="Verdana" w:cstheme="minorHAnsi"/>
          <w:sz w:val="16"/>
          <w:szCs w:val="16"/>
        </w:rPr>
        <w:t xml:space="preserve"> (4,150 mld zł na początku roku) i nieznacznie obniżyły planowany deficyt operacyjny do poziomu </w:t>
      </w:r>
      <w:r>
        <w:rPr>
          <w:rFonts w:ascii="Verdana" w:hAnsi="Verdana" w:cstheme="minorHAnsi"/>
          <w:b/>
          <w:sz w:val="16"/>
          <w:szCs w:val="16"/>
        </w:rPr>
        <w:t>1,319</w:t>
      </w:r>
      <w:r w:rsidRPr="00B62341">
        <w:rPr>
          <w:rFonts w:ascii="Verdana" w:hAnsi="Verdana" w:cstheme="minorHAnsi"/>
          <w:b/>
          <w:sz w:val="16"/>
          <w:szCs w:val="16"/>
        </w:rPr>
        <w:t xml:space="preserve"> mld zł</w:t>
      </w:r>
      <w:r>
        <w:rPr>
          <w:rFonts w:ascii="Verdana" w:hAnsi="Verdana" w:cstheme="minorHAnsi"/>
          <w:sz w:val="16"/>
          <w:szCs w:val="16"/>
        </w:rPr>
        <w:t xml:space="preserve"> (1,496 mld zł na początku roku).</w:t>
      </w:r>
    </w:p>
    <w:p w:rsidR="00CA374E" w:rsidRPr="005B77FA" w:rsidRDefault="00CA374E" w:rsidP="00CA374E">
      <w:pPr>
        <w:tabs>
          <w:tab w:val="left" w:pos="567"/>
        </w:tabs>
        <w:spacing w:before="120" w:after="120"/>
        <w:jc w:val="both"/>
        <w:rPr>
          <w:rFonts w:ascii="Verdana" w:hAnsi="Verdana"/>
          <w:sz w:val="16"/>
          <w:szCs w:val="16"/>
        </w:rPr>
      </w:pPr>
      <w:r w:rsidRPr="005B77FA">
        <w:rPr>
          <w:rFonts w:ascii="Verdana" w:hAnsi="Verdana" w:cstheme="minorHAnsi"/>
          <w:b/>
          <w:sz w:val="16"/>
          <w:szCs w:val="16"/>
        </w:rPr>
        <w:t xml:space="preserve">Realizacja budżetu w okresie </w:t>
      </w:r>
      <w:r>
        <w:rPr>
          <w:rFonts w:ascii="Verdana" w:hAnsi="Verdana" w:cstheme="minorHAnsi"/>
          <w:b/>
          <w:sz w:val="16"/>
          <w:szCs w:val="16"/>
        </w:rPr>
        <w:t>dziesięciu</w:t>
      </w:r>
      <w:r w:rsidRPr="005B77FA">
        <w:rPr>
          <w:rFonts w:ascii="Verdana" w:hAnsi="Verdana" w:cstheme="minorHAnsi"/>
          <w:b/>
          <w:sz w:val="16"/>
          <w:szCs w:val="16"/>
        </w:rPr>
        <w:t xml:space="preserve"> miesięcy 2023 r. pokazuje, że finanse m.st. Warszawy w roku bieżącym podobnie jak w roku ubiegłym doświadczają negatywnego wpływu sytuacji gospodarczo-prawnej.</w:t>
      </w:r>
      <w:r w:rsidRPr="005B77FA">
        <w:rPr>
          <w:rFonts w:ascii="Verdana" w:hAnsi="Verdana" w:cstheme="minorHAnsi"/>
          <w:sz w:val="16"/>
          <w:szCs w:val="16"/>
        </w:rPr>
        <w:t xml:space="preserve"> </w:t>
      </w:r>
      <w:r w:rsidRPr="005B77FA">
        <w:rPr>
          <w:rFonts w:ascii="Verdana" w:hAnsi="Verdana"/>
          <w:sz w:val="16"/>
          <w:szCs w:val="16"/>
        </w:rPr>
        <w:t xml:space="preserve">Realizacja budżetu po </w:t>
      </w:r>
      <w:r>
        <w:rPr>
          <w:rFonts w:ascii="Verdana" w:hAnsi="Verdana"/>
          <w:sz w:val="16"/>
          <w:szCs w:val="16"/>
        </w:rPr>
        <w:t>październiku</w:t>
      </w:r>
      <w:r w:rsidRPr="005B77FA">
        <w:rPr>
          <w:rFonts w:ascii="Verdana" w:hAnsi="Verdana"/>
          <w:sz w:val="16"/>
          <w:szCs w:val="16"/>
        </w:rPr>
        <w:t xml:space="preserve"> 2023 r. </w:t>
      </w:r>
      <w:r>
        <w:rPr>
          <w:rFonts w:ascii="Verdana" w:hAnsi="Verdana"/>
          <w:sz w:val="16"/>
          <w:szCs w:val="16"/>
        </w:rPr>
        <w:t>odznaczała się znacznym pogorszeniem wyników</w:t>
      </w:r>
      <w:r w:rsidRPr="005B77FA">
        <w:rPr>
          <w:rFonts w:ascii="Verdana" w:hAnsi="Verdana"/>
          <w:sz w:val="16"/>
          <w:szCs w:val="16"/>
        </w:rPr>
        <w:t xml:space="preserve"> niż </w:t>
      </w:r>
      <w:r>
        <w:rPr>
          <w:rFonts w:ascii="Verdana" w:hAnsi="Verdana"/>
          <w:sz w:val="16"/>
          <w:szCs w:val="16"/>
        </w:rPr>
        <w:br/>
      </w:r>
      <w:r w:rsidRPr="005B77FA">
        <w:rPr>
          <w:rFonts w:ascii="Verdana" w:hAnsi="Verdana"/>
          <w:sz w:val="16"/>
          <w:szCs w:val="16"/>
        </w:rPr>
        <w:t>w analogicznym okresie 2022 r. zarówno w zakresie:</w:t>
      </w:r>
    </w:p>
    <w:p w:rsidR="00CA374E" w:rsidRDefault="00CA374E" w:rsidP="00CA374E">
      <w:pPr>
        <w:pStyle w:val="Akapitzlist"/>
        <w:numPr>
          <w:ilvl w:val="0"/>
          <w:numId w:val="64"/>
        </w:numPr>
        <w:tabs>
          <w:tab w:val="left" w:pos="567"/>
        </w:tabs>
        <w:spacing w:before="120" w:after="120"/>
        <w:ind w:left="567" w:hanging="283"/>
        <w:contextualSpacing w:val="0"/>
        <w:rPr>
          <w:rFonts w:ascii="Verdana" w:hAnsi="Verdana"/>
          <w:sz w:val="16"/>
          <w:szCs w:val="16"/>
        </w:rPr>
      </w:pPr>
      <w:r w:rsidRPr="005B77FA">
        <w:rPr>
          <w:rFonts w:ascii="Verdana" w:hAnsi="Verdana"/>
          <w:b/>
          <w:sz w:val="16"/>
          <w:szCs w:val="16"/>
        </w:rPr>
        <w:t>wyniku budżetowego</w:t>
      </w:r>
      <w:r w:rsidRPr="005B77FA">
        <w:rPr>
          <w:rFonts w:ascii="Verdana" w:hAnsi="Verdana"/>
          <w:sz w:val="16"/>
          <w:szCs w:val="16"/>
        </w:rPr>
        <w:t xml:space="preserve">: o </w:t>
      </w:r>
      <w:r>
        <w:rPr>
          <w:rFonts w:ascii="Verdana" w:hAnsi="Verdana"/>
          <w:b/>
          <w:sz w:val="16"/>
          <w:szCs w:val="16"/>
        </w:rPr>
        <w:t>1,716 mld</w:t>
      </w:r>
      <w:r w:rsidRPr="000C3807">
        <w:rPr>
          <w:rFonts w:ascii="Verdana" w:hAnsi="Verdana"/>
          <w:b/>
          <w:sz w:val="16"/>
          <w:szCs w:val="16"/>
        </w:rPr>
        <w:t xml:space="preserve"> zł</w:t>
      </w:r>
      <w:r>
        <w:rPr>
          <w:rFonts w:ascii="Verdana" w:hAnsi="Verdana"/>
          <w:sz w:val="16"/>
          <w:szCs w:val="16"/>
        </w:rPr>
        <w:t xml:space="preserve"> </w:t>
      </w:r>
      <w:r w:rsidRPr="000C3807">
        <w:rPr>
          <w:rFonts w:ascii="Verdana" w:hAnsi="Verdana"/>
          <w:b/>
          <w:sz w:val="16"/>
          <w:szCs w:val="16"/>
        </w:rPr>
        <w:t>mniej r/r</w:t>
      </w:r>
      <w:r>
        <w:rPr>
          <w:rFonts w:ascii="Verdana" w:hAnsi="Verdana"/>
          <w:sz w:val="16"/>
          <w:szCs w:val="16"/>
        </w:rPr>
        <w:t xml:space="preserve"> (10 m-cy 2023 r. / 10 m-cy 2022 r.)</w:t>
      </w:r>
      <w:r w:rsidRPr="005B77FA">
        <w:rPr>
          <w:rFonts w:ascii="Verdana" w:hAnsi="Verdana"/>
          <w:sz w:val="16"/>
          <w:szCs w:val="16"/>
        </w:rPr>
        <w:t xml:space="preserve">; </w:t>
      </w:r>
      <w:r>
        <w:rPr>
          <w:rFonts w:ascii="Verdana" w:hAnsi="Verdana"/>
          <w:sz w:val="16"/>
          <w:szCs w:val="16"/>
        </w:rPr>
        <w:br/>
        <w:t xml:space="preserve">                                    </w:t>
      </w:r>
      <w:r w:rsidRPr="005B77FA">
        <w:rPr>
          <w:rFonts w:ascii="Verdana" w:hAnsi="Verdana"/>
          <w:sz w:val="16"/>
          <w:szCs w:val="16"/>
        </w:rPr>
        <w:t>spadek z +1,</w:t>
      </w:r>
      <w:r>
        <w:rPr>
          <w:rFonts w:ascii="Verdana" w:hAnsi="Verdana"/>
          <w:sz w:val="16"/>
          <w:szCs w:val="16"/>
        </w:rPr>
        <w:t>472</w:t>
      </w:r>
      <w:r w:rsidRPr="005B77FA">
        <w:rPr>
          <w:rFonts w:ascii="Verdana" w:hAnsi="Verdana"/>
          <w:sz w:val="16"/>
          <w:szCs w:val="16"/>
        </w:rPr>
        <w:t xml:space="preserve"> mld zł w 2022 r. do </w:t>
      </w:r>
      <w:r>
        <w:rPr>
          <w:rFonts w:ascii="Verdana" w:hAnsi="Verdana"/>
          <w:sz w:val="16"/>
          <w:szCs w:val="16"/>
        </w:rPr>
        <w:t>-244</w:t>
      </w:r>
      <w:r w:rsidRPr="005B77FA">
        <w:rPr>
          <w:rFonts w:ascii="Verdana" w:hAnsi="Verdana"/>
          <w:sz w:val="16"/>
          <w:szCs w:val="16"/>
        </w:rPr>
        <w:t xml:space="preserve"> mln zł w 2023 r.</w:t>
      </w:r>
      <w:r>
        <w:rPr>
          <w:rFonts w:ascii="Verdana" w:hAnsi="Verdana"/>
          <w:sz w:val="16"/>
          <w:szCs w:val="16"/>
        </w:rPr>
        <w:t xml:space="preserve"> </w:t>
      </w:r>
    </w:p>
    <w:p w:rsidR="00CA374E" w:rsidRPr="005B77FA" w:rsidRDefault="00CA374E" w:rsidP="00CA374E">
      <w:pPr>
        <w:pStyle w:val="Akapitzlist"/>
        <w:tabs>
          <w:tab w:val="left" w:pos="567"/>
        </w:tabs>
        <w:spacing w:before="120" w:after="120"/>
        <w:ind w:left="567"/>
        <w:contextualSpacing w:val="0"/>
        <w:jc w:val="both"/>
        <w:rPr>
          <w:rFonts w:ascii="Verdana" w:hAnsi="Verdana"/>
          <w:sz w:val="16"/>
          <w:szCs w:val="16"/>
        </w:rPr>
      </w:pPr>
      <w:r w:rsidRPr="005B77FA">
        <w:rPr>
          <w:rFonts w:ascii="Verdana" w:hAnsi="Verdana"/>
          <w:sz w:val="16"/>
          <w:szCs w:val="16"/>
        </w:rPr>
        <w:t>oraz</w:t>
      </w:r>
    </w:p>
    <w:p w:rsidR="00CA374E" w:rsidRPr="005B77FA" w:rsidRDefault="00CA374E" w:rsidP="00CA374E">
      <w:pPr>
        <w:pStyle w:val="Akapitzlist"/>
        <w:numPr>
          <w:ilvl w:val="0"/>
          <w:numId w:val="64"/>
        </w:numPr>
        <w:tabs>
          <w:tab w:val="left" w:pos="567"/>
        </w:tabs>
        <w:spacing w:before="120" w:after="120"/>
        <w:ind w:left="567" w:hanging="283"/>
        <w:contextualSpacing w:val="0"/>
        <w:rPr>
          <w:rFonts w:ascii="Verdana" w:hAnsi="Verdana"/>
          <w:sz w:val="16"/>
          <w:szCs w:val="16"/>
        </w:rPr>
      </w:pPr>
      <w:r w:rsidRPr="005B77FA">
        <w:rPr>
          <w:rFonts w:ascii="Verdana" w:hAnsi="Verdana"/>
          <w:b/>
          <w:sz w:val="16"/>
          <w:szCs w:val="16"/>
        </w:rPr>
        <w:t>wyniku operacyjnego</w:t>
      </w:r>
      <w:r w:rsidRPr="005B77FA">
        <w:rPr>
          <w:rFonts w:ascii="Verdana" w:hAnsi="Verdana"/>
          <w:sz w:val="16"/>
          <w:szCs w:val="16"/>
        </w:rPr>
        <w:t xml:space="preserve">: o </w:t>
      </w:r>
      <w:r>
        <w:rPr>
          <w:rFonts w:ascii="Verdana" w:hAnsi="Verdana"/>
          <w:b/>
          <w:sz w:val="16"/>
          <w:szCs w:val="16"/>
        </w:rPr>
        <w:t>1,069 mld</w:t>
      </w:r>
      <w:r w:rsidRPr="000C3807">
        <w:rPr>
          <w:rFonts w:ascii="Verdana" w:hAnsi="Verdana"/>
          <w:b/>
          <w:sz w:val="16"/>
          <w:szCs w:val="16"/>
        </w:rPr>
        <w:t xml:space="preserve"> zł mniej</w:t>
      </w:r>
      <w:r>
        <w:rPr>
          <w:rFonts w:ascii="Verdana" w:hAnsi="Verdana"/>
          <w:sz w:val="16"/>
          <w:szCs w:val="16"/>
        </w:rPr>
        <w:t xml:space="preserve"> </w:t>
      </w:r>
      <w:r w:rsidRPr="000C3807">
        <w:rPr>
          <w:rFonts w:ascii="Verdana" w:hAnsi="Verdana"/>
          <w:b/>
          <w:sz w:val="16"/>
          <w:szCs w:val="16"/>
        </w:rPr>
        <w:t>r/r</w:t>
      </w:r>
      <w:r>
        <w:rPr>
          <w:rFonts w:ascii="Verdana" w:hAnsi="Verdana"/>
          <w:sz w:val="16"/>
          <w:szCs w:val="16"/>
        </w:rPr>
        <w:t xml:space="preserve"> (10 m-cy 2023 r. / 10 m-cy 2022 r.);</w:t>
      </w:r>
      <w:r>
        <w:rPr>
          <w:rFonts w:ascii="Verdana" w:hAnsi="Verdana"/>
          <w:sz w:val="16"/>
          <w:szCs w:val="16"/>
        </w:rPr>
        <w:br/>
        <w:t xml:space="preserve">                                    </w:t>
      </w:r>
      <w:r w:rsidRPr="005B77FA">
        <w:rPr>
          <w:rFonts w:ascii="Verdana" w:hAnsi="Verdana"/>
          <w:sz w:val="16"/>
          <w:szCs w:val="16"/>
        </w:rPr>
        <w:t>spadek z +</w:t>
      </w:r>
      <w:r>
        <w:rPr>
          <w:rFonts w:ascii="Verdana" w:hAnsi="Verdana"/>
          <w:sz w:val="16"/>
          <w:szCs w:val="16"/>
        </w:rPr>
        <w:t>2,301</w:t>
      </w:r>
      <w:r w:rsidRPr="005B77FA">
        <w:rPr>
          <w:rFonts w:ascii="Verdana" w:hAnsi="Verdana"/>
          <w:sz w:val="16"/>
          <w:szCs w:val="16"/>
        </w:rPr>
        <w:t xml:space="preserve"> mld zł w 2022 r. do +1,</w:t>
      </w:r>
      <w:r>
        <w:rPr>
          <w:rFonts w:ascii="Verdana" w:hAnsi="Verdana"/>
          <w:sz w:val="16"/>
          <w:szCs w:val="16"/>
        </w:rPr>
        <w:t>233</w:t>
      </w:r>
      <w:r w:rsidRPr="005B77FA">
        <w:rPr>
          <w:rFonts w:ascii="Verdana" w:hAnsi="Verdana"/>
          <w:sz w:val="16"/>
          <w:szCs w:val="16"/>
        </w:rPr>
        <w:t xml:space="preserve"> mld zł w </w:t>
      </w:r>
      <w:r>
        <w:rPr>
          <w:rFonts w:ascii="Verdana" w:hAnsi="Verdana"/>
          <w:sz w:val="16"/>
          <w:szCs w:val="16"/>
        </w:rPr>
        <w:t>2023 r</w:t>
      </w:r>
      <w:r w:rsidRPr="005B77FA">
        <w:rPr>
          <w:rFonts w:ascii="Verdana" w:hAnsi="Verdana"/>
          <w:sz w:val="16"/>
          <w:szCs w:val="16"/>
        </w:rPr>
        <w:t xml:space="preserve">. </w:t>
      </w:r>
    </w:p>
    <w:p w:rsidR="00CA374E" w:rsidRDefault="00CA374E" w:rsidP="00CA374E">
      <w:pPr>
        <w:tabs>
          <w:tab w:val="left" w:pos="567"/>
        </w:tabs>
        <w:spacing w:before="120" w:after="120"/>
        <w:jc w:val="both"/>
        <w:rPr>
          <w:rFonts w:ascii="Verdana" w:hAnsi="Verdana" w:cstheme="minorHAnsi"/>
          <w:b/>
          <w:sz w:val="16"/>
          <w:szCs w:val="16"/>
        </w:rPr>
      </w:pPr>
      <w:r w:rsidRPr="00286AC7">
        <w:rPr>
          <w:rFonts w:ascii="Verdana" w:hAnsi="Verdana" w:cstheme="minorHAnsi"/>
          <w:b/>
          <w:sz w:val="16"/>
          <w:szCs w:val="16"/>
        </w:rPr>
        <w:t xml:space="preserve">Negatywny wpływ znaczącego ograniczenia dochodów m.st. Warszawy na skutek zmian prawnych bez adekwatnych rekompensat pogłębiony funkcjonowaniem w środowisku podwyższonej inflacji znajduje </w:t>
      </w:r>
      <w:r>
        <w:rPr>
          <w:rFonts w:ascii="Verdana" w:hAnsi="Verdana" w:cstheme="minorHAnsi"/>
          <w:b/>
          <w:sz w:val="16"/>
          <w:szCs w:val="16"/>
        </w:rPr>
        <w:t xml:space="preserve">także </w:t>
      </w:r>
      <w:r w:rsidRPr="00286AC7">
        <w:rPr>
          <w:rFonts w:ascii="Verdana" w:hAnsi="Verdana" w:cstheme="minorHAnsi"/>
          <w:b/>
          <w:sz w:val="16"/>
          <w:szCs w:val="16"/>
        </w:rPr>
        <w:t>odzwierciedlenie w parametrach bud</w:t>
      </w:r>
      <w:r>
        <w:rPr>
          <w:rFonts w:ascii="Verdana" w:hAnsi="Verdana" w:cstheme="minorHAnsi"/>
          <w:b/>
          <w:sz w:val="16"/>
          <w:szCs w:val="16"/>
        </w:rPr>
        <w:t>żetowych zapisanych w budżecie</w:t>
      </w:r>
      <w:r w:rsidRPr="00286AC7">
        <w:rPr>
          <w:rFonts w:ascii="Verdana" w:hAnsi="Verdana" w:cstheme="minorHAnsi"/>
          <w:b/>
          <w:sz w:val="16"/>
          <w:szCs w:val="16"/>
        </w:rPr>
        <w:t xml:space="preserve"> na 2024 r.</w:t>
      </w:r>
      <w:r>
        <w:rPr>
          <w:rFonts w:ascii="Verdana" w:hAnsi="Verdana" w:cstheme="minorHAnsi"/>
          <w:b/>
          <w:sz w:val="16"/>
          <w:szCs w:val="16"/>
        </w:rPr>
        <w:t xml:space="preserve"> </w:t>
      </w:r>
      <w:r>
        <w:rPr>
          <w:rFonts w:ascii="Verdana" w:hAnsi="Verdana" w:cstheme="minorHAnsi"/>
          <w:b/>
          <w:sz w:val="16"/>
          <w:szCs w:val="16"/>
        </w:rPr>
        <w:br/>
        <w:t>i WPF 2024-2050.</w:t>
      </w:r>
    </w:p>
    <w:p w:rsidR="00CA374E" w:rsidRDefault="00CA374E" w:rsidP="00CA374E">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Z uwagi na założone stopniowe dostosowania budżetowe do trwale ograniczonych dochodó</w:t>
      </w:r>
      <w:r>
        <w:rPr>
          <w:rFonts w:ascii="Verdana" w:eastAsiaTheme="minorHAnsi" w:hAnsi="Verdana" w:cs="Verdana"/>
          <w:color w:val="000000"/>
          <w:sz w:val="16"/>
          <w:szCs w:val="16"/>
          <w:lang w:eastAsia="en-US"/>
        </w:rPr>
        <w:t xml:space="preserve">w budżet </w:t>
      </w:r>
      <w:r>
        <w:rPr>
          <w:rFonts w:ascii="Verdana" w:eastAsiaTheme="minorHAnsi" w:hAnsi="Verdana" w:cs="Verdana"/>
          <w:color w:val="000000"/>
          <w:sz w:val="16"/>
          <w:szCs w:val="16"/>
          <w:lang w:eastAsia="en-US"/>
        </w:rPr>
        <w:br/>
        <w:t>m.st. Warszawy na 2024</w:t>
      </w:r>
      <w:r w:rsidRPr="005D38F6">
        <w:rPr>
          <w:rFonts w:ascii="Verdana" w:eastAsiaTheme="minorHAnsi" w:hAnsi="Verdana" w:cs="Verdana"/>
          <w:color w:val="000000"/>
          <w:sz w:val="16"/>
          <w:szCs w:val="16"/>
          <w:lang w:eastAsia="en-US"/>
        </w:rPr>
        <w:t xml:space="preserve"> r.</w:t>
      </w:r>
      <w:r>
        <w:rPr>
          <w:rFonts w:ascii="Verdana" w:eastAsiaTheme="minorHAnsi" w:hAnsi="Verdana" w:cs="Verdana"/>
          <w:color w:val="000000"/>
          <w:sz w:val="16"/>
          <w:szCs w:val="16"/>
          <w:lang w:eastAsia="en-US"/>
        </w:rPr>
        <w:t xml:space="preserve"> drugi rok z rzędu po 2023 r. </w:t>
      </w:r>
      <w:r w:rsidRPr="00725742">
        <w:rPr>
          <w:rFonts w:ascii="Verdana" w:eastAsiaTheme="minorHAnsi" w:hAnsi="Verdana" w:cs="Verdana"/>
          <w:b/>
          <w:color w:val="000000"/>
          <w:sz w:val="16"/>
          <w:szCs w:val="16"/>
          <w:lang w:eastAsia="en-US"/>
        </w:rPr>
        <w:t>zakłada wystąpienie wysokich nierównowag budżetowych</w:t>
      </w:r>
      <w:r>
        <w:rPr>
          <w:rFonts w:ascii="Verdana" w:eastAsiaTheme="minorHAnsi" w:hAnsi="Verdana" w:cs="Verdana"/>
          <w:color w:val="000000"/>
          <w:sz w:val="16"/>
          <w:szCs w:val="16"/>
          <w:lang w:eastAsia="en-US"/>
        </w:rPr>
        <w:t xml:space="preserve">. W zakresie </w:t>
      </w:r>
      <w:r w:rsidRPr="00AA4CD1">
        <w:rPr>
          <w:rFonts w:ascii="Verdana" w:eastAsiaTheme="minorHAnsi" w:hAnsi="Verdana" w:cs="Verdana"/>
          <w:b/>
          <w:color w:val="000000"/>
          <w:sz w:val="16"/>
          <w:szCs w:val="16"/>
          <w:lang w:eastAsia="en-US"/>
        </w:rPr>
        <w:t>deficytu budżetowego</w:t>
      </w:r>
      <w:r>
        <w:rPr>
          <w:rFonts w:ascii="Verdana" w:eastAsiaTheme="minorHAnsi" w:hAnsi="Verdana" w:cs="Verdana"/>
          <w:color w:val="000000"/>
          <w:sz w:val="16"/>
          <w:szCs w:val="16"/>
          <w:lang w:eastAsia="en-US"/>
        </w:rPr>
        <w:t xml:space="preserve"> (różnica między dochodami a wydatkami) zaplanowana na 2024 r. luka budżetowa wynosi </w:t>
      </w:r>
      <w:r>
        <w:rPr>
          <w:rFonts w:ascii="Verdana" w:eastAsiaTheme="minorHAnsi" w:hAnsi="Verdana" w:cs="Verdana"/>
          <w:b/>
          <w:color w:val="000000"/>
          <w:sz w:val="16"/>
          <w:szCs w:val="16"/>
          <w:lang w:eastAsia="en-US"/>
        </w:rPr>
        <w:t>3,255</w:t>
      </w:r>
      <w:r w:rsidRPr="00725742">
        <w:rPr>
          <w:rFonts w:ascii="Verdana" w:eastAsiaTheme="minorHAnsi" w:hAnsi="Verdana" w:cs="Verdana"/>
          <w:b/>
          <w:color w:val="000000"/>
          <w:sz w:val="16"/>
          <w:szCs w:val="16"/>
          <w:lang w:eastAsia="en-US"/>
        </w:rPr>
        <w:t xml:space="preserve"> mld zł</w:t>
      </w:r>
      <w:r>
        <w:rPr>
          <w:rFonts w:ascii="Verdana" w:eastAsiaTheme="minorHAnsi" w:hAnsi="Verdana" w:cs="Verdana"/>
          <w:color w:val="000000"/>
          <w:sz w:val="16"/>
          <w:szCs w:val="16"/>
          <w:lang w:eastAsia="en-US"/>
        </w:rPr>
        <w:t xml:space="preserve"> (4,051 mld zł w </w:t>
      </w:r>
      <w:r>
        <w:rPr>
          <w:rFonts w:ascii="Verdana" w:eastAsiaTheme="minorHAnsi" w:hAnsi="Verdana" w:cs="Verdana"/>
          <w:bCs/>
          <w:color w:val="000000"/>
          <w:sz w:val="16"/>
          <w:szCs w:val="16"/>
          <w:lang w:eastAsia="en-US"/>
        </w:rPr>
        <w:t>aktualnym budżecie</w:t>
      </w:r>
      <w:r>
        <w:rPr>
          <w:rFonts w:ascii="Verdana" w:eastAsiaTheme="minorHAnsi" w:hAnsi="Verdana" w:cs="Verdana"/>
          <w:color w:val="000000"/>
          <w:sz w:val="16"/>
          <w:szCs w:val="16"/>
          <w:lang w:eastAsia="en-US"/>
        </w:rPr>
        <w:t xml:space="preserve"> na 2023 r.). Z kolei</w:t>
      </w:r>
      <w:r w:rsidRPr="005D38F6">
        <w:rPr>
          <w:rFonts w:ascii="Verdana" w:eastAsiaTheme="minorHAnsi" w:hAnsi="Verdana" w:cs="Verdana"/>
          <w:color w:val="000000"/>
          <w:sz w:val="16"/>
          <w:szCs w:val="16"/>
          <w:lang w:eastAsia="en-US"/>
        </w:rPr>
        <w:t xml:space="preserve"> </w:t>
      </w:r>
      <w:r w:rsidRPr="00AA4CD1">
        <w:rPr>
          <w:rFonts w:ascii="Verdana" w:eastAsiaTheme="minorHAnsi" w:hAnsi="Verdana" w:cs="Verdana"/>
          <w:b/>
          <w:bCs/>
          <w:color w:val="000000"/>
          <w:sz w:val="16"/>
          <w:szCs w:val="16"/>
          <w:lang w:eastAsia="en-US"/>
        </w:rPr>
        <w:t>deficyt operacyjny</w:t>
      </w:r>
      <w:r w:rsidRPr="00725742">
        <w:rPr>
          <w:rFonts w:ascii="Verdana" w:eastAsiaTheme="minorHAnsi" w:hAnsi="Verdana" w:cs="Verdana"/>
          <w:bCs/>
          <w:color w:val="000000"/>
          <w:sz w:val="16"/>
          <w:szCs w:val="16"/>
          <w:lang w:eastAsia="en-US"/>
        </w:rPr>
        <w:t xml:space="preserve"> </w:t>
      </w:r>
      <w:r>
        <w:rPr>
          <w:rFonts w:ascii="Verdana" w:eastAsiaTheme="minorHAnsi" w:hAnsi="Verdana" w:cs="Verdana"/>
          <w:bCs/>
          <w:color w:val="000000"/>
          <w:sz w:val="16"/>
          <w:szCs w:val="16"/>
          <w:lang w:eastAsia="en-US"/>
        </w:rPr>
        <w:t xml:space="preserve">rozumiany jako różnica między dochodami bieżącymi a wydatkami bieżącymi w całym 2024 r. wyniesie </w:t>
      </w:r>
      <w:r>
        <w:rPr>
          <w:rFonts w:ascii="Verdana" w:eastAsiaTheme="minorHAnsi" w:hAnsi="Verdana" w:cs="Verdana"/>
          <w:b/>
          <w:bCs/>
          <w:color w:val="000000"/>
          <w:sz w:val="16"/>
          <w:szCs w:val="16"/>
          <w:lang w:eastAsia="en-US"/>
        </w:rPr>
        <w:t>809 mln</w:t>
      </w:r>
      <w:r w:rsidRPr="005D38F6">
        <w:rPr>
          <w:rFonts w:ascii="Verdana" w:eastAsiaTheme="minorHAnsi" w:hAnsi="Verdana" w:cs="Verdana"/>
          <w:b/>
          <w:bCs/>
          <w:color w:val="000000"/>
          <w:sz w:val="16"/>
          <w:szCs w:val="16"/>
          <w:lang w:eastAsia="en-US"/>
        </w:rPr>
        <w:t xml:space="preserve"> zł</w:t>
      </w:r>
      <w:r>
        <w:rPr>
          <w:rFonts w:ascii="Verdana" w:eastAsiaTheme="minorHAnsi" w:hAnsi="Verdana" w:cs="Verdana"/>
          <w:bCs/>
          <w:color w:val="000000"/>
          <w:sz w:val="16"/>
          <w:szCs w:val="16"/>
          <w:lang w:eastAsia="en-US"/>
        </w:rPr>
        <w:t xml:space="preserve"> (1,319 mld zł deficytu w aktualnym budżecie na 2023 r.)</w:t>
      </w:r>
      <w:r>
        <w:rPr>
          <w:rFonts w:ascii="Verdana" w:eastAsiaTheme="minorHAnsi" w:hAnsi="Verdana" w:cs="Verdana"/>
          <w:color w:val="000000"/>
          <w:sz w:val="16"/>
          <w:szCs w:val="16"/>
          <w:lang w:eastAsia="en-US"/>
        </w:rPr>
        <w:t>.</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Oznacza to</w:t>
      </w:r>
      <w:r w:rsidRPr="005D38F6">
        <w:rPr>
          <w:rFonts w:ascii="Verdana" w:eastAsiaTheme="minorHAnsi" w:hAnsi="Verdana" w:cs="Verdana"/>
          <w:color w:val="000000"/>
          <w:sz w:val="16"/>
          <w:szCs w:val="16"/>
          <w:lang w:eastAsia="en-US"/>
        </w:rPr>
        <w:t xml:space="preserve"> nierównowagę dochodów</w:t>
      </w:r>
      <w:r>
        <w:rPr>
          <w:rFonts w:ascii="Verdana" w:eastAsiaTheme="minorHAnsi" w:hAnsi="Verdana" w:cs="Verdana"/>
          <w:color w:val="000000"/>
          <w:sz w:val="16"/>
          <w:szCs w:val="16"/>
          <w:lang w:eastAsia="en-US"/>
        </w:rPr>
        <w:t xml:space="preserve"> bieżących i wydatków bieżących</w:t>
      </w:r>
      <w:r w:rsidRPr="005D38F6">
        <w:rPr>
          <w:rFonts w:ascii="Verdana" w:eastAsiaTheme="minorHAnsi" w:hAnsi="Verdana" w:cs="Verdana"/>
          <w:color w:val="000000"/>
          <w:sz w:val="16"/>
          <w:szCs w:val="16"/>
          <w:lang w:eastAsia="en-US"/>
        </w:rPr>
        <w:t xml:space="preserve"> na poziomie </w:t>
      </w:r>
      <w:r>
        <w:rPr>
          <w:rFonts w:ascii="Verdana" w:eastAsiaTheme="minorHAnsi" w:hAnsi="Verdana" w:cs="Verdana"/>
          <w:b/>
          <w:bCs/>
          <w:color w:val="000000"/>
          <w:sz w:val="16"/>
          <w:szCs w:val="16"/>
          <w:lang w:eastAsia="en-US"/>
        </w:rPr>
        <w:t>3,3</w:t>
      </w:r>
      <w:r w:rsidRPr="005D38F6">
        <w:rPr>
          <w:rFonts w:ascii="Verdana" w:eastAsiaTheme="minorHAnsi" w:hAnsi="Verdana" w:cs="Verdana"/>
          <w:b/>
          <w:bCs/>
          <w:color w:val="000000"/>
          <w:sz w:val="16"/>
          <w:szCs w:val="16"/>
          <w:lang w:eastAsia="en-US"/>
        </w:rPr>
        <w:t>%</w:t>
      </w:r>
      <w:r>
        <w:rPr>
          <w:rFonts w:ascii="Verdana" w:eastAsiaTheme="minorHAnsi" w:hAnsi="Verdana" w:cs="Verdana"/>
          <w:b/>
          <w:bCs/>
          <w:color w:val="000000"/>
          <w:sz w:val="16"/>
          <w:szCs w:val="16"/>
          <w:lang w:eastAsia="en-US"/>
        </w:rPr>
        <w:t xml:space="preserve"> </w:t>
      </w:r>
      <w:r w:rsidRPr="00D06BC1">
        <w:rPr>
          <w:rFonts w:ascii="Verdana" w:eastAsiaTheme="minorHAnsi" w:hAnsi="Verdana" w:cs="Verdana"/>
          <w:bCs/>
          <w:color w:val="000000"/>
          <w:sz w:val="16"/>
          <w:szCs w:val="16"/>
          <w:lang w:eastAsia="en-US"/>
        </w:rPr>
        <w:t>poziomu wydatków bieżących</w:t>
      </w:r>
      <w:r w:rsidRPr="005D38F6">
        <w:rPr>
          <w:rFonts w:ascii="Verdana" w:eastAsiaTheme="minorHAnsi" w:hAnsi="Verdana" w:cs="Verdana"/>
          <w:b/>
          <w:bCs/>
          <w:color w:val="000000"/>
          <w:sz w:val="16"/>
          <w:szCs w:val="16"/>
          <w:lang w:eastAsia="en-US"/>
        </w:rPr>
        <w:t xml:space="preserve"> </w:t>
      </w:r>
      <w:r w:rsidRPr="005D38F6">
        <w:rPr>
          <w:rFonts w:ascii="Verdana" w:eastAsiaTheme="minorHAnsi" w:hAnsi="Verdana" w:cs="Verdana"/>
          <w:color w:val="000000"/>
          <w:sz w:val="16"/>
          <w:szCs w:val="16"/>
          <w:lang w:eastAsia="en-US"/>
        </w:rPr>
        <w:t xml:space="preserve">(w kwestii formalnej przepisy </w:t>
      </w:r>
      <w:r>
        <w:rPr>
          <w:rFonts w:ascii="Verdana" w:eastAsiaTheme="minorHAnsi" w:hAnsi="Verdana" w:cs="Verdana"/>
          <w:color w:val="000000"/>
          <w:sz w:val="16"/>
          <w:szCs w:val="16"/>
          <w:lang w:eastAsia="en-US"/>
        </w:rPr>
        <w:t xml:space="preserve">pozwalają na spełnienie reguły wydatkowej zapisanej w art. 242 ustawy o finansach publicznych </w:t>
      </w:r>
      <w:r>
        <w:rPr>
          <w:rFonts w:ascii="Verdana" w:eastAsiaTheme="minorHAnsi" w:hAnsi="Verdana" w:cs="Verdana"/>
          <w:color w:val="000000"/>
          <w:sz w:val="16"/>
          <w:szCs w:val="16"/>
          <w:lang w:eastAsia="en-US"/>
        </w:rPr>
        <w:br/>
        <w:t>– wg zmienionych przepisów badanej łącznie dla lat 2022-2025</w:t>
      </w:r>
      <w:r w:rsidRPr="005D38F6">
        <w:rPr>
          <w:rFonts w:ascii="Verdana" w:eastAsiaTheme="minorHAnsi" w:hAnsi="Verdana" w:cs="Verdana"/>
          <w:color w:val="000000"/>
          <w:sz w:val="16"/>
          <w:szCs w:val="16"/>
          <w:lang w:eastAsia="en-US"/>
        </w:rPr>
        <w:t>).</w:t>
      </w:r>
      <w:r>
        <w:rPr>
          <w:rFonts w:ascii="Verdana" w:eastAsiaTheme="minorHAnsi" w:hAnsi="Verdana" w:cs="Verdana"/>
          <w:color w:val="000000"/>
          <w:sz w:val="16"/>
          <w:szCs w:val="16"/>
          <w:lang w:eastAsia="en-US"/>
        </w:rPr>
        <w:t xml:space="preserve"> </w:t>
      </w:r>
    </w:p>
    <w:p w:rsidR="00CA374E" w:rsidRDefault="00CA374E" w:rsidP="00CA374E">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 xml:space="preserve">W kolejnych latach zgodnie z </w:t>
      </w:r>
      <w:r>
        <w:rPr>
          <w:rFonts w:ascii="Verdana" w:eastAsiaTheme="minorHAnsi" w:hAnsi="Verdana" w:cs="Verdana"/>
          <w:color w:val="000000"/>
          <w:sz w:val="16"/>
          <w:szCs w:val="16"/>
          <w:lang w:eastAsia="en-US"/>
        </w:rPr>
        <w:t>WPF</w:t>
      </w:r>
      <w:r w:rsidRPr="005D38F6">
        <w:rPr>
          <w:rFonts w:ascii="Verdana" w:eastAsiaTheme="minorHAnsi" w:hAnsi="Verdana" w:cs="Verdana"/>
          <w:color w:val="000000"/>
          <w:sz w:val="16"/>
          <w:szCs w:val="16"/>
          <w:lang w:eastAsia="en-US"/>
        </w:rPr>
        <w:t xml:space="preserve"> 202</w:t>
      </w:r>
      <w:r>
        <w:rPr>
          <w:rFonts w:ascii="Verdana" w:eastAsiaTheme="minorHAnsi" w:hAnsi="Verdana" w:cs="Verdana"/>
          <w:color w:val="000000"/>
          <w:sz w:val="16"/>
          <w:szCs w:val="16"/>
          <w:lang w:eastAsia="en-US"/>
        </w:rPr>
        <w:t>4</w:t>
      </w:r>
      <w:r w:rsidRPr="005D38F6">
        <w:rPr>
          <w:rFonts w:ascii="Verdana" w:eastAsiaTheme="minorHAnsi" w:hAnsi="Verdana" w:cs="Verdana"/>
          <w:color w:val="000000"/>
          <w:sz w:val="16"/>
          <w:szCs w:val="16"/>
          <w:lang w:eastAsia="en-US"/>
        </w:rPr>
        <w:t>-2050 konieczny będzie powrót do generowania nadwyżek operacyjnych</w:t>
      </w:r>
      <w:r>
        <w:rPr>
          <w:rFonts w:ascii="Verdana" w:eastAsiaTheme="minorHAnsi" w:hAnsi="Verdana" w:cs="Verdana"/>
          <w:color w:val="000000"/>
          <w:sz w:val="16"/>
          <w:szCs w:val="16"/>
          <w:lang w:eastAsia="en-US"/>
        </w:rPr>
        <w:t>, co prezentuje poniższy wykres nr 5.</w:t>
      </w:r>
      <w:r w:rsidRPr="005D38F6">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Konieczność zapewnienia odpowiedniej wysokości nadwyżek operacyjnych wynika z przepisów ustawowych wiążących potencjał obsługi długu z historycznie uzyskiwanymi nadwyżkami dochodów bieżących nad wydatkami bieżącymi (art. 243 ustawy o finansach publicznych).</w:t>
      </w:r>
      <w:r>
        <w:rPr>
          <w:rFonts w:ascii="Verdana" w:eastAsiaTheme="minorHAnsi" w:hAnsi="Verdana" w:cs="Verdana"/>
          <w:color w:val="000000"/>
          <w:sz w:val="16"/>
          <w:szCs w:val="16"/>
          <w:lang w:eastAsia="en-US"/>
        </w:rPr>
        <w:br w:type="page"/>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5</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RELACJI DOCHODÓW BIEŻĄCYCH DO WYDATKÓW BIEŻĄCYCH NA LATA 2024-2030 </w:t>
      </w:r>
      <w:r>
        <w:rPr>
          <w:rFonts w:ascii="Verdana" w:hAnsi="Verdana" w:cs="Arial"/>
          <w:b/>
          <w:bCs/>
          <w:iCs/>
          <w:sz w:val="14"/>
          <w:szCs w:val="14"/>
        </w:rPr>
        <w:br/>
        <w:t xml:space="preserve">   NA TLE 2023 R. W M.ST. WARSZAWA </w:t>
      </w:r>
      <w:r>
        <w:rPr>
          <w:rFonts w:ascii="Verdana" w:hAnsi="Verdana" w:cs="Arial"/>
          <w:bCs/>
          <w:iCs/>
          <w:sz w:val="14"/>
          <w:szCs w:val="14"/>
        </w:rPr>
        <w:t>[w %]</w:t>
      </w:r>
    </w:p>
    <w:p w:rsidR="00CA374E" w:rsidRDefault="00AF0B51" w:rsidP="00CA374E">
      <w:pPr>
        <w:tabs>
          <w:tab w:val="left" w:pos="567"/>
        </w:tabs>
        <w:spacing w:before="120" w:after="120"/>
        <w:jc w:val="both"/>
        <w:rPr>
          <w:rFonts w:ascii="Verdana" w:eastAsiaTheme="minorHAnsi" w:hAnsi="Verdana" w:cs="Verdana"/>
          <w:color w:val="000000"/>
          <w:sz w:val="16"/>
          <w:szCs w:val="16"/>
          <w:lang w:eastAsia="en-US"/>
        </w:rPr>
      </w:pPr>
      <w:r>
        <w:rPr>
          <w:rFonts w:ascii="Verdana" w:hAnsi="Verdana" w:cs="Verdana"/>
          <w:noProof/>
          <w:sz w:val="16"/>
          <w:szCs w:val="16"/>
        </w:rPr>
        <w:pict>
          <v:shape id="_x0000_i1026" type="#_x0000_t75" style="width:456pt;height:157.8pt">
            <v:imagedata r:id="rId17" o:title=""/>
          </v:shape>
        </w:pict>
      </w:r>
    </w:p>
    <w:p w:rsidR="00CA374E" w:rsidRDefault="00CA374E" w:rsidP="00CA374E">
      <w:pPr>
        <w:tabs>
          <w:tab w:val="left" w:pos="567"/>
        </w:tabs>
        <w:spacing w:before="120" w:after="120"/>
        <w:jc w:val="both"/>
        <w:rPr>
          <w:rFonts w:ascii="Verdana" w:eastAsiaTheme="minorHAnsi" w:hAnsi="Verdana" w:cs="Verdana"/>
          <w:color w:val="000000"/>
          <w:sz w:val="16"/>
          <w:szCs w:val="16"/>
          <w:lang w:eastAsia="en-US"/>
        </w:rPr>
      </w:pPr>
      <w:r w:rsidRPr="005D38F6">
        <w:rPr>
          <w:rFonts w:ascii="Verdana" w:eastAsiaTheme="minorHAnsi" w:hAnsi="Verdana" w:cs="Verdana"/>
          <w:color w:val="000000"/>
          <w:sz w:val="16"/>
          <w:szCs w:val="16"/>
          <w:lang w:eastAsia="en-US"/>
        </w:rPr>
        <w:t>Z uwagi na założone stopniowe dostosowania budżetowe do trwale ograniczonych dochodó</w:t>
      </w:r>
      <w:r>
        <w:rPr>
          <w:rFonts w:ascii="Verdana" w:eastAsiaTheme="minorHAnsi" w:hAnsi="Verdana" w:cs="Verdana"/>
          <w:color w:val="000000"/>
          <w:sz w:val="16"/>
          <w:szCs w:val="16"/>
          <w:lang w:eastAsia="en-US"/>
        </w:rPr>
        <w:t xml:space="preserve">w, </w:t>
      </w:r>
      <w:r>
        <w:rPr>
          <w:rFonts w:ascii="Verdana" w:eastAsiaTheme="minorHAnsi" w:hAnsi="Verdana" w:cs="Verdana"/>
          <w:bCs/>
          <w:sz w:val="16"/>
          <w:szCs w:val="16"/>
          <w:lang w:eastAsia="en-US"/>
        </w:rPr>
        <w:t>w</w:t>
      </w:r>
      <w:r w:rsidRPr="00195CBD">
        <w:rPr>
          <w:rFonts w:ascii="Verdana" w:eastAsiaTheme="minorHAnsi" w:hAnsi="Verdana" w:cs="Verdana"/>
          <w:bCs/>
          <w:sz w:val="16"/>
          <w:szCs w:val="16"/>
          <w:lang w:eastAsia="en-US"/>
        </w:rPr>
        <w:t xml:space="preserve"> </w:t>
      </w:r>
      <w:r>
        <w:rPr>
          <w:rFonts w:ascii="Verdana" w:eastAsiaTheme="minorHAnsi" w:hAnsi="Verdana" w:cs="Verdana"/>
          <w:bCs/>
          <w:sz w:val="16"/>
          <w:szCs w:val="16"/>
          <w:lang w:eastAsia="en-US"/>
        </w:rPr>
        <w:t>całym okresie objętym WPF 2024</w:t>
      </w:r>
      <w:r w:rsidRPr="00195CBD">
        <w:rPr>
          <w:rFonts w:ascii="Verdana" w:eastAsiaTheme="minorHAnsi" w:hAnsi="Verdana" w:cs="Verdana"/>
          <w:bCs/>
          <w:sz w:val="16"/>
          <w:szCs w:val="16"/>
          <w:lang w:eastAsia="en-US"/>
        </w:rPr>
        <w:t xml:space="preserve">-2050 </w:t>
      </w:r>
      <w:r>
        <w:rPr>
          <w:rFonts w:ascii="Verdana" w:eastAsiaTheme="minorHAnsi" w:hAnsi="Verdana" w:cs="Verdana"/>
          <w:bCs/>
          <w:sz w:val="16"/>
          <w:szCs w:val="16"/>
          <w:lang w:eastAsia="en-US"/>
        </w:rPr>
        <w:t xml:space="preserve">konieczne będzie </w:t>
      </w:r>
      <w:r w:rsidRPr="00195CBD">
        <w:rPr>
          <w:rFonts w:ascii="Verdana" w:eastAsiaTheme="minorHAnsi" w:hAnsi="Verdana" w:cs="Verdana"/>
          <w:bCs/>
          <w:sz w:val="16"/>
          <w:szCs w:val="16"/>
          <w:lang w:eastAsia="en-US"/>
        </w:rPr>
        <w:t>pozyskanie w latach 202</w:t>
      </w:r>
      <w:r>
        <w:rPr>
          <w:rFonts w:ascii="Verdana" w:eastAsiaTheme="minorHAnsi" w:hAnsi="Verdana" w:cs="Verdana"/>
          <w:bCs/>
          <w:sz w:val="16"/>
          <w:szCs w:val="16"/>
          <w:lang w:eastAsia="en-US"/>
        </w:rPr>
        <w:t>4</w:t>
      </w:r>
      <w:r w:rsidRPr="00195CBD">
        <w:rPr>
          <w:rFonts w:ascii="Verdana" w:eastAsiaTheme="minorHAnsi" w:hAnsi="Verdana" w:cs="Verdana"/>
          <w:bCs/>
          <w:sz w:val="16"/>
          <w:szCs w:val="16"/>
          <w:lang w:eastAsia="en-US"/>
        </w:rPr>
        <w:t xml:space="preserve">-2027 środków dłużnych w łącznej wysokości </w:t>
      </w:r>
      <w:r>
        <w:rPr>
          <w:rFonts w:ascii="Verdana" w:eastAsiaTheme="minorHAnsi" w:hAnsi="Verdana" w:cs="Verdana"/>
          <w:b/>
          <w:bCs/>
          <w:sz w:val="16"/>
          <w:szCs w:val="16"/>
          <w:lang w:eastAsia="en-US"/>
        </w:rPr>
        <w:t>7,207</w:t>
      </w:r>
      <w:r w:rsidRPr="006B0E2D">
        <w:rPr>
          <w:rFonts w:ascii="Verdana" w:eastAsiaTheme="minorHAnsi" w:hAnsi="Verdana" w:cs="Verdana"/>
          <w:b/>
          <w:bCs/>
          <w:sz w:val="16"/>
          <w:szCs w:val="16"/>
          <w:lang w:eastAsia="en-US"/>
        </w:rPr>
        <w:t xml:space="preserve"> mld zł</w:t>
      </w:r>
      <w:r>
        <w:rPr>
          <w:rFonts w:ascii="Verdana" w:eastAsiaTheme="minorHAnsi" w:hAnsi="Verdana" w:cs="Verdana"/>
          <w:bCs/>
          <w:sz w:val="16"/>
          <w:szCs w:val="16"/>
          <w:lang w:eastAsia="en-US"/>
        </w:rPr>
        <w:t>, z tego w 2024</w:t>
      </w:r>
      <w:r w:rsidRPr="00195CBD">
        <w:rPr>
          <w:rFonts w:ascii="Verdana" w:eastAsiaTheme="minorHAnsi" w:hAnsi="Verdana" w:cs="Verdana"/>
          <w:bCs/>
          <w:sz w:val="16"/>
          <w:szCs w:val="16"/>
          <w:lang w:eastAsia="en-US"/>
        </w:rPr>
        <w:t xml:space="preserve"> r. </w:t>
      </w:r>
      <w:r>
        <w:rPr>
          <w:rFonts w:ascii="Verdana" w:eastAsiaTheme="minorHAnsi" w:hAnsi="Verdana" w:cs="Verdana"/>
          <w:bCs/>
          <w:sz w:val="16"/>
          <w:szCs w:val="16"/>
          <w:lang w:eastAsia="en-US"/>
        </w:rPr>
        <w:t xml:space="preserve">kwoty </w:t>
      </w:r>
      <w:r>
        <w:rPr>
          <w:rFonts w:ascii="Verdana" w:eastAsiaTheme="minorHAnsi" w:hAnsi="Verdana" w:cs="Verdana"/>
          <w:b/>
          <w:bCs/>
          <w:sz w:val="16"/>
          <w:szCs w:val="16"/>
          <w:lang w:eastAsia="en-US"/>
        </w:rPr>
        <w:t>2,808</w:t>
      </w:r>
      <w:r w:rsidRPr="006B0E2D">
        <w:rPr>
          <w:rFonts w:ascii="Verdana" w:eastAsiaTheme="minorHAnsi" w:hAnsi="Verdana" w:cs="Verdana"/>
          <w:b/>
          <w:bCs/>
          <w:sz w:val="16"/>
          <w:szCs w:val="16"/>
          <w:lang w:eastAsia="en-US"/>
        </w:rPr>
        <w:t xml:space="preserve"> mld zł</w:t>
      </w:r>
      <w:r w:rsidRPr="006B0E2D">
        <w:rPr>
          <w:rFonts w:ascii="Verdana" w:eastAsiaTheme="minorHAnsi" w:hAnsi="Verdana" w:cs="Verdana"/>
          <w:bCs/>
          <w:sz w:val="16"/>
          <w:szCs w:val="16"/>
          <w:lang w:eastAsia="en-US"/>
        </w:rPr>
        <w:t>.</w:t>
      </w:r>
      <w:r w:rsidRPr="006B0E2D">
        <w:rPr>
          <w:rFonts w:ascii="Verdana" w:eastAsiaTheme="minorHAnsi" w:hAnsi="Verdana" w:cs="Verdana"/>
          <w:color w:val="000000"/>
          <w:sz w:val="16"/>
          <w:szCs w:val="16"/>
          <w:lang w:eastAsia="en-US"/>
        </w:rPr>
        <w:t xml:space="preserve"> </w:t>
      </w:r>
      <w:r>
        <w:rPr>
          <w:rFonts w:ascii="Verdana" w:eastAsiaTheme="minorHAnsi" w:hAnsi="Verdana" w:cs="Verdana"/>
          <w:color w:val="000000"/>
          <w:sz w:val="16"/>
          <w:szCs w:val="16"/>
          <w:lang w:eastAsia="en-US"/>
        </w:rPr>
        <w:t xml:space="preserve">W związku z powyższym ze względu na planowaną skalę deficytu budżetowego budżet na 2024 r. zakłada dynamiczny wzrost zadłużenia do </w:t>
      </w:r>
      <w:r>
        <w:rPr>
          <w:rFonts w:ascii="Verdana" w:eastAsiaTheme="minorHAnsi" w:hAnsi="Verdana" w:cs="Verdana"/>
          <w:b/>
          <w:color w:val="000000"/>
          <w:sz w:val="16"/>
          <w:szCs w:val="16"/>
          <w:lang w:eastAsia="en-US"/>
        </w:rPr>
        <w:t>8,260 mld zł</w:t>
      </w:r>
      <w:r>
        <w:rPr>
          <w:rFonts w:ascii="Verdana" w:eastAsiaTheme="minorHAnsi" w:hAnsi="Verdana" w:cs="Verdana"/>
          <w:color w:val="000000"/>
          <w:sz w:val="16"/>
          <w:szCs w:val="16"/>
          <w:lang w:eastAsia="en-US"/>
        </w:rPr>
        <w:t xml:space="preserve"> na koniec roku, co oznacza wzrost zadłużenia w stosunku do stanu z końca 2023 r. o </w:t>
      </w:r>
      <w:r>
        <w:rPr>
          <w:rFonts w:ascii="Verdana" w:eastAsiaTheme="minorHAnsi" w:hAnsi="Verdana" w:cs="Verdana"/>
          <w:b/>
          <w:color w:val="000000"/>
          <w:sz w:val="16"/>
          <w:szCs w:val="16"/>
          <w:lang w:eastAsia="en-US"/>
        </w:rPr>
        <w:t>2,591 mld zł</w:t>
      </w:r>
      <w:r>
        <w:rPr>
          <w:rFonts w:ascii="Verdana" w:eastAsiaTheme="minorHAnsi" w:hAnsi="Verdana" w:cs="Verdana"/>
          <w:color w:val="000000"/>
          <w:sz w:val="16"/>
          <w:szCs w:val="16"/>
          <w:lang w:eastAsia="en-US"/>
        </w:rPr>
        <w:t xml:space="preserve"> (nowy dług </w:t>
      </w:r>
      <w:r>
        <w:rPr>
          <w:rFonts w:ascii="Verdana" w:eastAsiaTheme="minorHAnsi" w:hAnsi="Verdana" w:cs="Verdana"/>
          <w:color w:val="000000"/>
          <w:sz w:val="16"/>
          <w:szCs w:val="16"/>
          <w:lang w:eastAsia="en-US"/>
        </w:rPr>
        <w:br/>
        <w:t xml:space="preserve">w kwocie 2,808 mld zł i spłata długu w kwocie 216 mln zł) i wzrost o </w:t>
      </w:r>
      <w:r>
        <w:rPr>
          <w:rFonts w:ascii="Verdana" w:eastAsiaTheme="minorHAnsi" w:hAnsi="Verdana" w:cs="Verdana"/>
          <w:b/>
          <w:color w:val="000000"/>
          <w:sz w:val="16"/>
          <w:szCs w:val="16"/>
          <w:lang w:eastAsia="en-US"/>
        </w:rPr>
        <w:t>2,988 mld zł</w:t>
      </w:r>
      <w:r>
        <w:rPr>
          <w:rFonts w:ascii="Verdana" w:eastAsiaTheme="minorHAnsi" w:hAnsi="Verdana" w:cs="Verdana"/>
          <w:color w:val="000000"/>
          <w:sz w:val="16"/>
          <w:szCs w:val="16"/>
          <w:lang w:eastAsia="en-US"/>
        </w:rPr>
        <w:t xml:space="preserve"> w porównaniu z końcem </w:t>
      </w:r>
      <w:r>
        <w:rPr>
          <w:rFonts w:ascii="Verdana" w:eastAsiaTheme="minorHAnsi" w:hAnsi="Verdana" w:cs="Verdana"/>
          <w:color w:val="000000"/>
          <w:sz w:val="16"/>
          <w:szCs w:val="16"/>
          <w:lang w:eastAsia="en-US"/>
        </w:rPr>
        <w:br/>
        <w:t xml:space="preserve">2022 r. Zgodnie z WPF 2024-2050 zadłużenie maksymalny poziom osiągnie w 2027 r. wynosząc </w:t>
      </w:r>
      <w:r w:rsidRPr="00286223">
        <w:rPr>
          <w:rFonts w:ascii="Verdana" w:eastAsiaTheme="minorHAnsi" w:hAnsi="Verdana" w:cs="Verdana"/>
          <w:b/>
          <w:color w:val="000000"/>
          <w:sz w:val="16"/>
          <w:szCs w:val="16"/>
          <w:lang w:eastAsia="en-US"/>
        </w:rPr>
        <w:t>11,321 mld zł</w:t>
      </w:r>
      <w:r>
        <w:rPr>
          <w:rFonts w:ascii="Verdana" w:eastAsiaTheme="minorHAnsi" w:hAnsi="Verdana" w:cs="Verdana"/>
          <w:color w:val="000000"/>
          <w:sz w:val="16"/>
          <w:szCs w:val="16"/>
          <w:lang w:eastAsia="en-US"/>
        </w:rPr>
        <w:t xml:space="preserve"> (wykres nr 6).</w:t>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6</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STANU ZADŁUŻENIA NA LATA 2024-2030 NA TLE 2023 R. W M.ST. WARSZAWA </w:t>
      </w:r>
      <w:r>
        <w:rPr>
          <w:rFonts w:ascii="Verdana" w:hAnsi="Verdana" w:cs="Arial"/>
          <w:bCs/>
          <w:iCs/>
          <w:sz w:val="14"/>
          <w:szCs w:val="14"/>
        </w:rPr>
        <w:t>[w mln zł]</w:t>
      </w:r>
    </w:p>
    <w:p w:rsidR="00CA374E" w:rsidRPr="00275EEF" w:rsidRDefault="00AF0B51" w:rsidP="00CA374E">
      <w:pPr>
        <w:tabs>
          <w:tab w:val="left" w:pos="567"/>
        </w:tabs>
        <w:spacing w:before="120" w:after="120"/>
        <w:jc w:val="both"/>
        <w:rPr>
          <w:rFonts w:ascii="Verdana" w:eastAsiaTheme="minorHAnsi" w:hAnsi="Verdana" w:cs="Verdana"/>
          <w:color w:val="000000"/>
          <w:sz w:val="16"/>
          <w:szCs w:val="16"/>
          <w:lang w:eastAsia="en-US"/>
        </w:rPr>
      </w:pPr>
      <w:r>
        <w:rPr>
          <w:rFonts w:ascii="Verdana" w:hAnsi="Verdana" w:cs="Verdana"/>
          <w:noProof/>
          <w:sz w:val="16"/>
          <w:szCs w:val="16"/>
        </w:rPr>
        <w:pict>
          <v:shape id="_x0000_i1027" type="#_x0000_t75" style="width:454.2pt;height:224.1pt">
            <v:imagedata r:id="rId18" o:title=""/>
          </v:shape>
        </w:pict>
      </w:r>
    </w:p>
    <w:p w:rsidR="00CA374E" w:rsidRDefault="00CA374E" w:rsidP="00CA374E">
      <w:pPr>
        <w:tabs>
          <w:tab w:val="left" w:pos="567"/>
        </w:tabs>
        <w:spacing w:before="120" w:after="12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Założona ścieżka adaptacji parametrów budżetowych do trwale obniżonych dochodów z udziału w PIT zachowuje </w:t>
      </w:r>
      <w:r w:rsidRPr="005D38F6">
        <w:rPr>
          <w:rFonts w:ascii="Verdana" w:eastAsiaTheme="minorHAnsi" w:hAnsi="Verdana" w:cs="Verdana"/>
          <w:b/>
          <w:bCs/>
          <w:sz w:val="16"/>
          <w:szCs w:val="16"/>
          <w:lang w:eastAsia="en-US"/>
        </w:rPr>
        <w:t>minimalną przestrzeń między ustawowym limitem a wskaźnikiem obsługi długu</w:t>
      </w:r>
      <w:r>
        <w:rPr>
          <w:rFonts w:ascii="Verdana" w:eastAsiaTheme="minorHAnsi" w:hAnsi="Verdana" w:cs="Verdana"/>
          <w:b/>
          <w:bCs/>
          <w:sz w:val="16"/>
          <w:szCs w:val="16"/>
          <w:lang w:eastAsia="en-US"/>
        </w:rPr>
        <w:t>.</w:t>
      </w:r>
      <w:r w:rsidRPr="005D38F6">
        <w:rPr>
          <w:rFonts w:ascii="Verdana" w:eastAsiaTheme="minorHAnsi" w:hAnsi="Verdana" w:cs="Verdana"/>
          <w:b/>
          <w:bCs/>
          <w:sz w:val="16"/>
          <w:szCs w:val="16"/>
          <w:lang w:eastAsia="en-US"/>
        </w:rPr>
        <w:t xml:space="preserve"> </w:t>
      </w:r>
      <w:r w:rsidRPr="00D041CB">
        <w:rPr>
          <w:rFonts w:ascii="Verdana" w:eastAsiaTheme="minorHAnsi" w:hAnsi="Verdana" w:cs="Verdana"/>
          <w:b/>
          <w:sz w:val="16"/>
          <w:szCs w:val="16"/>
          <w:lang w:eastAsia="en-US"/>
        </w:rPr>
        <w:t>Obniżony poziom relacji</w:t>
      </w:r>
      <w:r>
        <w:rPr>
          <w:rFonts w:ascii="Verdana" w:eastAsiaTheme="minorHAnsi" w:hAnsi="Verdana" w:cs="Verdana"/>
          <w:sz w:val="16"/>
          <w:szCs w:val="16"/>
          <w:lang w:eastAsia="en-US"/>
        </w:rPr>
        <w:t xml:space="preserve"> </w:t>
      </w:r>
      <w:r w:rsidRPr="00D041CB">
        <w:rPr>
          <w:rFonts w:ascii="Verdana" w:eastAsiaTheme="minorHAnsi" w:hAnsi="Verdana" w:cs="Verdana"/>
          <w:b/>
          <w:sz w:val="16"/>
          <w:szCs w:val="16"/>
          <w:lang w:eastAsia="en-US"/>
        </w:rPr>
        <w:t>między ustawowymi limitem a wskaźnikiem obsługi długu</w:t>
      </w:r>
      <w:r>
        <w:rPr>
          <w:rFonts w:ascii="Verdana" w:eastAsiaTheme="minorHAnsi" w:hAnsi="Verdana" w:cs="Verdana"/>
          <w:sz w:val="16"/>
          <w:szCs w:val="16"/>
          <w:lang w:eastAsia="en-US"/>
        </w:rPr>
        <w:t xml:space="preserve"> </w:t>
      </w:r>
      <w:r w:rsidRPr="00E63706">
        <w:rPr>
          <w:rFonts w:ascii="Verdana" w:eastAsiaTheme="minorHAnsi" w:hAnsi="Verdana" w:cs="Verdana"/>
          <w:b/>
          <w:sz w:val="16"/>
          <w:szCs w:val="16"/>
          <w:lang w:eastAsia="en-US"/>
        </w:rPr>
        <w:t>dotyczy kilkuletniego ok</w:t>
      </w:r>
      <w:r>
        <w:rPr>
          <w:rFonts w:ascii="Verdana" w:eastAsiaTheme="minorHAnsi" w:hAnsi="Verdana" w:cs="Verdana"/>
          <w:b/>
          <w:sz w:val="16"/>
          <w:szCs w:val="16"/>
          <w:lang w:eastAsia="en-US"/>
        </w:rPr>
        <w:t>resu obejmującego lata 2026-2030, z minimum w 2030</w:t>
      </w:r>
      <w:r w:rsidRPr="00E63706">
        <w:rPr>
          <w:rFonts w:ascii="Verdana" w:eastAsiaTheme="minorHAnsi" w:hAnsi="Verdana" w:cs="Verdana"/>
          <w:b/>
          <w:sz w:val="16"/>
          <w:szCs w:val="16"/>
          <w:lang w:eastAsia="en-US"/>
        </w:rPr>
        <w:t xml:space="preserve"> r.</w:t>
      </w:r>
      <w:r w:rsidRPr="00B55A98">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na poziomie 0,</w:t>
      </w:r>
      <w:r>
        <w:rPr>
          <w:rFonts w:ascii="Verdana" w:eastAsiaTheme="minorHAnsi" w:hAnsi="Verdana" w:cs="Verdana"/>
          <w:b/>
          <w:bCs/>
          <w:sz w:val="16"/>
          <w:szCs w:val="16"/>
          <w:lang w:eastAsia="en-US"/>
        </w:rPr>
        <w:t>22 pkt proc. (wskaźnik 4,5% wobec limitu 4,72</w:t>
      </w:r>
      <w:r w:rsidRPr="005D38F6">
        <w:rPr>
          <w:rFonts w:ascii="Verdana" w:eastAsiaTheme="minorHAnsi" w:hAnsi="Verdana" w:cs="Verdana"/>
          <w:b/>
          <w:bCs/>
          <w:sz w:val="16"/>
          <w:szCs w:val="16"/>
          <w:lang w:eastAsia="en-US"/>
        </w:rPr>
        <w:t>%)</w:t>
      </w:r>
      <w:r>
        <w:rPr>
          <w:rFonts w:ascii="Verdana" w:eastAsiaTheme="minorHAnsi" w:hAnsi="Verdana" w:cs="Verdana"/>
          <w:bCs/>
          <w:sz w:val="16"/>
          <w:szCs w:val="16"/>
          <w:lang w:eastAsia="en-US"/>
        </w:rPr>
        <w:t>,</w:t>
      </w:r>
      <w:r>
        <w:rPr>
          <w:rFonts w:ascii="Verdana" w:eastAsiaTheme="minorHAnsi" w:hAnsi="Verdana" w:cs="Verdana"/>
          <w:sz w:val="16"/>
          <w:szCs w:val="16"/>
          <w:lang w:eastAsia="en-US"/>
        </w:rPr>
        <w:t xml:space="preserve"> co prezentuje poniższy wykres nr 7.</w:t>
      </w:r>
      <w:r w:rsidRPr="005D38F6">
        <w:rPr>
          <w:rFonts w:ascii="Verdana" w:eastAsiaTheme="minorHAnsi" w:hAnsi="Verdana" w:cs="Verdana"/>
          <w:b/>
          <w:bCs/>
          <w:sz w:val="16"/>
          <w:szCs w:val="16"/>
          <w:lang w:eastAsia="en-US"/>
        </w:rPr>
        <w:t xml:space="preserve"> </w:t>
      </w:r>
      <w:r>
        <w:rPr>
          <w:rFonts w:ascii="Verdana" w:eastAsiaTheme="minorHAnsi" w:hAnsi="Verdana" w:cs="Verdana"/>
          <w:sz w:val="16"/>
          <w:szCs w:val="16"/>
          <w:lang w:eastAsia="en-US"/>
        </w:rPr>
        <w:t>Wymóg</w:t>
      </w:r>
      <w:r w:rsidRPr="005D38F6">
        <w:rPr>
          <w:rFonts w:ascii="Verdana" w:eastAsiaTheme="minorHAnsi" w:hAnsi="Verdana" w:cs="Verdana"/>
          <w:sz w:val="16"/>
          <w:szCs w:val="16"/>
          <w:lang w:eastAsia="en-US"/>
        </w:rPr>
        <w:t xml:space="preserve"> zachowania odpowiednich relacji między ustawowymi limitem a wskaźnikiem obsługi długu, </w:t>
      </w:r>
      <w:r>
        <w:rPr>
          <w:rFonts w:ascii="Verdana" w:eastAsiaTheme="minorHAnsi" w:hAnsi="Verdana" w:cs="Verdana"/>
          <w:sz w:val="16"/>
          <w:szCs w:val="16"/>
          <w:lang w:eastAsia="en-US"/>
        </w:rPr>
        <w:t>w średnim okresie zdeterminowany</w:t>
      </w:r>
      <w:r w:rsidRPr="005D38F6">
        <w:rPr>
          <w:rFonts w:ascii="Verdana" w:eastAsiaTheme="minorHAnsi" w:hAnsi="Verdana" w:cs="Verdana"/>
          <w:sz w:val="16"/>
          <w:szCs w:val="16"/>
          <w:lang w:eastAsia="en-US"/>
        </w:rPr>
        <w:t xml:space="preserve"> jest przede wszystkim poziomem zapadalności długu zaciągniętego w latach ubiegłych, natomiast w dłuższym okresie musi także uwzględniać obciążenia związane z planowanym do zaciągnięcia </w:t>
      </w:r>
      <w:r>
        <w:rPr>
          <w:rFonts w:ascii="Verdana" w:eastAsiaTheme="minorHAnsi" w:hAnsi="Verdana" w:cs="Verdana"/>
          <w:sz w:val="16"/>
          <w:szCs w:val="16"/>
          <w:lang w:eastAsia="en-US"/>
        </w:rPr>
        <w:t xml:space="preserve">nowym </w:t>
      </w:r>
      <w:r w:rsidRPr="005D38F6">
        <w:rPr>
          <w:rFonts w:ascii="Verdana" w:eastAsiaTheme="minorHAnsi" w:hAnsi="Verdana" w:cs="Verdana"/>
          <w:sz w:val="16"/>
          <w:szCs w:val="16"/>
          <w:lang w:eastAsia="en-US"/>
        </w:rPr>
        <w:t>długiem celem finansowania realizowanego programu inwestycyjnego.</w:t>
      </w:r>
      <w:r>
        <w:rPr>
          <w:rFonts w:ascii="Verdana" w:eastAsiaTheme="minorHAnsi" w:hAnsi="Verdana" w:cs="Verdana"/>
          <w:sz w:val="16"/>
          <w:szCs w:val="16"/>
          <w:lang w:eastAsia="en-US"/>
        </w:rPr>
        <w:br w:type="page"/>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PROGNOZA RÓŻNICY MIĘDZY USTAWOWYMI LIMITEM A WSKAŹNIKIEM OBSŁUGI DŁUGU, TJ. REZERWA </w:t>
      </w:r>
      <w:r>
        <w:rPr>
          <w:rFonts w:ascii="Verdana" w:hAnsi="Verdana" w:cs="Arial"/>
          <w:b/>
          <w:bCs/>
          <w:iCs/>
          <w:sz w:val="14"/>
          <w:szCs w:val="14"/>
        </w:rPr>
        <w:br/>
        <w:t xml:space="preserve">   W LIMICIE OBSŁUGI DŁUGU (ART. 243 USTAWY O FINANSACH PUBLICZNYCH) NA LATA 2024-2030 </w:t>
      </w:r>
      <w:r>
        <w:rPr>
          <w:rFonts w:ascii="Verdana" w:hAnsi="Verdana" w:cs="Arial"/>
          <w:b/>
          <w:bCs/>
          <w:iCs/>
          <w:sz w:val="14"/>
          <w:szCs w:val="14"/>
        </w:rPr>
        <w:br/>
        <w:t xml:space="preserve">   NA TLE 2023 R. W M.ST. WARSZAWA </w:t>
      </w:r>
      <w:r>
        <w:rPr>
          <w:rFonts w:ascii="Verdana" w:hAnsi="Verdana" w:cs="Arial"/>
          <w:bCs/>
          <w:iCs/>
          <w:sz w:val="14"/>
          <w:szCs w:val="14"/>
        </w:rPr>
        <w:t>[w pkt proc.]</w:t>
      </w:r>
    </w:p>
    <w:p w:rsidR="00CA374E" w:rsidRDefault="00AF0B51" w:rsidP="00CA374E">
      <w:pPr>
        <w:tabs>
          <w:tab w:val="left" w:pos="567"/>
        </w:tabs>
        <w:spacing w:before="120" w:after="120"/>
        <w:jc w:val="both"/>
        <w:rPr>
          <w:rFonts w:ascii="Verdana" w:hAnsi="Verdana" w:cstheme="minorHAnsi"/>
          <w:sz w:val="16"/>
          <w:szCs w:val="16"/>
        </w:rPr>
      </w:pPr>
      <w:r>
        <w:rPr>
          <w:rFonts w:ascii="Verdana" w:hAnsi="Verdana" w:cs="Verdana"/>
          <w:noProof/>
          <w:sz w:val="16"/>
          <w:szCs w:val="16"/>
        </w:rPr>
        <w:pict>
          <v:shape id="_x0000_i1028" type="#_x0000_t75" style="width:455.4pt;height:150.9pt">
            <v:imagedata r:id="rId19" o:title=""/>
          </v:shape>
        </w:pict>
      </w:r>
    </w:p>
    <w:p w:rsidR="00CA374E" w:rsidRDefault="00CA374E" w:rsidP="00CA374E">
      <w:pPr>
        <w:tabs>
          <w:tab w:val="left" w:pos="567"/>
        </w:tabs>
        <w:spacing w:before="120" w:after="120"/>
        <w:jc w:val="both"/>
        <w:rPr>
          <w:rFonts w:ascii="Verdana" w:hAnsi="Verdana" w:cstheme="minorHAnsi"/>
          <w:sz w:val="16"/>
          <w:szCs w:val="16"/>
        </w:rPr>
      </w:pPr>
      <w:r w:rsidRPr="005B77FA">
        <w:rPr>
          <w:rFonts w:ascii="Verdana" w:hAnsi="Verdana" w:cstheme="minorHAnsi"/>
          <w:sz w:val="16"/>
          <w:szCs w:val="16"/>
        </w:rPr>
        <w:t xml:space="preserve">Dzięki wdrożonemu programowi ewolucyjnej adaptacji finansów m.st. Warszawy do trwale ograniczonego </w:t>
      </w:r>
      <w:r>
        <w:rPr>
          <w:rFonts w:ascii="Verdana" w:hAnsi="Verdana" w:cstheme="minorHAnsi"/>
          <w:sz w:val="16"/>
          <w:szCs w:val="16"/>
        </w:rPr>
        <w:br/>
      </w:r>
      <w:r w:rsidRPr="005B77FA">
        <w:rPr>
          <w:rFonts w:ascii="Verdana" w:hAnsi="Verdana" w:cstheme="minorHAnsi"/>
          <w:sz w:val="16"/>
          <w:szCs w:val="16"/>
        </w:rPr>
        <w:t>w konsekwencji rozwiązań Polskie</w:t>
      </w:r>
      <w:r>
        <w:rPr>
          <w:rFonts w:ascii="Verdana" w:hAnsi="Verdana" w:cstheme="minorHAnsi"/>
          <w:sz w:val="16"/>
          <w:szCs w:val="16"/>
        </w:rPr>
        <w:t xml:space="preserve">go Ładu potencjału dochodowego, w tym dzięki maksymalnemu wykorzystaniu wsparcia finansowaniem środkami zwrotnymi, </w:t>
      </w:r>
      <w:r w:rsidRPr="004A7DA9">
        <w:rPr>
          <w:rFonts w:ascii="Verdana" w:hAnsi="Verdana" w:cstheme="minorHAnsi"/>
          <w:b/>
          <w:sz w:val="16"/>
          <w:szCs w:val="16"/>
        </w:rPr>
        <w:t>utrzymane zostało finansowanie planu inwestycyjnego</w:t>
      </w:r>
      <w:r>
        <w:rPr>
          <w:rFonts w:ascii="Verdana" w:hAnsi="Verdana" w:cstheme="minorHAnsi"/>
          <w:b/>
          <w:sz w:val="16"/>
          <w:szCs w:val="16"/>
        </w:rPr>
        <w:t xml:space="preserve"> ujętego w WPF edycji 2023, z przesunięciami wynikającymi ze zmian harmonogramów realizacji projektów</w:t>
      </w:r>
      <w:r>
        <w:rPr>
          <w:rFonts w:ascii="Verdana" w:hAnsi="Verdana" w:cstheme="minorHAnsi"/>
          <w:sz w:val="16"/>
          <w:szCs w:val="16"/>
        </w:rPr>
        <w:t xml:space="preserve"> (3,053 mld zł zaplanowanych wydatków inwestycyjnych na 2024 r.)</w:t>
      </w:r>
      <w:r w:rsidRPr="005B77FA">
        <w:rPr>
          <w:rFonts w:ascii="Verdana" w:hAnsi="Verdana" w:cstheme="minorHAnsi"/>
          <w:sz w:val="16"/>
          <w:szCs w:val="16"/>
        </w:rPr>
        <w:t xml:space="preserve">. W odniesieniu do prognozy wydatków inwestycyjnych mogą nastąpić zmiany wynikające m.in. z potencjalnego uwzględnienia przyszłych dochodów </w:t>
      </w:r>
      <w:r>
        <w:rPr>
          <w:rFonts w:ascii="Verdana" w:hAnsi="Verdana" w:cstheme="minorHAnsi"/>
          <w:sz w:val="16"/>
          <w:szCs w:val="16"/>
        </w:rPr>
        <w:t>unijnych.</w:t>
      </w:r>
      <w:r w:rsidRPr="0066794F">
        <w:rPr>
          <w:rFonts w:ascii="Verdana" w:eastAsiaTheme="minorHAnsi" w:hAnsi="Verdana" w:cs="Verdana"/>
          <w:b/>
          <w:bCs/>
          <w:sz w:val="16"/>
          <w:szCs w:val="16"/>
          <w:lang w:eastAsia="en-US"/>
        </w:rPr>
        <w:t xml:space="preserve"> </w:t>
      </w:r>
      <w:r>
        <w:rPr>
          <w:rFonts w:ascii="Verdana" w:eastAsiaTheme="minorHAnsi" w:hAnsi="Verdana" w:cs="Verdana"/>
          <w:b/>
          <w:bCs/>
          <w:sz w:val="16"/>
          <w:szCs w:val="16"/>
          <w:lang w:eastAsia="en-US"/>
        </w:rPr>
        <w:t>Zatem o</w:t>
      </w:r>
      <w:r w:rsidRPr="001925BC">
        <w:rPr>
          <w:rFonts w:ascii="Verdana" w:eastAsiaTheme="minorHAnsi" w:hAnsi="Verdana" w:cs="Verdana"/>
          <w:b/>
          <w:bCs/>
          <w:sz w:val="16"/>
          <w:szCs w:val="16"/>
          <w:lang w:eastAsia="en-US"/>
        </w:rPr>
        <w:t>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WPF 2024-2050 </w:t>
      </w:r>
      <w:r w:rsidRPr="005D38F6">
        <w:rPr>
          <w:rFonts w:ascii="Verdana" w:eastAsiaTheme="minorHAnsi" w:hAnsi="Verdana" w:cs="Verdana"/>
          <w:b/>
          <w:bCs/>
          <w:sz w:val="16"/>
          <w:szCs w:val="16"/>
          <w:lang w:eastAsia="en-US"/>
        </w:rPr>
        <w:t xml:space="preserve">nie ulega </w:t>
      </w:r>
      <w:r>
        <w:rPr>
          <w:rFonts w:ascii="Verdana" w:eastAsiaTheme="minorHAnsi" w:hAnsi="Verdana" w:cs="Verdana"/>
          <w:b/>
          <w:bCs/>
          <w:sz w:val="16"/>
          <w:szCs w:val="16"/>
          <w:lang w:eastAsia="en-US"/>
        </w:rPr>
        <w:t xml:space="preserve">zasadniczej </w:t>
      </w:r>
      <w:r w:rsidRPr="005D38F6">
        <w:rPr>
          <w:rFonts w:ascii="Verdana" w:eastAsiaTheme="minorHAnsi" w:hAnsi="Verdana" w:cs="Verdana"/>
          <w:b/>
          <w:bCs/>
          <w:sz w:val="16"/>
          <w:szCs w:val="16"/>
          <w:lang w:eastAsia="en-US"/>
        </w:rPr>
        <w:t>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t>
      </w:r>
      <w:r>
        <w:rPr>
          <w:rFonts w:ascii="Verdana" w:eastAsiaTheme="minorHAnsi" w:hAnsi="Verdana" w:cs="Verdana"/>
          <w:b/>
          <w:bCs/>
          <w:sz w:val="16"/>
          <w:szCs w:val="16"/>
          <w:lang w:eastAsia="en-US"/>
        </w:rPr>
        <w:t>WPF</w:t>
      </w:r>
      <w:r w:rsidRPr="005D38F6">
        <w:rPr>
          <w:rFonts w:ascii="Verdana" w:eastAsiaTheme="minorHAnsi" w:hAnsi="Verdana" w:cs="Verdana"/>
          <w:b/>
          <w:bCs/>
          <w:sz w:val="16"/>
          <w:szCs w:val="16"/>
          <w:lang w:eastAsia="en-US"/>
        </w:rPr>
        <w:t xml:space="preserve"> edycji </w:t>
      </w:r>
      <w:r>
        <w:rPr>
          <w:rFonts w:ascii="Verdana" w:eastAsiaTheme="minorHAnsi" w:hAnsi="Verdana" w:cs="Verdana"/>
          <w:b/>
          <w:bCs/>
          <w:sz w:val="16"/>
          <w:szCs w:val="16"/>
          <w:lang w:eastAsia="en-US"/>
        </w:rPr>
        <w:t>2023</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 xml:space="preserve"> (8,2% podwyższenie limitów inwestycyjnych łącznie w latach 2024-2027),</w:t>
      </w:r>
      <w:r w:rsidRPr="00ED4BB6">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z tym że modyfikacji podlega rozkład nakładów w latach zdeterminowany zmianami w harmonogramach realizacji inwestycji.</w:t>
      </w:r>
    </w:p>
    <w:p w:rsidR="00CA374E" w:rsidRDefault="00CA374E" w:rsidP="00CA374E">
      <w:pPr>
        <w:autoSpaceDE w:val="0"/>
        <w:autoSpaceDN w:val="0"/>
        <w:adjustRightInd w:val="0"/>
        <w:spacing w:before="60" w:after="60"/>
        <w:jc w:val="both"/>
        <w:rPr>
          <w:rFonts w:ascii="Verdana" w:eastAsiaTheme="minorHAnsi" w:hAnsi="Verdana" w:cs="Verdana"/>
          <w:sz w:val="16"/>
          <w:szCs w:val="16"/>
          <w:lang w:eastAsia="en-US"/>
        </w:rPr>
      </w:pPr>
      <w:r w:rsidRPr="005D38F6">
        <w:rPr>
          <w:rFonts w:ascii="Verdana" w:eastAsiaTheme="minorHAnsi" w:hAnsi="Verdana" w:cs="Verdana"/>
          <w:sz w:val="16"/>
          <w:szCs w:val="16"/>
          <w:lang w:eastAsia="en-US"/>
        </w:rPr>
        <w:t xml:space="preserve">W </w:t>
      </w:r>
      <w:r>
        <w:rPr>
          <w:rFonts w:ascii="Verdana" w:eastAsiaTheme="minorHAnsi" w:hAnsi="Verdana" w:cs="Verdana"/>
          <w:sz w:val="16"/>
          <w:szCs w:val="16"/>
          <w:lang w:eastAsia="en-US"/>
        </w:rPr>
        <w:t>WPF 2024</w:t>
      </w:r>
      <w:r w:rsidRPr="005D38F6">
        <w:rPr>
          <w:rFonts w:ascii="Verdana" w:eastAsiaTheme="minorHAnsi" w:hAnsi="Verdana" w:cs="Verdana"/>
          <w:sz w:val="16"/>
          <w:szCs w:val="16"/>
          <w:lang w:eastAsia="en-US"/>
        </w:rPr>
        <w:t xml:space="preserve">-2050 m.st. Warszawy zabezpieczone są środki na wydatki stanowiące przedsięwzięcia wieloletnie, które zostały uwzględnione w </w:t>
      </w:r>
      <w:r>
        <w:rPr>
          <w:rFonts w:ascii="Verdana" w:eastAsiaTheme="minorHAnsi" w:hAnsi="Verdana" w:cs="Verdana"/>
          <w:sz w:val="16"/>
          <w:szCs w:val="16"/>
          <w:lang w:eastAsia="en-US"/>
        </w:rPr>
        <w:t>WPF edycji 2023</w:t>
      </w:r>
      <w:r w:rsidRPr="005D38F6">
        <w:rPr>
          <w:rFonts w:ascii="Verdana" w:eastAsiaTheme="minorHAnsi" w:hAnsi="Verdana" w:cs="Verdana"/>
          <w:sz w:val="16"/>
          <w:szCs w:val="16"/>
          <w:lang w:eastAsia="en-US"/>
        </w:rPr>
        <w:t>-2050 w części dotyczącej 202</w:t>
      </w:r>
      <w:r>
        <w:rPr>
          <w:rFonts w:ascii="Verdana" w:eastAsiaTheme="minorHAnsi" w:hAnsi="Verdana" w:cs="Verdana"/>
          <w:sz w:val="16"/>
          <w:szCs w:val="16"/>
          <w:lang w:eastAsia="en-US"/>
        </w:rPr>
        <w:t>4</w:t>
      </w:r>
      <w:r w:rsidRPr="005D38F6">
        <w:rPr>
          <w:rFonts w:ascii="Verdana" w:eastAsiaTheme="minorHAnsi" w:hAnsi="Verdana" w:cs="Verdana"/>
          <w:sz w:val="16"/>
          <w:szCs w:val="16"/>
          <w:lang w:eastAsia="en-US"/>
        </w:rPr>
        <w:t xml:space="preserve"> r. oraz na wydatki </w:t>
      </w:r>
      <w:r>
        <w:rPr>
          <w:rFonts w:ascii="Verdana" w:eastAsiaTheme="minorHAnsi" w:hAnsi="Verdana" w:cs="Verdana"/>
          <w:sz w:val="16"/>
          <w:szCs w:val="16"/>
          <w:lang w:eastAsia="en-US"/>
        </w:rPr>
        <w:t xml:space="preserve">związane </w:t>
      </w:r>
      <w:r>
        <w:rPr>
          <w:rFonts w:ascii="Verdana" w:eastAsiaTheme="minorHAnsi" w:hAnsi="Verdana" w:cs="Verdana"/>
          <w:sz w:val="16"/>
          <w:szCs w:val="16"/>
          <w:lang w:eastAsia="en-US"/>
        </w:rPr>
        <w:br/>
        <w:t>z przekazywanymi w 2023</w:t>
      </w:r>
      <w:r w:rsidRPr="005D38F6">
        <w:rPr>
          <w:rFonts w:ascii="Verdana" w:eastAsiaTheme="minorHAnsi" w:hAnsi="Verdana" w:cs="Verdana"/>
          <w:sz w:val="16"/>
          <w:szCs w:val="16"/>
          <w:lang w:eastAsia="en-US"/>
        </w:rPr>
        <w:t xml:space="preserve"> r. i p</w:t>
      </w:r>
      <w:r>
        <w:rPr>
          <w:rFonts w:ascii="Verdana" w:eastAsiaTheme="minorHAnsi" w:hAnsi="Verdana" w:cs="Verdana"/>
          <w:sz w:val="16"/>
          <w:szCs w:val="16"/>
          <w:lang w:eastAsia="en-US"/>
        </w:rPr>
        <w:t>lanowanymi do przekazania w 2024</w:t>
      </w:r>
      <w:r w:rsidRPr="005D38F6">
        <w:rPr>
          <w:rFonts w:ascii="Verdana" w:eastAsiaTheme="minorHAnsi" w:hAnsi="Verdana" w:cs="Verdana"/>
          <w:sz w:val="16"/>
          <w:szCs w:val="16"/>
          <w:lang w:eastAsia="en-US"/>
        </w:rPr>
        <w:t xml:space="preserve"> r. do użytkowania i do bieżącego utrzymania inwestycjami, w tym w szczególności w zakresie infrastruktury transportowej oraz w obszarze oświaty i kultury. Ustalone parametry budżetowe w zakresie wydatków inwestycyjnych zapewniają kontynuację finansowania zadań wcześniej rozpoczętych wraz z dostosowaniem realizacji nowych projektów inwestycyjnych do możliwości finansowych Miasta. Jednocześnie w Wieloletniej Prognozie Finansowej m.st. Warszawy ujęte są programy strategiczne obejmujące realizację innych zadań na terenie poszczególnych dzielnic. Środki finansowe zaplanowane w ramach powyższych programów będą sukcesywnie – wraz z kolejnymi etapami ich wdrażania – rozdysponowywane między dysponentów na konkretne przedsięwzięcia inwestycyjne. </w:t>
      </w:r>
    </w:p>
    <w:p w:rsidR="00CA374E" w:rsidRDefault="00CA374E" w:rsidP="00CA374E">
      <w:pPr>
        <w:tabs>
          <w:tab w:val="left" w:pos="567"/>
        </w:tabs>
        <w:spacing w:before="120" w:after="120"/>
        <w:jc w:val="both"/>
        <w:rPr>
          <w:rFonts w:ascii="Verdana" w:hAnsi="Verdana" w:cstheme="minorHAnsi"/>
          <w:sz w:val="16"/>
          <w:szCs w:val="16"/>
        </w:rPr>
      </w:pPr>
      <w:r>
        <w:rPr>
          <w:rFonts w:ascii="Verdana" w:hAnsi="Verdana" w:cstheme="minorHAnsi"/>
          <w:sz w:val="16"/>
          <w:szCs w:val="16"/>
        </w:rPr>
        <w:t xml:space="preserve">W zakresie </w:t>
      </w:r>
      <w:r w:rsidRPr="004A7DA9">
        <w:rPr>
          <w:rFonts w:ascii="Verdana" w:hAnsi="Verdana" w:cstheme="minorHAnsi"/>
          <w:b/>
          <w:sz w:val="16"/>
          <w:szCs w:val="16"/>
        </w:rPr>
        <w:t>wydatków bieżących</w:t>
      </w:r>
      <w:r>
        <w:rPr>
          <w:rFonts w:ascii="Verdana" w:hAnsi="Verdana" w:cstheme="minorHAnsi"/>
          <w:sz w:val="16"/>
          <w:szCs w:val="16"/>
        </w:rPr>
        <w:t xml:space="preserve"> ustalony na 2024 r. poziom (24,722 mld zł) </w:t>
      </w:r>
      <w:r w:rsidRPr="004A7DA9">
        <w:rPr>
          <w:rFonts w:ascii="Verdana" w:hAnsi="Verdana" w:cstheme="minorHAnsi"/>
          <w:b/>
          <w:sz w:val="16"/>
          <w:szCs w:val="16"/>
        </w:rPr>
        <w:t>zabezpiecza funkcjonowanie realizowanych zadań i polityk miejskich</w:t>
      </w:r>
      <w:r>
        <w:rPr>
          <w:rFonts w:ascii="Verdana" w:hAnsi="Verdana" w:cstheme="minorHAnsi"/>
          <w:sz w:val="16"/>
          <w:szCs w:val="16"/>
        </w:rPr>
        <w:t xml:space="preserve"> bez konieczności ich drastycznych ograniczeń z uwagi na znaczące negatywne skutki dochodowe Polskiego Ładu. </w:t>
      </w:r>
      <w:r w:rsidRPr="004A7DA9">
        <w:rPr>
          <w:rFonts w:ascii="Verdana" w:hAnsi="Verdana" w:cstheme="minorHAnsi"/>
          <w:b/>
          <w:sz w:val="16"/>
          <w:szCs w:val="16"/>
        </w:rPr>
        <w:t>Konsekwencją jest wystąpienie w 2024 r. planowanego drugi rok z rzędu po 2023 r. wysokiego deficytu budżetowego</w:t>
      </w:r>
      <w:r>
        <w:rPr>
          <w:rFonts w:ascii="Verdana" w:hAnsi="Verdana" w:cstheme="minorHAnsi"/>
          <w:sz w:val="16"/>
          <w:szCs w:val="16"/>
        </w:rPr>
        <w:t xml:space="preserve"> (4,051 mld zł w 2023 r. i 3,255 mld zł </w:t>
      </w:r>
      <w:r>
        <w:rPr>
          <w:rFonts w:ascii="Verdana" w:hAnsi="Verdana" w:cstheme="minorHAnsi"/>
          <w:sz w:val="16"/>
          <w:szCs w:val="16"/>
        </w:rPr>
        <w:br/>
        <w:t xml:space="preserve">w 2024 r.) </w:t>
      </w:r>
      <w:r w:rsidRPr="004A7DA9">
        <w:rPr>
          <w:rFonts w:ascii="Verdana" w:hAnsi="Verdana" w:cstheme="minorHAnsi"/>
          <w:b/>
          <w:sz w:val="16"/>
          <w:szCs w:val="16"/>
        </w:rPr>
        <w:t>i deficytu operacyjnego</w:t>
      </w:r>
      <w:r>
        <w:rPr>
          <w:rFonts w:ascii="Verdana" w:hAnsi="Verdana" w:cstheme="minorHAnsi"/>
          <w:sz w:val="16"/>
          <w:szCs w:val="16"/>
        </w:rPr>
        <w:t xml:space="preserve"> (1,319 mld zł w 2023 r. i 809 mln zł w 2024 r.). </w:t>
      </w:r>
      <w:r w:rsidRPr="00094A8E">
        <w:rPr>
          <w:rFonts w:ascii="Verdana" w:hAnsi="Verdana" w:cstheme="minorHAnsi"/>
          <w:b/>
          <w:sz w:val="16"/>
          <w:szCs w:val="16"/>
        </w:rPr>
        <w:t>W sytuacji braku zmian regulacji prawnych przywracających możliwości dochodowe m.st. Warszawy sprzed Polskiego Ładu, konieczne będzie wejście w realizację scenariusza</w:t>
      </w:r>
      <w:r>
        <w:rPr>
          <w:rFonts w:ascii="Verdana" w:hAnsi="Verdana" w:cstheme="minorHAnsi"/>
          <w:b/>
          <w:sz w:val="16"/>
          <w:szCs w:val="16"/>
        </w:rPr>
        <w:t xml:space="preserve"> ujętego w niniejszej </w:t>
      </w:r>
      <w:r w:rsidRPr="00094A8E">
        <w:rPr>
          <w:rFonts w:ascii="Verdana" w:hAnsi="Verdana" w:cstheme="minorHAnsi"/>
          <w:b/>
          <w:sz w:val="16"/>
          <w:szCs w:val="16"/>
        </w:rPr>
        <w:t>WPF 2024-2050.</w:t>
      </w:r>
      <w:r>
        <w:rPr>
          <w:rFonts w:ascii="Verdana" w:hAnsi="Verdana" w:cstheme="minorHAnsi"/>
          <w:sz w:val="16"/>
          <w:szCs w:val="16"/>
        </w:rPr>
        <w:t xml:space="preserve"> Oznacza to, że w WPF nie zostały ujęte efekty ewentualnych zmian przepisów korzystnie wpływających na dochody JST. </w:t>
      </w:r>
    </w:p>
    <w:p w:rsidR="00CA374E" w:rsidRDefault="00CA374E" w:rsidP="00CA374E">
      <w:pPr>
        <w:autoSpaceDE w:val="0"/>
        <w:autoSpaceDN w:val="0"/>
        <w:adjustRightInd w:val="0"/>
        <w:spacing w:before="60" w:after="60"/>
        <w:jc w:val="both"/>
        <w:rPr>
          <w:rFonts w:ascii="Verdana" w:hAnsi="Verdana"/>
          <w:b/>
          <w:noProof/>
          <w:sz w:val="16"/>
          <w:szCs w:val="16"/>
        </w:rPr>
      </w:pPr>
      <w:r>
        <w:rPr>
          <w:rFonts w:ascii="Verdana" w:hAnsi="Verdana"/>
          <w:sz w:val="16"/>
          <w:szCs w:val="16"/>
        </w:rPr>
        <w:t xml:space="preserve">W związku z powyższym z uwagi na konieczność dostosowania poziomu wydatków bieżących do możliwych do uzyskania dochodów bieżących, przy wymogu respektowania ustawowej reguły limitu obsługi długu powiązanej </w:t>
      </w:r>
      <w:r>
        <w:rPr>
          <w:rFonts w:ascii="Verdana" w:hAnsi="Verdana"/>
          <w:sz w:val="16"/>
          <w:szCs w:val="16"/>
        </w:rPr>
        <w:br/>
        <w:t xml:space="preserve">z wysokością uzyskiwanych wyników operacyjnych (art. 243 ustawy o finansach publicznych) oraz wzrastających obciążeń budżetu spłatą długu, </w:t>
      </w:r>
      <w:r w:rsidRPr="000B1C13">
        <w:rPr>
          <w:rFonts w:ascii="Verdana" w:hAnsi="Verdana"/>
          <w:b/>
          <w:sz w:val="16"/>
          <w:szCs w:val="16"/>
        </w:rPr>
        <w:t xml:space="preserve">w średnim terminie </w:t>
      </w:r>
      <w:r>
        <w:rPr>
          <w:rFonts w:ascii="Verdana" w:hAnsi="Verdana"/>
          <w:b/>
          <w:sz w:val="16"/>
          <w:szCs w:val="16"/>
        </w:rPr>
        <w:t>konieczne może być</w:t>
      </w:r>
      <w:r w:rsidRPr="000B1C13">
        <w:rPr>
          <w:rFonts w:ascii="Verdana" w:hAnsi="Verdana"/>
          <w:b/>
          <w:sz w:val="16"/>
          <w:szCs w:val="16"/>
        </w:rPr>
        <w:t xml:space="preserve"> obniżenie limitów wydatków </w:t>
      </w:r>
      <w:r w:rsidRPr="000B1C13">
        <w:rPr>
          <w:rFonts w:ascii="Verdana" w:hAnsi="Verdana"/>
          <w:b/>
          <w:sz w:val="16"/>
          <w:szCs w:val="16"/>
        </w:rPr>
        <w:lastRenderedPageBreak/>
        <w:t xml:space="preserve">bieżących w stosunku do 2024 r. </w:t>
      </w:r>
      <w:r>
        <w:rPr>
          <w:rFonts w:ascii="Verdana" w:hAnsi="Verdana"/>
          <w:b/>
          <w:sz w:val="16"/>
          <w:szCs w:val="16"/>
        </w:rPr>
        <w:t>oznaczające</w:t>
      </w:r>
      <w:r w:rsidRPr="000B1C13">
        <w:rPr>
          <w:rFonts w:ascii="Verdana" w:hAnsi="Verdana"/>
          <w:b/>
          <w:sz w:val="16"/>
          <w:szCs w:val="16"/>
        </w:rPr>
        <w:t xml:space="preserve"> brak możliwości utrzymania realnego poziomu wydatków bieżących z 2024 r</w:t>
      </w:r>
      <w:r>
        <w:rPr>
          <w:rFonts w:ascii="Verdana" w:hAnsi="Verdana"/>
          <w:b/>
          <w:noProof/>
          <w:sz w:val="16"/>
          <w:szCs w:val="16"/>
        </w:rPr>
        <w:t>.</w:t>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PLANOWANE DLA LAT 2024-2028 LIMITY WYDATKÓW BIEŻĄCYCH W WPF 2024-2050 M.ST. WARSZAWY </w:t>
      </w:r>
      <w:r>
        <w:rPr>
          <w:rFonts w:ascii="Verdana" w:hAnsi="Verdana" w:cs="Arial"/>
          <w:b/>
          <w:bCs/>
          <w:iCs/>
          <w:sz w:val="14"/>
          <w:szCs w:val="14"/>
        </w:rPr>
        <w:br/>
        <w:t xml:space="preserve">   </w:t>
      </w:r>
      <w:r>
        <w:rPr>
          <w:rFonts w:ascii="Verdana" w:hAnsi="Verdana" w:cs="Arial"/>
          <w:bCs/>
          <w:iCs/>
          <w:sz w:val="14"/>
          <w:szCs w:val="14"/>
        </w:rPr>
        <w:t>[w mln zł]</w:t>
      </w:r>
    </w:p>
    <w:p w:rsidR="00CA374E" w:rsidRDefault="00AF0B51" w:rsidP="00CA374E">
      <w:pPr>
        <w:spacing w:before="60" w:after="60"/>
        <w:jc w:val="both"/>
        <w:rPr>
          <w:rFonts w:ascii="Verdana" w:hAnsi="Verdana" w:cs="Verdana"/>
          <w:sz w:val="16"/>
          <w:szCs w:val="16"/>
        </w:rPr>
      </w:pPr>
      <w:r>
        <w:rPr>
          <w:rFonts w:ascii="Verdana" w:hAnsi="Verdana" w:cs="Verdana"/>
          <w:noProof/>
          <w:sz w:val="16"/>
          <w:szCs w:val="16"/>
        </w:rPr>
        <w:pict>
          <v:shape id="_x0000_i1029" type="#_x0000_t75" style="width:295.2pt;height:185.7pt">
            <v:imagedata r:id="rId20" o:title=""/>
          </v:shape>
        </w:pict>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9</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BRAKUJĄCE W WPF 2024-2050 M.ST. WARSZAWY DLA LAT 2025-2028 KWOTY DLA UTRZYMANIA  </w:t>
      </w:r>
      <w:r>
        <w:rPr>
          <w:rFonts w:ascii="Verdana" w:hAnsi="Verdana" w:cs="Arial"/>
          <w:b/>
          <w:bCs/>
          <w:iCs/>
          <w:sz w:val="14"/>
          <w:szCs w:val="14"/>
        </w:rPr>
        <w:br/>
        <w:t xml:space="preserve">   REALNEGO POZIOMU WYDATKÓW BIEŻĄCYCH Z 2024 R. PO UWZGLĘDNIENIU INFLACJI </w:t>
      </w:r>
      <w:r>
        <w:rPr>
          <w:rFonts w:ascii="Verdana" w:hAnsi="Verdana" w:cs="Arial"/>
          <w:bCs/>
          <w:iCs/>
          <w:sz w:val="14"/>
          <w:szCs w:val="14"/>
        </w:rPr>
        <w:t>[w mln zł]</w:t>
      </w:r>
    </w:p>
    <w:p w:rsidR="00CA374E" w:rsidRDefault="00AF0B51" w:rsidP="00CA374E">
      <w:pPr>
        <w:spacing w:before="60" w:after="60"/>
        <w:jc w:val="both"/>
        <w:rPr>
          <w:rFonts w:ascii="Verdana" w:eastAsiaTheme="minorHAnsi" w:hAnsi="Verdana" w:cs="Verdana"/>
          <w:sz w:val="16"/>
          <w:szCs w:val="16"/>
          <w:lang w:eastAsia="en-US"/>
        </w:rPr>
      </w:pPr>
      <w:r>
        <w:rPr>
          <w:rFonts w:ascii="Verdana" w:hAnsi="Verdana" w:cs="Verdana"/>
          <w:noProof/>
          <w:sz w:val="16"/>
          <w:szCs w:val="16"/>
        </w:rPr>
        <w:pict>
          <v:shape id="_x0000_i1030" type="#_x0000_t75" style="width:295.5pt;height:174.9pt">
            <v:imagedata r:id="rId21" o:title=""/>
          </v:shape>
        </w:pict>
      </w:r>
    </w:p>
    <w:p w:rsidR="00CA374E" w:rsidRDefault="00CA374E" w:rsidP="00CA374E">
      <w:pPr>
        <w:spacing w:before="60" w:after="60"/>
        <w:jc w:val="both"/>
        <w:rPr>
          <w:rFonts w:ascii="Verdana" w:hAnsi="Verdana" w:cs="Verdana"/>
          <w:sz w:val="16"/>
          <w:szCs w:val="16"/>
        </w:rPr>
      </w:pPr>
      <w:r w:rsidRPr="005D38F6">
        <w:rPr>
          <w:rFonts w:ascii="Verdana" w:eastAsiaTheme="minorHAnsi" w:hAnsi="Verdana" w:cs="Verdana"/>
          <w:sz w:val="16"/>
          <w:szCs w:val="16"/>
          <w:lang w:eastAsia="en-US"/>
        </w:rPr>
        <w:t xml:space="preserve">Podsumowując, w obliczu znaczącego wymiaru finansowego negatywnych uwarunkowań budżetowych, </w:t>
      </w:r>
      <w:r>
        <w:rPr>
          <w:rFonts w:ascii="Verdana" w:eastAsiaTheme="minorHAnsi" w:hAnsi="Verdana" w:cs="Verdana"/>
          <w:sz w:val="16"/>
          <w:szCs w:val="16"/>
          <w:lang w:eastAsia="en-US"/>
        </w:rPr>
        <w:br/>
      </w:r>
      <w:r w:rsidRPr="005D38F6">
        <w:rPr>
          <w:rFonts w:ascii="Verdana" w:eastAsiaTheme="minorHAnsi" w:hAnsi="Verdana" w:cs="Verdana"/>
          <w:sz w:val="16"/>
          <w:szCs w:val="16"/>
          <w:lang w:eastAsia="en-US"/>
        </w:rPr>
        <w:t xml:space="preserve">a w szczególności istotnego trwałego ograniczenia dochodów z udziału w PIT związanego ze zmianami legislacyjnymi objętymi rządowym Programem Polski Ład oraz </w:t>
      </w:r>
      <w:r>
        <w:rPr>
          <w:rFonts w:ascii="Verdana" w:eastAsiaTheme="minorHAnsi" w:hAnsi="Verdana" w:cs="Verdana"/>
          <w:sz w:val="16"/>
          <w:szCs w:val="16"/>
          <w:lang w:eastAsia="en-US"/>
        </w:rPr>
        <w:t xml:space="preserve">w świetle </w:t>
      </w:r>
      <w:r w:rsidRPr="005D38F6">
        <w:rPr>
          <w:rFonts w:ascii="Verdana" w:eastAsiaTheme="minorHAnsi" w:hAnsi="Verdana" w:cs="Verdana"/>
          <w:sz w:val="16"/>
          <w:szCs w:val="16"/>
          <w:lang w:eastAsia="en-US"/>
        </w:rPr>
        <w:t>aktualn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i prognozowan</w:t>
      </w:r>
      <w:r>
        <w:rPr>
          <w:rFonts w:ascii="Verdana" w:eastAsiaTheme="minorHAnsi" w:hAnsi="Verdana" w:cs="Verdana"/>
          <w:sz w:val="16"/>
          <w:szCs w:val="16"/>
          <w:lang w:eastAsia="en-US"/>
        </w:rPr>
        <w:t>ego</w:t>
      </w:r>
      <w:r w:rsidRPr="005D38F6">
        <w:rPr>
          <w:rFonts w:ascii="Verdana" w:eastAsiaTheme="minorHAnsi" w:hAnsi="Verdana" w:cs="Verdana"/>
          <w:sz w:val="16"/>
          <w:szCs w:val="16"/>
          <w:lang w:eastAsia="en-US"/>
        </w:rPr>
        <w:t xml:space="preserve"> stan</w:t>
      </w:r>
      <w:r>
        <w:rPr>
          <w:rFonts w:ascii="Verdana" w:eastAsiaTheme="minorHAnsi" w:hAnsi="Verdana" w:cs="Verdana"/>
          <w:sz w:val="16"/>
          <w:szCs w:val="16"/>
          <w:lang w:eastAsia="en-US"/>
        </w:rPr>
        <w:t>u</w:t>
      </w:r>
      <w:r w:rsidRPr="005D38F6">
        <w:rPr>
          <w:rFonts w:ascii="Verdana" w:eastAsiaTheme="minorHAnsi" w:hAnsi="Verdana" w:cs="Verdana"/>
          <w:sz w:val="16"/>
          <w:szCs w:val="16"/>
          <w:lang w:eastAsia="en-US"/>
        </w:rPr>
        <w:t xml:space="preserve"> koniunktury gospodarczej oraz mając na uwadze zachodzące tendencje inflacyjne, w warunkach konieczności respektowania ustawowych reguł limitujących wydatki bieżące i obciążenia związane z obsługą długu, </w:t>
      </w:r>
      <w:r>
        <w:rPr>
          <w:rFonts w:ascii="Verdana" w:eastAsiaTheme="minorHAnsi" w:hAnsi="Verdana" w:cs="Verdana"/>
          <w:sz w:val="16"/>
          <w:szCs w:val="16"/>
          <w:lang w:eastAsia="en-US"/>
        </w:rPr>
        <w:br/>
      </w:r>
      <w:r w:rsidRPr="005D38F6">
        <w:rPr>
          <w:rFonts w:ascii="Verdana" w:eastAsiaTheme="minorHAnsi" w:hAnsi="Verdana" w:cs="Verdana"/>
          <w:b/>
          <w:bCs/>
          <w:sz w:val="16"/>
          <w:szCs w:val="16"/>
          <w:lang w:eastAsia="en-US"/>
        </w:rPr>
        <w:t>w najbliższej perspektywie m.st. Warszawa będzie dysponowało ograniczonym potencjałem finansowania zadań</w:t>
      </w:r>
      <w:r>
        <w:rPr>
          <w:rFonts w:ascii="Verdana" w:hAnsi="Verdana" w:cs="Verdana"/>
          <w:sz w:val="16"/>
          <w:szCs w:val="16"/>
        </w:rPr>
        <w:t>.</w:t>
      </w:r>
      <w:r>
        <w:rPr>
          <w:rFonts w:ascii="Verdana" w:hAnsi="Verdana" w:cs="Verdana"/>
          <w:sz w:val="16"/>
          <w:szCs w:val="16"/>
        </w:rPr>
        <w:br w:type="page"/>
      </w:r>
    </w:p>
    <w:p w:rsidR="00CA374E" w:rsidRPr="00E93B6F" w:rsidRDefault="00CA374E" w:rsidP="00CA374E">
      <w:pPr>
        <w:tabs>
          <w:tab w:val="left" w:pos="567"/>
        </w:tabs>
        <w:spacing w:before="120" w:after="120"/>
        <w:jc w:val="both"/>
        <w:rPr>
          <w:rFonts w:ascii="Verdana" w:hAnsi="Verdana" w:cstheme="minorHAnsi"/>
          <w:b/>
          <w:sz w:val="16"/>
          <w:szCs w:val="16"/>
        </w:rPr>
      </w:pPr>
      <w:r>
        <w:rPr>
          <w:rFonts w:ascii="Verdana" w:hAnsi="Verdana" w:cstheme="minorHAnsi"/>
          <w:b/>
          <w:sz w:val="16"/>
          <w:szCs w:val="16"/>
        </w:rPr>
        <w:lastRenderedPageBreak/>
        <w:t>Podstawowe parametry budżetowe zgodne z WPF 2024-2050 dla lat 2024-2030</w:t>
      </w:r>
      <w:r w:rsidRPr="00E93B6F">
        <w:rPr>
          <w:rFonts w:ascii="Verdana" w:hAnsi="Verdana" w:cstheme="minorHAnsi"/>
          <w:b/>
          <w:sz w:val="16"/>
          <w:szCs w:val="16"/>
        </w:rPr>
        <w:t xml:space="preserve"> kształtują się następująco:</w:t>
      </w:r>
    </w:p>
    <w:tbl>
      <w:tblPr>
        <w:tblStyle w:val="Tabela-Siatka"/>
        <w:tblW w:w="9062" w:type="dxa"/>
        <w:tblLayout w:type="fixed"/>
        <w:tblLook w:val="04A0" w:firstRow="1" w:lastRow="0" w:firstColumn="1" w:lastColumn="0" w:noHBand="0" w:noVBand="1"/>
      </w:tblPr>
      <w:tblGrid>
        <w:gridCol w:w="1812"/>
        <w:gridCol w:w="906"/>
        <w:gridCol w:w="906"/>
        <w:gridCol w:w="907"/>
        <w:gridCol w:w="906"/>
        <w:gridCol w:w="906"/>
        <w:gridCol w:w="906"/>
        <w:gridCol w:w="906"/>
        <w:gridCol w:w="907"/>
      </w:tblGrid>
      <w:tr w:rsidR="00CA374E" w:rsidTr="00067F5A">
        <w:trPr>
          <w:trHeight w:val="427"/>
          <w:tblHeader/>
        </w:trPr>
        <w:tc>
          <w:tcPr>
            <w:tcW w:w="1812" w:type="dxa"/>
            <w:tcBorders>
              <w:top w:val="single" w:sz="12" w:space="0" w:color="auto"/>
              <w:left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Pozycja WPF</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2023 r.*</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2024 r.</w:t>
            </w:r>
          </w:p>
        </w:tc>
        <w:tc>
          <w:tcPr>
            <w:tcW w:w="907"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2025 r.</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2026 r.</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2027 r.</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2028 r.</w:t>
            </w:r>
          </w:p>
        </w:tc>
        <w:tc>
          <w:tcPr>
            <w:tcW w:w="906" w:type="dxa"/>
            <w:tcBorders>
              <w:top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2029 r.</w:t>
            </w:r>
          </w:p>
        </w:tc>
        <w:tc>
          <w:tcPr>
            <w:tcW w:w="907" w:type="dxa"/>
            <w:tcBorders>
              <w:top w:val="single" w:sz="12" w:space="0" w:color="auto"/>
              <w:right w:val="single" w:sz="12" w:space="0" w:color="auto"/>
            </w:tcBorders>
            <w:vAlign w:val="center"/>
          </w:tcPr>
          <w:p w:rsidR="00CA374E" w:rsidRPr="00A43F54"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2030 r.</w:t>
            </w:r>
          </w:p>
        </w:tc>
      </w:tr>
      <w:tr w:rsidR="00CA374E" w:rsidTr="00067F5A">
        <w:trPr>
          <w:trHeight w:val="168"/>
        </w:trPr>
        <w:tc>
          <w:tcPr>
            <w:tcW w:w="9062" w:type="dxa"/>
            <w:gridSpan w:val="9"/>
            <w:tcBorders>
              <w:left w:val="single" w:sz="12" w:space="0" w:color="auto"/>
              <w:bottom w:val="single" w:sz="4" w:space="0" w:color="auto"/>
              <w:right w:val="single" w:sz="12" w:space="0" w:color="auto"/>
            </w:tcBorders>
            <w:vAlign w:val="center"/>
          </w:tcPr>
          <w:p w:rsidR="00CA374E" w:rsidRPr="009B51FF" w:rsidRDefault="00CA374E" w:rsidP="00067F5A">
            <w:pPr>
              <w:tabs>
                <w:tab w:val="left" w:pos="567"/>
              </w:tabs>
              <w:spacing w:line="240" w:lineRule="auto"/>
              <w:jc w:val="center"/>
              <w:rPr>
                <w:rFonts w:ascii="Verdana" w:hAnsi="Verdana" w:cstheme="minorHAnsi"/>
                <w:sz w:val="12"/>
                <w:szCs w:val="12"/>
              </w:rPr>
            </w:pPr>
            <w:r>
              <w:rPr>
                <w:rFonts w:ascii="Verdana" w:hAnsi="Verdana" w:cstheme="minorHAnsi"/>
                <w:sz w:val="12"/>
                <w:szCs w:val="12"/>
              </w:rPr>
              <w:t>w mln</w:t>
            </w:r>
            <w:r w:rsidRPr="009B51FF">
              <w:rPr>
                <w:rFonts w:ascii="Verdana" w:hAnsi="Verdana" w:cstheme="minorHAnsi"/>
                <w:sz w:val="12"/>
                <w:szCs w:val="12"/>
              </w:rPr>
              <w:t xml:space="preserve"> zł</w:t>
            </w:r>
          </w:p>
        </w:tc>
      </w:tr>
      <w:tr w:rsidR="00CA374E" w:rsidTr="00067F5A">
        <w:trPr>
          <w:trHeight w:val="487"/>
        </w:trPr>
        <w:tc>
          <w:tcPr>
            <w:tcW w:w="1812" w:type="dxa"/>
            <w:tcBorders>
              <w:left w:val="single" w:sz="12" w:space="0" w:color="auto"/>
              <w:bottom w:val="nil"/>
            </w:tcBorders>
            <w:shd w:val="clear" w:color="auto" w:fill="FFFFFF" w:themeFill="background1"/>
            <w:vAlign w:val="center"/>
          </w:tcPr>
          <w:p w:rsidR="00CA374E" w:rsidRPr="00C82B89" w:rsidRDefault="00CA374E" w:rsidP="00067F5A">
            <w:pPr>
              <w:tabs>
                <w:tab w:val="left" w:pos="567"/>
              </w:tabs>
              <w:spacing w:line="240" w:lineRule="auto"/>
              <w:rPr>
                <w:rFonts w:ascii="Verdana" w:hAnsi="Verdana" w:cstheme="minorHAnsi"/>
                <w:b/>
                <w:sz w:val="14"/>
                <w:szCs w:val="14"/>
              </w:rPr>
            </w:pPr>
            <w:r w:rsidRPr="00C82B89">
              <w:rPr>
                <w:rFonts w:ascii="Verdana" w:hAnsi="Verdana" w:cstheme="minorHAnsi"/>
                <w:sz w:val="14"/>
                <w:szCs w:val="14"/>
              </w:rPr>
              <w:t>Dochody ogółem</w:t>
            </w:r>
          </w:p>
        </w:tc>
        <w:tc>
          <w:tcPr>
            <w:tcW w:w="906" w:type="dxa"/>
            <w:tcBorders>
              <w:bottom w:val="nil"/>
            </w:tcBorders>
            <w:shd w:val="clear" w:color="auto" w:fill="FFFFFF" w:themeFill="background1"/>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21.310</w:t>
            </w:r>
          </w:p>
        </w:tc>
        <w:tc>
          <w:tcPr>
            <w:tcW w:w="906"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24.519</w:t>
            </w:r>
          </w:p>
        </w:tc>
        <w:tc>
          <w:tcPr>
            <w:tcW w:w="907"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25.348</w:t>
            </w:r>
          </w:p>
        </w:tc>
        <w:tc>
          <w:tcPr>
            <w:tcW w:w="906"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26.156</w:t>
            </w:r>
          </w:p>
        </w:tc>
        <w:tc>
          <w:tcPr>
            <w:tcW w:w="906"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26.468</w:t>
            </w:r>
          </w:p>
        </w:tc>
        <w:tc>
          <w:tcPr>
            <w:tcW w:w="906"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27.116</w:t>
            </w:r>
          </w:p>
        </w:tc>
        <w:tc>
          <w:tcPr>
            <w:tcW w:w="906" w:type="dxa"/>
            <w:tcBorders>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28.004</w:t>
            </w:r>
          </w:p>
        </w:tc>
        <w:tc>
          <w:tcPr>
            <w:tcW w:w="907" w:type="dxa"/>
            <w:tcBorders>
              <w:bottom w:val="nil"/>
              <w:right w:val="single" w:sz="12" w:space="0" w:color="auto"/>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29.063</w:t>
            </w:r>
          </w:p>
        </w:tc>
      </w:tr>
      <w:tr w:rsidR="00CA374E" w:rsidTr="00067F5A">
        <w:trPr>
          <w:trHeight w:val="487"/>
        </w:trPr>
        <w:tc>
          <w:tcPr>
            <w:tcW w:w="1812" w:type="dxa"/>
            <w:tcBorders>
              <w:left w:val="single" w:sz="12" w:space="0" w:color="auto"/>
              <w:bottom w:val="nil"/>
            </w:tcBorders>
            <w:shd w:val="clear" w:color="auto" w:fill="FFFFFF" w:themeFill="background1"/>
            <w:vAlign w:val="center"/>
          </w:tcPr>
          <w:p w:rsidR="00CA374E" w:rsidRPr="00C82B89" w:rsidRDefault="00CA374E" w:rsidP="00067F5A">
            <w:pPr>
              <w:tabs>
                <w:tab w:val="left" w:pos="567"/>
              </w:tabs>
              <w:spacing w:line="240" w:lineRule="auto"/>
              <w:rPr>
                <w:rFonts w:ascii="Verdana" w:hAnsi="Verdana" w:cstheme="minorHAnsi"/>
                <w:b/>
                <w:sz w:val="14"/>
                <w:szCs w:val="14"/>
              </w:rPr>
            </w:pPr>
            <w:r>
              <w:rPr>
                <w:rFonts w:ascii="Verdana" w:hAnsi="Verdana" w:cstheme="minorHAnsi"/>
                <w:sz w:val="14"/>
                <w:szCs w:val="14"/>
              </w:rPr>
              <w:t>Wydatki</w:t>
            </w:r>
            <w:r w:rsidRPr="00C82B89">
              <w:rPr>
                <w:rFonts w:ascii="Verdana" w:hAnsi="Verdana" w:cstheme="minorHAnsi"/>
                <w:sz w:val="14"/>
                <w:szCs w:val="14"/>
              </w:rPr>
              <w:t xml:space="preserve"> ogółem</w:t>
            </w:r>
          </w:p>
        </w:tc>
        <w:tc>
          <w:tcPr>
            <w:tcW w:w="906" w:type="dxa"/>
            <w:tcBorders>
              <w:top w:val="single" w:sz="4" w:space="0" w:color="auto"/>
              <w:bottom w:val="nil"/>
            </w:tcBorders>
            <w:shd w:val="clear" w:color="auto" w:fill="FFFFFF" w:themeFill="background1"/>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25.361</w:t>
            </w:r>
          </w:p>
        </w:tc>
        <w:tc>
          <w:tcPr>
            <w:tcW w:w="906"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27.775</w:t>
            </w:r>
          </w:p>
        </w:tc>
        <w:tc>
          <w:tcPr>
            <w:tcW w:w="907"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27.441</w:t>
            </w:r>
          </w:p>
        </w:tc>
        <w:tc>
          <w:tcPr>
            <w:tcW w:w="906"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26.895</w:t>
            </w:r>
          </w:p>
        </w:tc>
        <w:tc>
          <w:tcPr>
            <w:tcW w:w="906"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26.701</w:t>
            </w:r>
          </w:p>
        </w:tc>
        <w:tc>
          <w:tcPr>
            <w:tcW w:w="906"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26.503</w:t>
            </w:r>
          </w:p>
        </w:tc>
        <w:tc>
          <w:tcPr>
            <w:tcW w:w="906" w:type="dxa"/>
            <w:tcBorders>
              <w:top w:val="single" w:sz="4" w:space="0" w:color="auto"/>
              <w:bottom w:val="nil"/>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27.521</w:t>
            </w:r>
          </w:p>
        </w:tc>
        <w:tc>
          <w:tcPr>
            <w:tcW w:w="907" w:type="dxa"/>
            <w:tcBorders>
              <w:top w:val="single" w:sz="4" w:space="0" w:color="auto"/>
              <w:bottom w:val="nil"/>
              <w:right w:val="single" w:sz="12" w:space="0" w:color="auto"/>
            </w:tcBorders>
            <w:shd w:val="clear" w:color="auto" w:fill="auto"/>
            <w:vAlign w:val="center"/>
          </w:tcPr>
          <w:p w:rsidR="00CA374E" w:rsidRPr="00A43F54"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28.322</w:t>
            </w:r>
          </w:p>
        </w:tc>
      </w:tr>
      <w:tr w:rsidR="00CA374E" w:rsidTr="00067F5A">
        <w:trPr>
          <w:trHeight w:val="487"/>
        </w:trPr>
        <w:tc>
          <w:tcPr>
            <w:tcW w:w="1812" w:type="dxa"/>
            <w:tcBorders>
              <w:left w:val="single" w:sz="12" w:space="0" w:color="auto"/>
              <w:bottom w:val="nil"/>
            </w:tcBorders>
            <w:shd w:val="clear" w:color="auto" w:fill="FFFFFF" w:themeFill="background1"/>
            <w:vAlign w:val="center"/>
          </w:tcPr>
          <w:p w:rsidR="00CA374E" w:rsidRPr="009B51FF"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Wydatki bieżące</w:t>
            </w:r>
          </w:p>
        </w:tc>
        <w:tc>
          <w:tcPr>
            <w:tcW w:w="906" w:type="dxa"/>
            <w:tcBorders>
              <w:top w:val="single" w:sz="4" w:space="0" w:color="auto"/>
              <w:bottom w:val="nil"/>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21.487</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24.722</w:t>
            </w:r>
          </w:p>
        </w:tc>
        <w:tc>
          <w:tcPr>
            <w:tcW w:w="907"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24.12</w:t>
            </w:r>
            <w:r>
              <w:rPr>
                <w:rFonts w:ascii="Verdana" w:hAnsi="Verdana" w:cstheme="minorHAnsi"/>
                <w:b/>
                <w:sz w:val="16"/>
                <w:szCs w:val="16"/>
              </w:rPr>
              <w:t>2</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24.008</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24.73</w:t>
            </w:r>
            <w:r w:rsidRPr="00F159ED">
              <w:rPr>
                <w:rFonts w:ascii="Verdana" w:hAnsi="Verdana" w:cstheme="minorHAnsi"/>
                <w:b/>
                <w:sz w:val="16"/>
                <w:szCs w:val="16"/>
              </w:rPr>
              <w:t>0</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25.565</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26.668</w:t>
            </w:r>
          </w:p>
        </w:tc>
        <w:tc>
          <w:tcPr>
            <w:tcW w:w="907" w:type="dxa"/>
            <w:tcBorders>
              <w:top w:val="single" w:sz="4" w:space="0" w:color="auto"/>
              <w:bottom w:val="nil"/>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sidRPr="00F159ED">
              <w:rPr>
                <w:rFonts w:ascii="Verdana" w:hAnsi="Verdana" w:cstheme="minorHAnsi"/>
                <w:b/>
                <w:sz w:val="16"/>
                <w:szCs w:val="16"/>
              </w:rPr>
              <w:t>26.932</w:t>
            </w:r>
          </w:p>
        </w:tc>
      </w:tr>
      <w:tr w:rsidR="00CA374E" w:rsidTr="00067F5A">
        <w:trPr>
          <w:trHeight w:val="487"/>
        </w:trPr>
        <w:tc>
          <w:tcPr>
            <w:tcW w:w="1812" w:type="dxa"/>
            <w:tcBorders>
              <w:left w:val="single" w:sz="12" w:space="0" w:color="auto"/>
              <w:bottom w:val="nil"/>
            </w:tcBorders>
            <w:shd w:val="clear" w:color="auto" w:fill="FFFFFF" w:themeFill="background1"/>
            <w:vAlign w:val="center"/>
          </w:tcPr>
          <w:p w:rsidR="00CA374E" w:rsidRPr="009B51FF"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Wydatki majątkowe</w:t>
            </w:r>
          </w:p>
        </w:tc>
        <w:tc>
          <w:tcPr>
            <w:tcW w:w="906" w:type="dxa"/>
            <w:tcBorders>
              <w:top w:val="single" w:sz="4" w:space="0" w:color="auto"/>
              <w:bottom w:val="nil"/>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3.874</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3.053</w:t>
            </w:r>
          </w:p>
        </w:tc>
        <w:tc>
          <w:tcPr>
            <w:tcW w:w="907"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3.319</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2.887</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1.971</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938</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853</w:t>
            </w:r>
          </w:p>
        </w:tc>
        <w:tc>
          <w:tcPr>
            <w:tcW w:w="907" w:type="dxa"/>
            <w:tcBorders>
              <w:top w:val="single" w:sz="4" w:space="0" w:color="auto"/>
              <w:bottom w:val="nil"/>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1.391</w:t>
            </w:r>
          </w:p>
        </w:tc>
      </w:tr>
      <w:tr w:rsidR="00CA374E" w:rsidTr="00067F5A">
        <w:trPr>
          <w:trHeight w:val="487"/>
        </w:trPr>
        <w:tc>
          <w:tcPr>
            <w:tcW w:w="1812" w:type="dxa"/>
            <w:tcBorders>
              <w:left w:val="single" w:sz="12" w:space="0" w:color="auto"/>
            </w:tcBorders>
            <w:shd w:val="clear" w:color="auto" w:fill="FFFFFF" w:themeFill="background1"/>
            <w:vAlign w:val="center"/>
          </w:tcPr>
          <w:p w:rsidR="00CA374E"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Wynik budżetu</w:t>
            </w:r>
          </w:p>
          <w:p w:rsidR="00CA374E" w:rsidRPr="0082429F" w:rsidRDefault="00CA374E" w:rsidP="00067F5A">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 wydatki]</w:t>
            </w:r>
          </w:p>
        </w:tc>
        <w:tc>
          <w:tcPr>
            <w:tcW w:w="906" w:type="dxa"/>
            <w:tcBorders>
              <w:top w:val="single" w:sz="4" w:space="0" w:color="auto"/>
              <w:bottom w:val="nil"/>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-4.051</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-3.255</w:t>
            </w:r>
          </w:p>
        </w:tc>
        <w:tc>
          <w:tcPr>
            <w:tcW w:w="907"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-2.093</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-739</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-233</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+613</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+483</w:t>
            </w:r>
          </w:p>
        </w:tc>
        <w:tc>
          <w:tcPr>
            <w:tcW w:w="907" w:type="dxa"/>
            <w:tcBorders>
              <w:top w:val="single" w:sz="4" w:space="0" w:color="auto"/>
              <w:bottom w:val="nil"/>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+741</w:t>
            </w:r>
          </w:p>
        </w:tc>
      </w:tr>
      <w:tr w:rsidR="00CA374E" w:rsidTr="00067F5A">
        <w:trPr>
          <w:trHeight w:val="564"/>
        </w:trPr>
        <w:tc>
          <w:tcPr>
            <w:tcW w:w="1812" w:type="dxa"/>
            <w:tcBorders>
              <w:left w:val="single" w:sz="12" w:space="0" w:color="auto"/>
            </w:tcBorders>
            <w:shd w:val="clear" w:color="auto" w:fill="FFFFFF" w:themeFill="background1"/>
            <w:vAlign w:val="center"/>
          </w:tcPr>
          <w:p w:rsidR="00CA374E"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Wynik operacyjny</w:t>
            </w:r>
          </w:p>
          <w:p w:rsidR="00CA374E" w:rsidRPr="0082429F" w:rsidRDefault="00CA374E" w:rsidP="00067F5A">
            <w:pPr>
              <w:tabs>
                <w:tab w:val="left" w:pos="567"/>
              </w:tabs>
              <w:spacing w:line="240" w:lineRule="auto"/>
              <w:rPr>
                <w:rFonts w:ascii="Verdana" w:hAnsi="Verdana" w:cstheme="minorHAnsi"/>
                <w:sz w:val="12"/>
                <w:szCs w:val="12"/>
              </w:rPr>
            </w:pPr>
            <w:r w:rsidRPr="0082429F">
              <w:rPr>
                <w:rFonts w:ascii="Verdana" w:hAnsi="Verdana" w:cstheme="minorHAnsi"/>
                <w:sz w:val="12"/>
                <w:szCs w:val="12"/>
              </w:rPr>
              <w:t>[dochody bieżące – wydatki bieżące]</w:t>
            </w:r>
          </w:p>
        </w:tc>
        <w:tc>
          <w:tcPr>
            <w:tcW w:w="906" w:type="dxa"/>
            <w:tcBorders>
              <w:top w:val="single" w:sz="4" w:space="0" w:color="auto"/>
              <w:bottom w:val="nil"/>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-1.319</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-809</w:t>
            </w:r>
          </w:p>
        </w:tc>
        <w:tc>
          <w:tcPr>
            <w:tcW w:w="907"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+937</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+2.010</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+1.627</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+1.530</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+1.315</w:t>
            </w:r>
          </w:p>
        </w:tc>
        <w:tc>
          <w:tcPr>
            <w:tcW w:w="907" w:type="dxa"/>
            <w:tcBorders>
              <w:top w:val="single" w:sz="4" w:space="0" w:color="auto"/>
              <w:bottom w:val="nil"/>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+2.110</w:t>
            </w:r>
          </w:p>
        </w:tc>
      </w:tr>
      <w:tr w:rsidR="00CA374E" w:rsidTr="00067F5A">
        <w:trPr>
          <w:trHeight w:val="487"/>
        </w:trPr>
        <w:tc>
          <w:tcPr>
            <w:tcW w:w="1812" w:type="dxa"/>
            <w:tcBorders>
              <w:left w:val="single" w:sz="12" w:space="0" w:color="auto"/>
            </w:tcBorders>
            <w:shd w:val="clear" w:color="auto" w:fill="FFFFFF" w:themeFill="background1"/>
            <w:vAlign w:val="center"/>
          </w:tcPr>
          <w:p w:rsidR="00CA374E" w:rsidRPr="009B51FF"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Nowy dług</w:t>
            </w:r>
          </w:p>
        </w:tc>
        <w:tc>
          <w:tcPr>
            <w:tcW w:w="906" w:type="dxa"/>
            <w:tcBorders>
              <w:top w:val="single" w:sz="4" w:space="0" w:color="auto"/>
              <w:bottom w:val="nil"/>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613</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2.808</w:t>
            </w:r>
          </w:p>
        </w:tc>
        <w:tc>
          <w:tcPr>
            <w:tcW w:w="907"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2.582</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1.149</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669</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6" w:type="dxa"/>
            <w:tcBorders>
              <w:top w:val="single" w:sz="4" w:space="0" w:color="auto"/>
              <w:bottom w:val="nil"/>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c>
          <w:tcPr>
            <w:tcW w:w="907" w:type="dxa"/>
            <w:tcBorders>
              <w:top w:val="single" w:sz="4" w:space="0" w:color="auto"/>
              <w:bottom w:val="nil"/>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w:t>
            </w:r>
          </w:p>
        </w:tc>
      </w:tr>
      <w:tr w:rsidR="00CA374E" w:rsidTr="00067F5A">
        <w:trPr>
          <w:trHeight w:val="487"/>
        </w:trPr>
        <w:tc>
          <w:tcPr>
            <w:tcW w:w="1812" w:type="dxa"/>
            <w:tcBorders>
              <w:left w:val="single" w:sz="12" w:space="0" w:color="auto"/>
              <w:bottom w:val="single" w:sz="4" w:space="0" w:color="auto"/>
            </w:tcBorders>
            <w:shd w:val="clear" w:color="auto" w:fill="FFFFFF" w:themeFill="background1"/>
            <w:vAlign w:val="center"/>
          </w:tcPr>
          <w:p w:rsidR="00CA374E" w:rsidRPr="009B51FF"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Spłata długu</w:t>
            </w:r>
          </w:p>
        </w:tc>
        <w:tc>
          <w:tcPr>
            <w:tcW w:w="906" w:type="dxa"/>
            <w:tcBorders>
              <w:top w:val="single" w:sz="4" w:space="0" w:color="auto"/>
              <w:bottom w:val="single" w:sz="4" w:space="0" w:color="auto"/>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216</w:t>
            </w:r>
          </w:p>
        </w:tc>
        <w:tc>
          <w:tcPr>
            <w:tcW w:w="906"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216</w:t>
            </w:r>
          </w:p>
        </w:tc>
        <w:tc>
          <w:tcPr>
            <w:tcW w:w="907"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489</w:t>
            </w:r>
          </w:p>
        </w:tc>
        <w:tc>
          <w:tcPr>
            <w:tcW w:w="906"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410</w:t>
            </w:r>
          </w:p>
        </w:tc>
        <w:tc>
          <w:tcPr>
            <w:tcW w:w="906"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436</w:t>
            </w:r>
          </w:p>
        </w:tc>
        <w:tc>
          <w:tcPr>
            <w:tcW w:w="906"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613</w:t>
            </w:r>
          </w:p>
        </w:tc>
        <w:tc>
          <w:tcPr>
            <w:tcW w:w="906" w:type="dxa"/>
            <w:tcBorders>
              <w:top w:val="single" w:sz="4" w:space="0" w:color="auto"/>
              <w:bottom w:val="single" w:sz="4"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483</w:t>
            </w:r>
          </w:p>
        </w:tc>
        <w:tc>
          <w:tcPr>
            <w:tcW w:w="907" w:type="dxa"/>
            <w:tcBorders>
              <w:top w:val="single" w:sz="4" w:space="0" w:color="auto"/>
              <w:bottom w:val="single" w:sz="4" w:space="0" w:color="auto"/>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741</w:t>
            </w:r>
          </w:p>
        </w:tc>
      </w:tr>
      <w:tr w:rsidR="00CA374E" w:rsidTr="00067F5A">
        <w:trPr>
          <w:trHeight w:val="487"/>
        </w:trPr>
        <w:tc>
          <w:tcPr>
            <w:tcW w:w="1812" w:type="dxa"/>
            <w:tcBorders>
              <w:top w:val="single" w:sz="4" w:space="0" w:color="auto"/>
              <w:left w:val="single" w:sz="12" w:space="0" w:color="auto"/>
              <w:bottom w:val="single" w:sz="12" w:space="0" w:color="auto"/>
            </w:tcBorders>
            <w:shd w:val="clear" w:color="auto" w:fill="FFFFFF" w:themeFill="background1"/>
            <w:vAlign w:val="center"/>
          </w:tcPr>
          <w:p w:rsidR="00CA374E" w:rsidRPr="009B51FF" w:rsidRDefault="00CA374E" w:rsidP="00067F5A">
            <w:pPr>
              <w:tabs>
                <w:tab w:val="left" w:pos="567"/>
              </w:tabs>
              <w:spacing w:line="240" w:lineRule="auto"/>
              <w:rPr>
                <w:rFonts w:ascii="Verdana" w:hAnsi="Verdana" w:cstheme="minorHAnsi"/>
                <w:sz w:val="14"/>
                <w:szCs w:val="14"/>
              </w:rPr>
            </w:pPr>
            <w:r>
              <w:rPr>
                <w:rFonts w:ascii="Verdana" w:hAnsi="Verdana" w:cstheme="minorHAnsi"/>
                <w:sz w:val="14"/>
                <w:szCs w:val="14"/>
              </w:rPr>
              <w:t>Zadłużenie na 31.XII</w:t>
            </w:r>
          </w:p>
        </w:tc>
        <w:tc>
          <w:tcPr>
            <w:tcW w:w="906" w:type="dxa"/>
            <w:tcBorders>
              <w:top w:val="single" w:sz="4" w:space="0" w:color="auto"/>
              <w:bottom w:val="single" w:sz="12" w:space="0" w:color="auto"/>
            </w:tcBorders>
            <w:shd w:val="clear" w:color="auto" w:fill="FFFFFF" w:themeFill="background1"/>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5.669</w:t>
            </w:r>
          </w:p>
        </w:tc>
        <w:tc>
          <w:tcPr>
            <w:tcW w:w="906"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8.260</w:t>
            </w:r>
          </w:p>
        </w:tc>
        <w:tc>
          <w:tcPr>
            <w:tcW w:w="907"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10.352</w:t>
            </w:r>
          </w:p>
        </w:tc>
        <w:tc>
          <w:tcPr>
            <w:tcW w:w="906"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11.090</w:t>
            </w:r>
          </w:p>
        </w:tc>
        <w:tc>
          <w:tcPr>
            <w:tcW w:w="906"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11.321</w:t>
            </w:r>
          </w:p>
        </w:tc>
        <w:tc>
          <w:tcPr>
            <w:tcW w:w="906"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10.706</w:t>
            </w:r>
          </w:p>
        </w:tc>
        <w:tc>
          <w:tcPr>
            <w:tcW w:w="906" w:type="dxa"/>
            <w:tcBorders>
              <w:top w:val="single" w:sz="4" w:space="0" w:color="auto"/>
              <w:bottom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10.221</w:t>
            </w:r>
          </w:p>
        </w:tc>
        <w:tc>
          <w:tcPr>
            <w:tcW w:w="907" w:type="dxa"/>
            <w:tcBorders>
              <w:top w:val="single" w:sz="4" w:space="0" w:color="auto"/>
              <w:bottom w:val="single" w:sz="12" w:space="0" w:color="auto"/>
              <w:right w:val="single" w:sz="12" w:space="0" w:color="auto"/>
            </w:tcBorders>
            <w:shd w:val="clear" w:color="auto" w:fill="auto"/>
            <w:vAlign w:val="center"/>
          </w:tcPr>
          <w:p w:rsidR="00CA374E" w:rsidRPr="00F159ED" w:rsidRDefault="00CA374E" w:rsidP="00067F5A">
            <w:pPr>
              <w:tabs>
                <w:tab w:val="left" w:pos="567"/>
              </w:tabs>
              <w:spacing w:line="240" w:lineRule="auto"/>
              <w:jc w:val="center"/>
              <w:rPr>
                <w:rFonts w:ascii="Verdana" w:hAnsi="Verdana" w:cstheme="minorHAnsi"/>
                <w:b/>
                <w:sz w:val="16"/>
                <w:szCs w:val="16"/>
              </w:rPr>
            </w:pPr>
            <w:r>
              <w:rPr>
                <w:rFonts w:ascii="Verdana" w:hAnsi="Verdana" w:cstheme="minorHAnsi"/>
                <w:b/>
                <w:sz w:val="16"/>
                <w:szCs w:val="16"/>
              </w:rPr>
              <w:t>9.479</w:t>
            </w:r>
          </w:p>
        </w:tc>
      </w:tr>
    </w:tbl>
    <w:p w:rsidR="00CA374E" w:rsidRPr="005B77FA" w:rsidRDefault="00CA374E" w:rsidP="00CA374E">
      <w:pPr>
        <w:tabs>
          <w:tab w:val="left" w:pos="567"/>
        </w:tabs>
        <w:spacing w:before="120" w:after="120" w:line="240" w:lineRule="auto"/>
        <w:jc w:val="both"/>
        <w:rPr>
          <w:rFonts w:ascii="Verdana" w:hAnsi="Verdana" w:cstheme="minorHAnsi"/>
          <w:sz w:val="16"/>
          <w:szCs w:val="16"/>
        </w:rPr>
      </w:pPr>
      <w:r w:rsidRPr="00A43F54">
        <w:rPr>
          <w:rFonts w:ascii="Verdana" w:hAnsi="Verdana" w:cstheme="minorHAnsi"/>
          <w:sz w:val="12"/>
          <w:szCs w:val="12"/>
        </w:rPr>
        <w:t xml:space="preserve">* </w:t>
      </w:r>
      <w:r>
        <w:rPr>
          <w:rFonts w:ascii="Verdana" w:hAnsi="Verdana" w:cstheme="minorHAnsi"/>
          <w:sz w:val="12"/>
          <w:szCs w:val="12"/>
        </w:rPr>
        <w:t>Plan</w:t>
      </w:r>
      <w:r w:rsidRPr="00A43F54">
        <w:rPr>
          <w:rFonts w:ascii="Verdana" w:hAnsi="Verdana" w:cstheme="minorHAnsi"/>
          <w:sz w:val="12"/>
          <w:szCs w:val="12"/>
        </w:rPr>
        <w:t xml:space="preserve"> na 2023 r. wg stanu na </w:t>
      </w:r>
      <w:r>
        <w:rPr>
          <w:rFonts w:ascii="Verdana" w:hAnsi="Verdana" w:cstheme="minorHAnsi"/>
          <w:sz w:val="12"/>
          <w:szCs w:val="12"/>
        </w:rPr>
        <w:t>14 grudnia ustalony</w:t>
      </w:r>
      <w:r w:rsidRPr="00A43F54">
        <w:rPr>
          <w:rFonts w:ascii="Verdana" w:hAnsi="Verdana" w:cstheme="minorHAnsi"/>
          <w:sz w:val="12"/>
          <w:szCs w:val="12"/>
        </w:rPr>
        <w:t xml:space="preserve"> uchwałą nr </w:t>
      </w:r>
      <w:r w:rsidRPr="00AE6259">
        <w:rPr>
          <w:rFonts w:ascii="Verdana" w:hAnsi="Verdana" w:cstheme="minorHAnsi"/>
          <w:sz w:val="12"/>
          <w:szCs w:val="12"/>
        </w:rPr>
        <w:t>XCII/3013/2023</w:t>
      </w:r>
      <w:r>
        <w:rPr>
          <w:rFonts w:ascii="Verdana" w:hAnsi="Verdana" w:cstheme="minorHAnsi"/>
          <w:sz w:val="12"/>
          <w:szCs w:val="12"/>
        </w:rPr>
        <w:t xml:space="preserve"> </w:t>
      </w:r>
      <w:r w:rsidRPr="00A43F54">
        <w:rPr>
          <w:rFonts w:ascii="Verdana" w:hAnsi="Verdana" w:cstheme="minorHAnsi"/>
          <w:sz w:val="12"/>
          <w:szCs w:val="12"/>
        </w:rPr>
        <w:t xml:space="preserve">Rady m.st. Warszawy </w:t>
      </w:r>
    </w:p>
    <w:p w:rsidR="00CA374E" w:rsidRPr="0055073A" w:rsidRDefault="00CA374E" w:rsidP="00CA374E">
      <w:pPr>
        <w:spacing w:before="240" w:after="60"/>
        <w:ind w:firstLine="567"/>
        <w:jc w:val="both"/>
        <w:rPr>
          <w:rFonts w:ascii="Verdana" w:hAnsi="Verdana"/>
          <w:iCs/>
          <w:sz w:val="16"/>
          <w:szCs w:val="16"/>
        </w:rPr>
      </w:pPr>
      <w:r w:rsidRPr="009E3E76">
        <w:rPr>
          <w:rFonts w:ascii="Verdana" w:hAnsi="Verdana"/>
          <w:b/>
          <w:iCs/>
          <w:sz w:val="16"/>
          <w:szCs w:val="16"/>
        </w:rPr>
        <w:t>Biorąc pod uwagę powyższe uwarunkowania budżetowe, a w szczególności skalę prognozowanego ograniczenia dochodów budżetowych oraz</w:t>
      </w:r>
      <w:r w:rsidRPr="0055073A">
        <w:rPr>
          <w:rFonts w:ascii="Verdana" w:hAnsi="Verdana"/>
          <w:b/>
          <w:iCs/>
          <w:sz w:val="16"/>
          <w:szCs w:val="16"/>
        </w:rPr>
        <w:t xml:space="preserve"> otoczenie prawne narzucające rygory </w:t>
      </w:r>
      <w:r>
        <w:rPr>
          <w:rFonts w:ascii="Verdana" w:hAnsi="Verdana"/>
          <w:b/>
          <w:iCs/>
          <w:sz w:val="16"/>
          <w:szCs w:val="16"/>
        </w:rPr>
        <w:br/>
      </w:r>
      <w:r w:rsidRPr="0055073A">
        <w:rPr>
          <w:rFonts w:ascii="Verdana" w:hAnsi="Verdana"/>
          <w:b/>
          <w:iCs/>
          <w:sz w:val="16"/>
          <w:szCs w:val="16"/>
        </w:rPr>
        <w:t>w zakresie limitowania wydatków bieżących i obciążeń budżetu związanych z obsługą długu, uwzględniając jednocześnie konieczność zapewnienia na odpowiednim</w:t>
      </w:r>
      <w:r>
        <w:rPr>
          <w:rFonts w:ascii="Verdana" w:hAnsi="Verdana"/>
          <w:b/>
          <w:iCs/>
          <w:sz w:val="16"/>
          <w:szCs w:val="16"/>
        </w:rPr>
        <w:t>, ale ograniczonym drastycznie obniżonymi na skutek decyzji legislacyjnych możliwościami dochodowymi,</w:t>
      </w:r>
      <w:r w:rsidRPr="0055073A">
        <w:rPr>
          <w:rFonts w:ascii="Verdana" w:hAnsi="Verdana"/>
          <w:b/>
          <w:iCs/>
          <w:sz w:val="16"/>
          <w:szCs w:val="16"/>
        </w:rPr>
        <w:t xml:space="preserve"> poziomie środków na finansowanie zadań realizowanych przez </w:t>
      </w:r>
      <w:r>
        <w:rPr>
          <w:rFonts w:ascii="Verdana" w:hAnsi="Verdana"/>
          <w:b/>
          <w:iCs/>
          <w:sz w:val="16"/>
          <w:szCs w:val="16"/>
        </w:rPr>
        <w:t>m.st. Warszawa</w:t>
      </w:r>
      <w:r w:rsidRPr="0055073A">
        <w:rPr>
          <w:rFonts w:ascii="Verdana" w:hAnsi="Verdana"/>
          <w:b/>
          <w:iCs/>
          <w:sz w:val="16"/>
          <w:szCs w:val="16"/>
        </w:rPr>
        <w:t xml:space="preserve">, opracowany program adaptacji finansów </w:t>
      </w:r>
      <w:r>
        <w:rPr>
          <w:rFonts w:ascii="Verdana" w:hAnsi="Verdana"/>
          <w:b/>
          <w:iCs/>
          <w:sz w:val="16"/>
          <w:szCs w:val="16"/>
        </w:rPr>
        <w:t>Miasta</w:t>
      </w:r>
      <w:r w:rsidRPr="0055073A">
        <w:rPr>
          <w:rFonts w:ascii="Verdana" w:hAnsi="Verdana"/>
          <w:b/>
          <w:iCs/>
          <w:sz w:val="16"/>
          <w:szCs w:val="16"/>
        </w:rPr>
        <w:t xml:space="preserve"> do ograniczonych dochodów budżetowych opiera się na następujących filarach:</w:t>
      </w:r>
    </w:p>
    <w:p w:rsidR="00CA374E" w:rsidRPr="0055073A" w:rsidRDefault="00CA374E" w:rsidP="00CA374E">
      <w:pPr>
        <w:pStyle w:val="Akapitzlist"/>
        <w:numPr>
          <w:ilvl w:val="0"/>
          <w:numId w:val="45"/>
        </w:numPr>
        <w:spacing w:before="60" w:after="60"/>
        <w:ind w:left="426" w:hanging="284"/>
        <w:contextualSpacing w:val="0"/>
        <w:jc w:val="both"/>
        <w:rPr>
          <w:rFonts w:ascii="Verdana" w:hAnsi="Verdana"/>
          <w:b/>
          <w:iCs/>
          <w:sz w:val="16"/>
          <w:szCs w:val="16"/>
        </w:rPr>
      </w:pPr>
      <w:r w:rsidRPr="0055073A">
        <w:rPr>
          <w:rFonts w:ascii="Verdana" w:hAnsi="Verdana"/>
          <w:b/>
          <w:iCs/>
          <w:sz w:val="16"/>
          <w:szCs w:val="16"/>
        </w:rPr>
        <w:t xml:space="preserve">Maksymalnym wykorzystaniu potencjału zaangażowania instrumentu długu dla wsparcia działalności </w:t>
      </w:r>
      <w:r>
        <w:rPr>
          <w:rFonts w:ascii="Verdana" w:hAnsi="Verdana"/>
          <w:b/>
          <w:iCs/>
          <w:sz w:val="16"/>
          <w:szCs w:val="16"/>
        </w:rPr>
        <w:t xml:space="preserve">rozwojowej </w:t>
      </w:r>
      <w:r w:rsidRPr="0055073A">
        <w:rPr>
          <w:rFonts w:ascii="Verdana" w:hAnsi="Verdana"/>
          <w:b/>
          <w:iCs/>
          <w:sz w:val="16"/>
          <w:szCs w:val="16"/>
        </w:rPr>
        <w:t>Miasta.</w:t>
      </w:r>
    </w:p>
    <w:p w:rsidR="00CA374E" w:rsidRPr="006C6E30" w:rsidRDefault="00CA374E" w:rsidP="00607F30">
      <w:pPr>
        <w:pStyle w:val="Tekstprzypisukocowego"/>
        <w:spacing w:before="60" w:after="60" w:line="360" w:lineRule="auto"/>
        <w:ind w:left="425"/>
        <w:jc w:val="both"/>
        <w:rPr>
          <w:rFonts w:ascii="Verdana" w:hAnsi="Verdana"/>
          <w:iCs/>
          <w:sz w:val="16"/>
          <w:szCs w:val="16"/>
        </w:rPr>
      </w:pPr>
      <w:r w:rsidRPr="0055073A">
        <w:rPr>
          <w:rFonts w:ascii="Verdana" w:hAnsi="Verdana"/>
          <w:iCs/>
          <w:sz w:val="16"/>
          <w:szCs w:val="16"/>
        </w:rPr>
        <w:t xml:space="preserve">Przyjęto założenie maksymalnego wykorzystania środków dłużnych dla sfinansowania </w:t>
      </w:r>
      <w:r>
        <w:rPr>
          <w:rFonts w:ascii="Verdana" w:hAnsi="Verdana"/>
          <w:iCs/>
          <w:sz w:val="16"/>
          <w:szCs w:val="16"/>
        </w:rPr>
        <w:t xml:space="preserve">wydatków majątkowych, przy uwzględnieniu </w:t>
      </w:r>
      <w:r w:rsidRPr="0055073A">
        <w:rPr>
          <w:rFonts w:ascii="Verdana" w:hAnsi="Verdana"/>
          <w:iCs/>
          <w:sz w:val="16"/>
          <w:szCs w:val="16"/>
        </w:rPr>
        <w:t xml:space="preserve">wewnętrznego limitu ostrożnościowego </w:t>
      </w:r>
      <w:r>
        <w:rPr>
          <w:rFonts w:ascii="Verdana" w:hAnsi="Verdana"/>
          <w:iCs/>
          <w:sz w:val="16"/>
          <w:szCs w:val="16"/>
        </w:rPr>
        <w:t>ograniczającego poziom zadłużenia do wysokości nie wyższej niż</w:t>
      </w:r>
      <w:r w:rsidRPr="0055073A">
        <w:rPr>
          <w:rFonts w:ascii="Verdana" w:hAnsi="Verdana"/>
          <w:iCs/>
          <w:sz w:val="16"/>
          <w:szCs w:val="16"/>
        </w:rPr>
        <w:t xml:space="preserve"> </w:t>
      </w:r>
      <w:r w:rsidRPr="000B349F">
        <w:rPr>
          <w:rFonts w:ascii="Verdana" w:hAnsi="Verdana"/>
          <w:b/>
          <w:iCs/>
          <w:color w:val="000000" w:themeColor="text1"/>
          <w:sz w:val="16"/>
          <w:szCs w:val="16"/>
        </w:rPr>
        <w:t>5</w:t>
      </w:r>
      <w:r>
        <w:rPr>
          <w:rFonts w:ascii="Verdana" w:hAnsi="Verdana"/>
          <w:b/>
          <w:iCs/>
          <w:color w:val="000000" w:themeColor="text1"/>
          <w:sz w:val="16"/>
          <w:szCs w:val="16"/>
        </w:rPr>
        <w:t>5</w:t>
      </w:r>
      <w:r w:rsidRPr="000B349F">
        <w:rPr>
          <w:rFonts w:ascii="Verdana" w:hAnsi="Verdana"/>
          <w:b/>
          <w:iCs/>
          <w:color w:val="000000" w:themeColor="text1"/>
          <w:sz w:val="16"/>
          <w:szCs w:val="16"/>
        </w:rPr>
        <w:t>%</w:t>
      </w:r>
      <w:r>
        <w:rPr>
          <w:rFonts w:ascii="Verdana" w:hAnsi="Verdana"/>
          <w:iCs/>
          <w:color w:val="000000" w:themeColor="text1"/>
          <w:sz w:val="16"/>
          <w:szCs w:val="16"/>
        </w:rPr>
        <w:t xml:space="preserve"> w relacji do dochodów ogółem, przy zachowaniu </w:t>
      </w:r>
      <w:r w:rsidRPr="00A42B4B">
        <w:rPr>
          <w:rFonts w:ascii="Verdana" w:hAnsi="Verdana"/>
          <w:sz w:val="16"/>
          <w:szCs w:val="16"/>
        </w:rPr>
        <w:t>bufora na ryzyka związane z niepewnością co do kształtowania się przyszłych dochodów oraz na ryzyko</w:t>
      </w:r>
      <w:r w:rsidRPr="000A6485">
        <w:rPr>
          <w:rFonts w:ascii="Verdana" w:hAnsi="Verdana"/>
          <w:sz w:val="16"/>
          <w:szCs w:val="16"/>
        </w:rPr>
        <w:t xml:space="preserve"> zmienności </w:t>
      </w:r>
      <w:r w:rsidRPr="000A6485">
        <w:rPr>
          <w:rFonts w:ascii="Verdana" w:hAnsi="Verdana"/>
          <w:sz w:val="16"/>
          <w:szCs w:val="16"/>
        </w:rPr>
        <w:br/>
        <w:t>na rynkach finansowych, wynikające ze zmian sytuacji w gospodarce światowej</w:t>
      </w:r>
      <w:r>
        <w:rPr>
          <w:rFonts w:ascii="Verdana" w:hAnsi="Verdana"/>
          <w:sz w:val="16"/>
          <w:szCs w:val="16"/>
        </w:rPr>
        <w:t>.</w:t>
      </w:r>
    </w:p>
    <w:p w:rsidR="00CA374E" w:rsidRPr="0055073A" w:rsidRDefault="00CA374E" w:rsidP="00607F30">
      <w:pPr>
        <w:pStyle w:val="Akapitzlist"/>
        <w:numPr>
          <w:ilvl w:val="0"/>
          <w:numId w:val="45"/>
        </w:numPr>
        <w:spacing w:before="60" w:after="60"/>
        <w:ind w:left="425" w:hanging="284"/>
        <w:contextualSpacing w:val="0"/>
        <w:jc w:val="both"/>
        <w:rPr>
          <w:rFonts w:ascii="Verdana" w:hAnsi="Verdana"/>
          <w:b/>
          <w:iCs/>
          <w:sz w:val="16"/>
          <w:szCs w:val="16"/>
        </w:rPr>
      </w:pPr>
      <w:r w:rsidRPr="0055073A">
        <w:rPr>
          <w:rFonts w:ascii="Verdana" w:hAnsi="Verdana"/>
          <w:b/>
          <w:iCs/>
          <w:sz w:val="16"/>
          <w:szCs w:val="16"/>
        </w:rPr>
        <w:t>Aktywnym zarządzaniu programem inwestycyjnym przy zapewnieniu ochrony wysokości nakładów rozwojowych.</w:t>
      </w:r>
    </w:p>
    <w:p w:rsidR="00CA374E" w:rsidRPr="0055073A" w:rsidRDefault="00CA374E" w:rsidP="00607F30">
      <w:pPr>
        <w:pStyle w:val="Tekstprzypisukocowego"/>
        <w:spacing w:before="60" w:after="60" w:line="360" w:lineRule="auto"/>
        <w:ind w:left="425"/>
        <w:jc w:val="both"/>
        <w:rPr>
          <w:rFonts w:ascii="Verdana" w:hAnsi="Verdana"/>
          <w:iCs/>
          <w:sz w:val="16"/>
          <w:szCs w:val="16"/>
        </w:rPr>
      </w:pPr>
      <w:r>
        <w:rPr>
          <w:rFonts w:ascii="Verdana" w:hAnsi="Verdana"/>
          <w:iCs/>
          <w:sz w:val="16"/>
          <w:szCs w:val="16"/>
        </w:rPr>
        <w:t>Zasadniczo założono</w:t>
      </w:r>
      <w:r w:rsidRPr="002A750A">
        <w:rPr>
          <w:rFonts w:ascii="Verdana" w:hAnsi="Verdana"/>
          <w:iCs/>
          <w:sz w:val="16"/>
          <w:szCs w:val="16"/>
        </w:rPr>
        <w:t xml:space="preserve"> utrzymanie wartości programu inwestycyjnego z korektami w rozkładzie wydatków pomiędzy latami.</w:t>
      </w:r>
    </w:p>
    <w:p w:rsidR="00CA374E" w:rsidRPr="0055073A" w:rsidRDefault="00CA374E" w:rsidP="00CA374E">
      <w:pPr>
        <w:pStyle w:val="Akapitzlist"/>
        <w:numPr>
          <w:ilvl w:val="0"/>
          <w:numId w:val="45"/>
        </w:numPr>
        <w:spacing w:before="60" w:after="60"/>
        <w:ind w:left="426" w:hanging="284"/>
        <w:contextualSpacing w:val="0"/>
        <w:jc w:val="both"/>
        <w:rPr>
          <w:rFonts w:ascii="Verdana" w:hAnsi="Verdana"/>
          <w:b/>
          <w:iCs/>
          <w:sz w:val="16"/>
          <w:szCs w:val="16"/>
        </w:rPr>
      </w:pPr>
      <w:r>
        <w:rPr>
          <w:rFonts w:ascii="Verdana" w:hAnsi="Verdana"/>
          <w:b/>
          <w:iCs/>
          <w:sz w:val="16"/>
          <w:szCs w:val="16"/>
        </w:rPr>
        <w:t>Dążeniu w ramach ograniczonych możliwości budżetowych do utrzymania</w:t>
      </w:r>
      <w:r w:rsidRPr="0055073A">
        <w:rPr>
          <w:rFonts w:ascii="Verdana" w:hAnsi="Verdana"/>
          <w:b/>
          <w:iCs/>
          <w:sz w:val="16"/>
          <w:szCs w:val="16"/>
        </w:rPr>
        <w:t xml:space="preserve"> zdolności Miasta do realizowania kluczowych zadań przy zapewnieniu standardów jakościowych.</w:t>
      </w:r>
    </w:p>
    <w:p w:rsidR="00CA374E" w:rsidRDefault="00CA374E" w:rsidP="00CA374E">
      <w:pPr>
        <w:spacing w:before="60" w:after="60"/>
        <w:ind w:left="426"/>
        <w:jc w:val="both"/>
        <w:rPr>
          <w:rFonts w:ascii="Verdana" w:hAnsi="Verdana"/>
          <w:iCs/>
          <w:sz w:val="16"/>
          <w:szCs w:val="16"/>
        </w:rPr>
      </w:pPr>
      <w:r w:rsidRPr="002A750A">
        <w:rPr>
          <w:rFonts w:ascii="Verdana" w:hAnsi="Verdana"/>
          <w:iCs/>
          <w:sz w:val="16"/>
          <w:szCs w:val="16"/>
        </w:rPr>
        <w:t xml:space="preserve">Z uwagi na skalę </w:t>
      </w:r>
      <w:r>
        <w:rPr>
          <w:rFonts w:ascii="Verdana" w:hAnsi="Verdana"/>
          <w:iCs/>
          <w:sz w:val="16"/>
          <w:szCs w:val="16"/>
        </w:rPr>
        <w:t xml:space="preserve">już widocznego w latach 2022-2023 oraz </w:t>
      </w:r>
      <w:r w:rsidRPr="002A750A">
        <w:rPr>
          <w:rFonts w:ascii="Verdana" w:hAnsi="Verdana"/>
          <w:iCs/>
          <w:sz w:val="16"/>
          <w:szCs w:val="16"/>
        </w:rPr>
        <w:t xml:space="preserve">szacowanego </w:t>
      </w:r>
      <w:r>
        <w:rPr>
          <w:rFonts w:ascii="Verdana" w:hAnsi="Verdana"/>
          <w:iCs/>
          <w:sz w:val="16"/>
          <w:szCs w:val="16"/>
        </w:rPr>
        <w:t xml:space="preserve">na lata następne </w:t>
      </w:r>
      <w:r w:rsidRPr="002A750A">
        <w:rPr>
          <w:rFonts w:ascii="Verdana" w:hAnsi="Verdana"/>
          <w:iCs/>
          <w:sz w:val="16"/>
          <w:szCs w:val="16"/>
        </w:rPr>
        <w:t>ubytku dochodów</w:t>
      </w:r>
      <w:r>
        <w:rPr>
          <w:rFonts w:ascii="Verdana" w:hAnsi="Verdana"/>
          <w:iCs/>
          <w:sz w:val="16"/>
          <w:szCs w:val="16"/>
        </w:rPr>
        <w:t>,</w:t>
      </w:r>
      <w:r w:rsidRPr="002A750A">
        <w:rPr>
          <w:rFonts w:ascii="Verdana" w:hAnsi="Verdana"/>
          <w:iCs/>
          <w:sz w:val="16"/>
          <w:szCs w:val="16"/>
        </w:rPr>
        <w:t xml:space="preserve"> w kontekście wymogu respektowania ustawowej reguły limitującej poziom dopuszczanych obciążeń budżetu związanych z obsługą długu (art. 243 ustawy o finansach publicznych)</w:t>
      </w:r>
      <w:r>
        <w:rPr>
          <w:rFonts w:ascii="Verdana" w:hAnsi="Verdana"/>
          <w:iCs/>
          <w:sz w:val="16"/>
          <w:szCs w:val="16"/>
        </w:rPr>
        <w:t>,</w:t>
      </w:r>
      <w:r w:rsidRPr="002A750A">
        <w:rPr>
          <w:rFonts w:ascii="Verdana" w:hAnsi="Verdana"/>
          <w:iCs/>
          <w:sz w:val="16"/>
          <w:szCs w:val="16"/>
        </w:rPr>
        <w:t xml:space="preserve"> założono stopniowe dostosowywanie wydatków bieżących do ograniczonego poziomu finansowania.  </w:t>
      </w:r>
      <w:r>
        <w:rPr>
          <w:rFonts w:ascii="Verdana" w:hAnsi="Verdana"/>
          <w:iCs/>
          <w:sz w:val="16"/>
          <w:szCs w:val="16"/>
        </w:rPr>
        <w:br w:type="page"/>
      </w:r>
    </w:p>
    <w:p w:rsidR="00CA374E" w:rsidRPr="000A6485" w:rsidRDefault="00CA374E" w:rsidP="00CA374E">
      <w:pPr>
        <w:spacing w:before="120" w:after="120"/>
        <w:rPr>
          <w:rFonts w:ascii="Verdana" w:hAnsi="Verdana"/>
          <w:b/>
          <w:bCs/>
          <w:sz w:val="20"/>
          <w:szCs w:val="20"/>
        </w:rPr>
      </w:pPr>
      <w:r w:rsidRPr="00A44C79">
        <w:rPr>
          <w:rFonts w:ascii="Verdana" w:hAnsi="Verdana"/>
          <w:b/>
          <w:bCs/>
          <w:sz w:val="20"/>
          <w:szCs w:val="20"/>
        </w:rPr>
        <w:lastRenderedPageBreak/>
        <w:t xml:space="preserve">4.4 Uwarunkowania prawne obligatoryjnych wydatków m.st. Warszawy </w:t>
      </w:r>
      <w:r w:rsidRPr="00A44C79">
        <w:rPr>
          <w:rFonts w:ascii="Verdana" w:hAnsi="Verdana"/>
          <w:b/>
          <w:bCs/>
          <w:sz w:val="20"/>
          <w:szCs w:val="20"/>
        </w:rPr>
        <w:br/>
        <w:t xml:space="preserve">      dotyczących energooszczędności</w:t>
      </w:r>
    </w:p>
    <w:p w:rsidR="00CA374E" w:rsidRPr="00B6346D" w:rsidRDefault="00CA374E" w:rsidP="00CA374E">
      <w:pPr>
        <w:spacing w:before="240" w:after="240"/>
        <w:ind w:firstLine="567"/>
        <w:jc w:val="both"/>
        <w:rPr>
          <w:rFonts w:ascii="Verdana" w:hAnsi="Verdana"/>
          <w:sz w:val="16"/>
          <w:szCs w:val="16"/>
        </w:rPr>
      </w:pPr>
      <w:r w:rsidRPr="00B6346D">
        <w:rPr>
          <w:rFonts w:ascii="Verdana" w:hAnsi="Verdana"/>
          <w:sz w:val="16"/>
          <w:szCs w:val="16"/>
        </w:rPr>
        <w:t>Zgodnie z przepisem zawartym w art. 70k ust.</w:t>
      </w:r>
      <w:r>
        <w:rPr>
          <w:rFonts w:ascii="Verdana" w:hAnsi="Verdana"/>
          <w:sz w:val="16"/>
          <w:szCs w:val="16"/>
        </w:rPr>
        <w:t xml:space="preserve"> </w:t>
      </w:r>
      <w:r w:rsidRPr="00B6346D">
        <w:rPr>
          <w:rFonts w:ascii="Verdana" w:hAnsi="Verdana"/>
          <w:sz w:val="16"/>
          <w:szCs w:val="16"/>
        </w:rPr>
        <w:t xml:space="preserve">1 </w:t>
      </w:r>
      <w:r>
        <w:rPr>
          <w:rFonts w:ascii="Verdana" w:hAnsi="Verdana" w:cs="Arial"/>
          <w:sz w:val="16"/>
          <w:szCs w:val="16"/>
        </w:rPr>
        <w:t>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 xml:space="preserve">zmianie ustawy </w:t>
      </w:r>
      <w:r>
        <w:rPr>
          <w:rFonts w:ascii="Verdana" w:hAnsi="Verdana" w:cs="Arial"/>
          <w:i/>
          <w:sz w:val="16"/>
          <w:szCs w:val="16"/>
        </w:rPr>
        <w:br/>
        <w:t>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sidRPr="00B6346D">
        <w:rPr>
          <w:rFonts w:ascii="Verdana" w:hAnsi="Verdana"/>
          <w:sz w:val="16"/>
          <w:szCs w:val="16"/>
        </w:rPr>
        <w:t xml:space="preserve"> </w:t>
      </w:r>
      <w:r w:rsidRPr="003E79CC">
        <w:rPr>
          <w:rFonts w:ascii="Verdana" w:hAnsi="Verdana"/>
          <w:b/>
          <w:sz w:val="16"/>
          <w:szCs w:val="16"/>
        </w:rPr>
        <w:t xml:space="preserve">w latach 2022–2027 jednostki samorządu terytorialnego mają obowiązek przeznaczyć co najmniej 15% </w:t>
      </w:r>
      <w:r w:rsidRPr="00733DD7">
        <w:rPr>
          <w:rFonts w:ascii="Verdana" w:hAnsi="Verdana"/>
          <w:b/>
          <w:sz w:val="16"/>
          <w:szCs w:val="16"/>
        </w:rPr>
        <w:t>środków uzyskanych w 2022 r.</w:t>
      </w:r>
      <w:r>
        <w:rPr>
          <w:rFonts w:ascii="Verdana" w:hAnsi="Verdana"/>
          <w:b/>
          <w:sz w:val="16"/>
          <w:szCs w:val="16"/>
        </w:rPr>
        <w:t xml:space="preserve"> </w:t>
      </w:r>
      <w:r w:rsidRPr="00733DD7">
        <w:rPr>
          <w:rFonts w:ascii="Verdana" w:hAnsi="Verdana"/>
          <w:b/>
          <w:sz w:val="16"/>
          <w:szCs w:val="16"/>
        </w:rPr>
        <w:t xml:space="preserve">z kwot </w:t>
      </w:r>
      <w:r>
        <w:rPr>
          <w:rFonts w:ascii="Verdana" w:hAnsi="Verdana"/>
          <w:b/>
          <w:sz w:val="16"/>
          <w:szCs w:val="16"/>
        </w:rPr>
        <w:t>zaniżonej rekompensaty ubytku dochodów</w:t>
      </w:r>
      <w:r w:rsidRPr="00733DD7">
        <w:rPr>
          <w:rFonts w:ascii="Verdana" w:hAnsi="Verdana"/>
          <w:b/>
          <w:sz w:val="16"/>
          <w:szCs w:val="16"/>
        </w:rPr>
        <w:t xml:space="preserve"> </w:t>
      </w:r>
      <w:r>
        <w:rPr>
          <w:rFonts w:ascii="Verdana" w:hAnsi="Verdana"/>
          <w:b/>
          <w:sz w:val="16"/>
          <w:szCs w:val="16"/>
        </w:rPr>
        <w:t xml:space="preserve">z udziału w PIT </w:t>
      </w:r>
      <w:r w:rsidRPr="00733DD7">
        <w:rPr>
          <w:rFonts w:ascii="Verdana" w:hAnsi="Verdana"/>
          <w:b/>
          <w:sz w:val="16"/>
          <w:szCs w:val="16"/>
        </w:rPr>
        <w:t xml:space="preserve">kosztem </w:t>
      </w:r>
      <w:r>
        <w:rPr>
          <w:rFonts w:ascii="Verdana" w:hAnsi="Verdana"/>
          <w:b/>
          <w:sz w:val="16"/>
          <w:szCs w:val="16"/>
        </w:rPr>
        <w:t xml:space="preserve">subwencji rozwojowej należnej w </w:t>
      </w:r>
      <w:r w:rsidRPr="00733DD7">
        <w:rPr>
          <w:rFonts w:ascii="Verdana" w:hAnsi="Verdana"/>
          <w:b/>
          <w:sz w:val="16"/>
          <w:szCs w:val="16"/>
        </w:rPr>
        <w:t>2023 r. na zadania z zakresu poprawy efektywności energetycznej, rozwoju odnawialnych źródeł energii oraz ograniczenia kosztów zakupu ciepła lub energii ponoszonych przez odbiorców</w:t>
      </w:r>
      <w:r w:rsidRPr="00B6346D">
        <w:rPr>
          <w:rFonts w:ascii="Verdana" w:hAnsi="Verdana"/>
          <w:sz w:val="16"/>
          <w:szCs w:val="16"/>
        </w:rPr>
        <w:t>.</w:t>
      </w:r>
      <w:r>
        <w:rPr>
          <w:rFonts w:ascii="Verdana" w:hAnsi="Verdana"/>
          <w:sz w:val="16"/>
          <w:szCs w:val="16"/>
        </w:rPr>
        <w:t xml:space="preserve"> Do wydatków tych zaliczane będą również (ust. 2) wydatki samorządowych instytucji kultury, dla których jst jest organizatorem, samodzielnych publicznych zakładów opieki zdrowotnej, dla których jst jest podmiotem tworzącym oraz wydatki spółek kapitałowych, w których wartość nominalna udziałów albo akcji należących do jst stanowi nie mniej niż 51% kapitału zakładowego spółki oraz jst dysponuje bezpośrednio większością głosów na zgromadzeniu wspólników albo walnym zgromadzeniu. </w:t>
      </w:r>
      <w:r w:rsidRPr="003E79CC">
        <w:rPr>
          <w:rFonts w:ascii="Verdana" w:hAnsi="Verdana"/>
          <w:sz w:val="16"/>
          <w:szCs w:val="16"/>
        </w:rPr>
        <w:t>Sankcją za niezrealizowanie powyższego wymogu będzie utrata w 2029 r. środków z rezerw subwencji ogólnej (ust. 3).</w:t>
      </w:r>
      <w:r w:rsidRPr="001220EA">
        <w:rPr>
          <w:rFonts w:ascii="Verdana" w:hAnsi="Verdana"/>
          <w:sz w:val="16"/>
          <w:szCs w:val="16"/>
        </w:rPr>
        <w:t xml:space="preserve"> </w:t>
      </w:r>
      <w:r w:rsidRPr="00237CF8">
        <w:rPr>
          <w:rFonts w:ascii="Verdana" w:hAnsi="Verdana"/>
          <w:sz w:val="16"/>
          <w:szCs w:val="16"/>
        </w:rPr>
        <w:t xml:space="preserve">Jednostki samorządu terytorialnego </w:t>
      </w:r>
      <w:r>
        <w:rPr>
          <w:rFonts w:ascii="Verdana" w:hAnsi="Verdana"/>
          <w:sz w:val="16"/>
          <w:szCs w:val="16"/>
        </w:rPr>
        <w:t>zostały zobligowane do złożenia</w:t>
      </w:r>
      <w:r w:rsidRPr="00237CF8">
        <w:rPr>
          <w:rFonts w:ascii="Verdana" w:hAnsi="Verdana"/>
          <w:sz w:val="16"/>
          <w:szCs w:val="16"/>
        </w:rPr>
        <w:t xml:space="preserve"> </w:t>
      </w:r>
      <w:r>
        <w:rPr>
          <w:rFonts w:ascii="Verdana" w:hAnsi="Verdana"/>
          <w:sz w:val="16"/>
          <w:szCs w:val="16"/>
        </w:rPr>
        <w:t>informacji w powyższym zakresie właściwemu terytorialnie wojewodzie</w:t>
      </w:r>
      <w:r w:rsidRPr="00237CF8">
        <w:rPr>
          <w:rFonts w:ascii="Verdana" w:hAnsi="Verdana"/>
          <w:sz w:val="16"/>
          <w:szCs w:val="16"/>
        </w:rPr>
        <w:t>, w te</w:t>
      </w:r>
      <w:r>
        <w:rPr>
          <w:rFonts w:ascii="Verdana" w:hAnsi="Verdana"/>
          <w:sz w:val="16"/>
          <w:szCs w:val="16"/>
        </w:rPr>
        <w:t>rminie do 31 marca 2028 r. (ust. 4).</w:t>
      </w:r>
    </w:p>
    <w:p w:rsidR="00CA374E" w:rsidRPr="00A44C79" w:rsidRDefault="00CA374E" w:rsidP="00CA374E">
      <w:pPr>
        <w:spacing w:before="240" w:after="240"/>
        <w:jc w:val="both"/>
        <w:rPr>
          <w:rFonts w:ascii="Verdana" w:hAnsi="Verdana"/>
          <w:sz w:val="16"/>
          <w:szCs w:val="16"/>
        </w:rPr>
      </w:pPr>
      <w:r w:rsidRPr="00B6346D">
        <w:rPr>
          <w:rFonts w:ascii="Verdana" w:hAnsi="Verdana"/>
          <w:sz w:val="16"/>
          <w:szCs w:val="16"/>
        </w:rPr>
        <w:t xml:space="preserve">W myśl powyższych regulacji m.st. Warszawa w latach 2022-2027 winno przeznaczyć na powyższe cele kwotę </w:t>
      </w:r>
      <w:r w:rsidRPr="001220EA">
        <w:rPr>
          <w:rFonts w:ascii="Verdana" w:hAnsi="Verdana"/>
          <w:b/>
          <w:sz w:val="16"/>
          <w:szCs w:val="16"/>
        </w:rPr>
        <w:t>128 mln zł</w:t>
      </w:r>
      <w:r w:rsidRPr="00B6346D">
        <w:rPr>
          <w:rFonts w:ascii="Verdana" w:hAnsi="Verdana"/>
          <w:sz w:val="16"/>
          <w:szCs w:val="16"/>
        </w:rPr>
        <w:t xml:space="preserve">, która stanowi 15% z przekazanej z budżetu państwa kwoty 852 mln zł </w:t>
      </w:r>
      <w:r>
        <w:rPr>
          <w:rFonts w:ascii="Verdana" w:hAnsi="Verdana"/>
          <w:sz w:val="16"/>
          <w:szCs w:val="16"/>
        </w:rPr>
        <w:t>„</w:t>
      </w:r>
      <w:r w:rsidRPr="00B6346D">
        <w:rPr>
          <w:rFonts w:ascii="Verdana" w:hAnsi="Verdana"/>
          <w:sz w:val="16"/>
          <w:szCs w:val="16"/>
        </w:rPr>
        <w:t>dodatkowych</w:t>
      </w:r>
      <w:r>
        <w:rPr>
          <w:rFonts w:ascii="Verdana" w:hAnsi="Verdana"/>
          <w:sz w:val="16"/>
          <w:szCs w:val="16"/>
        </w:rPr>
        <w:t>”</w:t>
      </w:r>
      <w:r w:rsidRPr="00B6346D">
        <w:rPr>
          <w:rFonts w:ascii="Verdana" w:hAnsi="Verdana"/>
          <w:sz w:val="16"/>
          <w:szCs w:val="16"/>
        </w:rPr>
        <w:t xml:space="preserve"> dochodów </w:t>
      </w:r>
      <w:r>
        <w:rPr>
          <w:rFonts w:ascii="Verdana" w:hAnsi="Verdana"/>
          <w:sz w:val="16"/>
          <w:szCs w:val="16"/>
        </w:rPr>
        <w:br/>
      </w:r>
      <w:r w:rsidRPr="00B6346D">
        <w:rPr>
          <w:rFonts w:ascii="Verdana" w:hAnsi="Verdana"/>
          <w:sz w:val="16"/>
          <w:szCs w:val="16"/>
        </w:rPr>
        <w:t>z tytułu udziału we wpływach z podatku dochodowego od osób fizycznych</w:t>
      </w:r>
      <w:r>
        <w:rPr>
          <w:rFonts w:ascii="Verdana" w:hAnsi="Verdana"/>
          <w:sz w:val="16"/>
          <w:szCs w:val="16"/>
        </w:rPr>
        <w:t xml:space="preserve"> (PIT)</w:t>
      </w:r>
      <w:r w:rsidRPr="00B6346D">
        <w:rPr>
          <w:rFonts w:ascii="Verdana" w:hAnsi="Verdana"/>
          <w:sz w:val="16"/>
          <w:szCs w:val="16"/>
        </w:rPr>
        <w:t xml:space="preserve"> stanowiących częściową rekompensatę ubytków dochodu z tego źródła w wyniku wprowadzenia tzw. Pol</w:t>
      </w:r>
      <w:r>
        <w:rPr>
          <w:rFonts w:ascii="Verdana" w:hAnsi="Verdana"/>
          <w:sz w:val="16"/>
          <w:szCs w:val="16"/>
        </w:rPr>
        <w:t xml:space="preserve">skiego Ładu. </w:t>
      </w:r>
      <w:r>
        <w:rPr>
          <w:rFonts w:ascii="Verdana" w:hAnsi="Verdana" w:cstheme="minorHAnsi"/>
          <w:sz w:val="16"/>
          <w:szCs w:val="16"/>
        </w:rPr>
        <w:t>Z szacunków przeprowadzonych</w:t>
      </w:r>
      <w:r w:rsidRPr="00BC7ABE">
        <w:rPr>
          <w:rFonts w:ascii="Verdana" w:hAnsi="Verdana" w:cstheme="minorHAnsi"/>
          <w:sz w:val="16"/>
          <w:szCs w:val="16"/>
        </w:rPr>
        <w:t xml:space="preserve"> </w:t>
      </w:r>
      <w:r>
        <w:rPr>
          <w:rFonts w:ascii="Verdana" w:hAnsi="Verdana" w:cstheme="minorHAnsi"/>
          <w:sz w:val="16"/>
          <w:szCs w:val="16"/>
        </w:rPr>
        <w:t xml:space="preserve">na podstawie aktualnej prognozy makroekonomicznej Ministerstwa Finansów </w:t>
      </w:r>
      <w:r w:rsidRPr="00BC7ABE">
        <w:rPr>
          <w:rFonts w:ascii="Verdana" w:hAnsi="Verdana" w:cstheme="minorHAnsi"/>
          <w:sz w:val="16"/>
          <w:szCs w:val="16"/>
        </w:rPr>
        <w:t xml:space="preserve">przedstawionej w projekcie budżetu państwa na 2024 r. </w:t>
      </w:r>
      <w:r>
        <w:rPr>
          <w:rFonts w:ascii="Verdana" w:hAnsi="Verdana" w:cstheme="minorHAnsi"/>
          <w:sz w:val="16"/>
          <w:szCs w:val="16"/>
        </w:rPr>
        <w:t xml:space="preserve">wynika, że </w:t>
      </w:r>
      <w:r w:rsidRPr="00BC7ABE">
        <w:rPr>
          <w:rFonts w:ascii="Verdana" w:hAnsi="Verdana" w:cstheme="minorHAnsi"/>
          <w:sz w:val="16"/>
          <w:szCs w:val="16"/>
        </w:rPr>
        <w:t xml:space="preserve">w </w:t>
      </w:r>
      <w:r w:rsidRPr="00286AC7">
        <w:rPr>
          <w:rFonts w:ascii="Verdana" w:hAnsi="Verdana" w:cstheme="minorHAnsi"/>
          <w:b/>
          <w:sz w:val="16"/>
          <w:szCs w:val="16"/>
        </w:rPr>
        <w:t>konsekwencji Polskiego Ładu</w:t>
      </w:r>
      <w:r w:rsidRPr="00BC7ABE">
        <w:rPr>
          <w:rFonts w:ascii="Verdana" w:hAnsi="Verdana" w:cstheme="minorHAnsi"/>
          <w:sz w:val="16"/>
          <w:szCs w:val="16"/>
        </w:rPr>
        <w:t xml:space="preserve"> m.st. Warszawa w latach 2022-2023 zostało pozbawione dochodów z </w:t>
      </w:r>
      <w:r>
        <w:rPr>
          <w:rFonts w:ascii="Verdana" w:hAnsi="Verdana" w:cstheme="minorHAnsi"/>
          <w:sz w:val="16"/>
          <w:szCs w:val="16"/>
        </w:rPr>
        <w:t>podatku dochodowego od osób fizycznych (</w:t>
      </w:r>
      <w:r w:rsidRPr="00BC7ABE">
        <w:rPr>
          <w:rFonts w:ascii="Verdana" w:hAnsi="Verdana" w:cstheme="minorHAnsi"/>
          <w:sz w:val="16"/>
          <w:szCs w:val="16"/>
        </w:rPr>
        <w:t>PIT</w:t>
      </w:r>
      <w:r>
        <w:rPr>
          <w:rFonts w:ascii="Verdana" w:hAnsi="Verdana" w:cstheme="minorHAnsi"/>
          <w:sz w:val="16"/>
          <w:szCs w:val="16"/>
        </w:rPr>
        <w:t>)</w:t>
      </w:r>
      <w:r w:rsidRPr="00BC7ABE">
        <w:rPr>
          <w:rFonts w:ascii="Verdana" w:hAnsi="Verdana" w:cstheme="minorHAnsi"/>
          <w:sz w:val="16"/>
          <w:szCs w:val="16"/>
        </w:rPr>
        <w:t xml:space="preserve"> rzędu </w:t>
      </w:r>
      <w:r w:rsidRPr="00BC7ABE">
        <w:rPr>
          <w:rFonts w:ascii="Verdana" w:hAnsi="Verdana" w:cstheme="minorHAnsi"/>
          <w:b/>
          <w:sz w:val="16"/>
          <w:szCs w:val="16"/>
        </w:rPr>
        <w:t>5,1 mld zł</w:t>
      </w:r>
      <w:r w:rsidRPr="00BC7ABE">
        <w:rPr>
          <w:rFonts w:ascii="Verdana" w:hAnsi="Verdana" w:cstheme="minorHAnsi"/>
          <w:sz w:val="16"/>
          <w:szCs w:val="16"/>
        </w:rPr>
        <w:t xml:space="preserve"> przy rekompensatach na łączną kwotę niecałych </w:t>
      </w:r>
      <w:r w:rsidRPr="00BC7ABE">
        <w:rPr>
          <w:rFonts w:ascii="Verdana" w:hAnsi="Verdana" w:cstheme="minorHAnsi"/>
          <w:b/>
          <w:sz w:val="16"/>
          <w:szCs w:val="16"/>
        </w:rPr>
        <w:t>1,5 mld zł</w:t>
      </w:r>
      <w:r w:rsidRPr="00BC7ABE">
        <w:rPr>
          <w:rFonts w:ascii="Verdana" w:hAnsi="Verdana" w:cstheme="minorHAnsi"/>
          <w:sz w:val="16"/>
          <w:szCs w:val="16"/>
        </w:rPr>
        <w:t xml:space="preserve">, </w:t>
      </w:r>
      <w:r>
        <w:rPr>
          <w:rFonts w:ascii="Verdana" w:hAnsi="Verdana" w:cstheme="minorHAnsi"/>
          <w:sz w:val="16"/>
          <w:szCs w:val="16"/>
        </w:rPr>
        <w:t>co w</w:t>
      </w:r>
      <w:r w:rsidRPr="00BC7ABE">
        <w:rPr>
          <w:rFonts w:ascii="Verdana" w:hAnsi="Verdana" w:cstheme="minorHAnsi"/>
          <w:sz w:val="16"/>
          <w:szCs w:val="16"/>
        </w:rPr>
        <w:t xml:space="preserve"> rezultacie </w:t>
      </w:r>
      <w:r>
        <w:rPr>
          <w:rFonts w:ascii="Verdana" w:hAnsi="Verdana" w:cstheme="minorHAnsi"/>
          <w:sz w:val="16"/>
          <w:szCs w:val="16"/>
        </w:rPr>
        <w:t xml:space="preserve">oznacza </w:t>
      </w:r>
      <w:r w:rsidRPr="00BC7ABE">
        <w:rPr>
          <w:rFonts w:ascii="Verdana" w:hAnsi="Verdana" w:cstheme="minorHAnsi"/>
          <w:sz w:val="16"/>
          <w:szCs w:val="16"/>
        </w:rPr>
        <w:t xml:space="preserve">ograniczenie dochodów </w:t>
      </w:r>
      <w:r w:rsidRPr="00A44C79">
        <w:rPr>
          <w:rFonts w:ascii="Verdana" w:hAnsi="Verdana" w:cstheme="minorHAnsi"/>
          <w:sz w:val="16"/>
          <w:szCs w:val="16"/>
        </w:rPr>
        <w:t xml:space="preserve">Miasta o </w:t>
      </w:r>
      <w:r w:rsidRPr="00A44C79">
        <w:rPr>
          <w:rFonts w:ascii="Verdana" w:hAnsi="Verdana" w:cstheme="minorHAnsi"/>
          <w:b/>
          <w:sz w:val="16"/>
          <w:szCs w:val="16"/>
        </w:rPr>
        <w:t>3,6 mld zł</w:t>
      </w:r>
      <w:r w:rsidRPr="00A44C79">
        <w:rPr>
          <w:rFonts w:ascii="Verdana" w:hAnsi="Verdana" w:cstheme="minorHAnsi"/>
          <w:sz w:val="16"/>
          <w:szCs w:val="16"/>
        </w:rPr>
        <w:t xml:space="preserve"> dla lat 2022-2023, przy czym te negatywne skutki dotyczyć będą również budżetów kolejnych lat (zagadnienie zostało szczegółowo omówione w pkt 4 pt. „Założenia do projektu budżetu m.st. Warszawy na 2024 r.”)</w:t>
      </w:r>
    </w:p>
    <w:p w:rsidR="00CA374E" w:rsidRPr="00A44C79" w:rsidRDefault="00CA374E" w:rsidP="00CA374E">
      <w:pPr>
        <w:spacing w:before="240" w:after="240"/>
        <w:jc w:val="both"/>
        <w:rPr>
          <w:rFonts w:ascii="Verdana" w:hAnsi="Verdana"/>
          <w:sz w:val="16"/>
          <w:szCs w:val="16"/>
        </w:rPr>
      </w:pPr>
      <w:r w:rsidRPr="00A44C79">
        <w:rPr>
          <w:rFonts w:ascii="Verdana" w:hAnsi="Verdana"/>
          <w:sz w:val="16"/>
          <w:szCs w:val="16"/>
        </w:rPr>
        <w:t xml:space="preserve">W budżecie m.st. Warszawy na rok 2023 oraz w Wieloletniej Prognozie Finansowej m.st. Warszawy na lata 2024-2050 uwzględnione są wydatki inwestycyjne z zakresu poprawy efektywności energetycznej, rozwoju odnawialnych źródeł energii oraz ograniczenia kosztów zakupu ciepła lub energii ponoszonych przez odbiorców, dla lat 2023-2027 łącznie na kwotę </w:t>
      </w:r>
      <w:r w:rsidRPr="00A44C79">
        <w:rPr>
          <w:rFonts w:ascii="Verdana" w:hAnsi="Verdana"/>
          <w:b/>
          <w:sz w:val="16"/>
          <w:szCs w:val="16"/>
        </w:rPr>
        <w:t>295 mln zł</w:t>
      </w:r>
      <w:r w:rsidRPr="00A44C79">
        <w:rPr>
          <w:rFonts w:ascii="Verdana" w:hAnsi="Verdana"/>
          <w:sz w:val="16"/>
          <w:szCs w:val="16"/>
        </w:rPr>
        <w:t xml:space="preserve"> zaplanowane do realizacji przez 26 jednostek organizacyjnych, w tym dzielnice m.st. Warszawy, Zarząd Transportu Miejskiego, Zespół Żłobków,  Stołeczny Zarząd Rozbudowy Miasta i biura Urzędu m.st. Warszawy. Wraz z wydatkami poniesionymi w powyższym zakresie w 2022 r. kwota przeznaczona na realizację zadań z zakresu poprawy efektywności energetycznej w okresie 2022-202</w:t>
      </w:r>
      <w:r>
        <w:rPr>
          <w:rFonts w:ascii="Verdana" w:hAnsi="Verdana"/>
          <w:sz w:val="16"/>
          <w:szCs w:val="16"/>
        </w:rPr>
        <w:t>7</w:t>
      </w:r>
      <w:r w:rsidRPr="00A44C79">
        <w:rPr>
          <w:rFonts w:ascii="Verdana" w:hAnsi="Verdana"/>
          <w:sz w:val="16"/>
          <w:szCs w:val="16"/>
        </w:rPr>
        <w:t xml:space="preserve"> wynosi </w:t>
      </w:r>
      <w:r w:rsidRPr="00A44C79">
        <w:rPr>
          <w:rFonts w:ascii="Verdana" w:hAnsi="Verdana"/>
          <w:b/>
          <w:sz w:val="16"/>
          <w:szCs w:val="16"/>
        </w:rPr>
        <w:t>350 mln zł</w:t>
      </w:r>
      <w:r w:rsidRPr="00A44C79">
        <w:rPr>
          <w:rFonts w:ascii="Verdana" w:hAnsi="Verdana"/>
          <w:sz w:val="16"/>
          <w:szCs w:val="16"/>
        </w:rPr>
        <w:t>.</w:t>
      </w:r>
      <w:r w:rsidRPr="00A44C79">
        <w:rPr>
          <w:rFonts w:ascii="Verdana" w:hAnsi="Verdana"/>
          <w:color w:val="FF0000"/>
          <w:sz w:val="16"/>
          <w:szCs w:val="16"/>
        </w:rPr>
        <w:t xml:space="preserve"> </w:t>
      </w:r>
      <w:r>
        <w:rPr>
          <w:rFonts w:ascii="Verdana" w:hAnsi="Verdana"/>
          <w:sz w:val="16"/>
          <w:szCs w:val="16"/>
        </w:rPr>
        <w:t xml:space="preserve">W ramach </w:t>
      </w:r>
      <w:r w:rsidRPr="00A44C79">
        <w:rPr>
          <w:rFonts w:ascii="Verdana" w:hAnsi="Verdana"/>
          <w:sz w:val="16"/>
          <w:szCs w:val="16"/>
        </w:rPr>
        <w:t xml:space="preserve">budżetu na 2024 r. przewiduje się wydatki na zadania i programy z zakresu poprawy efektywności energetycznej w kwocie </w:t>
      </w:r>
      <w:r w:rsidRPr="00A44C79">
        <w:rPr>
          <w:rFonts w:ascii="Verdana" w:hAnsi="Verdana"/>
          <w:b/>
          <w:sz w:val="16"/>
          <w:szCs w:val="16"/>
        </w:rPr>
        <w:t>117,4 mln zł</w:t>
      </w:r>
      <w:r w:rsidRPr="00A44C79">
        <w:rPr>
          <w:rFonts w:ascii="Verdana" w:hAnsi="Verdana"/>
          <w:sz w:val="16"/>
          <w:szCs w:val="16"/>
        </w:rPr>
        <w:t>.</w:t>
      </w:r>
    </w:p>
    <w:p w:rsidR="00CA374E" w:rsidRPr="00F609F8" w:rsidRDefault="00CA374E" w:rsidP="00CA374E">
      <w:pPr>
        <w:spacing w:before="240" w:after="240"/>
        <w:jc w:val="both"/>
        <w:rPr>
          <w:rFonts w:ascii="Verdana" w:hAnsi="Verdana"/>
          <w:sz w:val="16"/>
          <w:szCs w:val="16"/>
        </w:rPr>
      </w:pPr>
      <w:r w:rsidRPr="00A44C79">
        <w:rPr>
          <w:rFonts w:ascii="Verdana" w:hAnsi="Verdana"/>
          <w:sz w:val="16"/>
          <w:szCs w:val="16"/>
        </w:rPr>
        <w:t xml:space="preserve">Główne programy mające na celu poprawę efektywności energetycznej </w:t>
      </w:r>
      <w:r>
        <w:rPr>
          <w:rFonts w:ascii="Verdana" w:hAnsi="Verdana"/>
          <w:sz w:val="16"/>
          <w:szCs w:val="16"/>
        </w:rPr>
        <w:t>i ich rozkład w latach</w:t>
      </w:r>
      <w:r w:rsidRPr="00A44C79">
        <w:rPr>
          <w:rFonts w:ascii="Verdana" w:hAnsi="Verdana"/>
          <w:sz w:val="16"/>
          <w:szCs w:val="16"/>
        </w:rPr>
        <w:t xml:space="preserve"> przedstawiono </w:t>
      </w:r>
      <w:r>
        <w:rPr>
          <w:rFonts w:ascii="Verdana" w:hAnsi="Verdana"/>
          <w:sz w:val="16"/>
          <w:szCs w:val="16"/>
        </w:rPr>
        <w:br/>
      </w:r>
      <w:r w:rsidRPr="00A44C79">
        <w:rPr>
          <w:rFonts w:ascii="Verdana" w:hAnsi="Verdana"/>
          <w:sz w:val="16"/>
          <w:szCs w:val="16"/>
        </w:rPr>
        <w:t>w poniższej tabeli:</w:t>
      </w:r>
    </w:p>
    <w:p w:rsidR="00CA374E" w:rsidRPr="00F609F8" w:rsidRDefault="00CA374E" w:rsidP="00CA374E">
      <w:pPr>
        <w:spacing w:before="240" w:after="240"/>
        <w:jc w:val="both"/>
        <w:rPr>
          <w:rFonts w:ascii="Verdana" w:hAnsi="Verdana"/>
          <w:sz w:val="16"/>
          <w:szCs w:val="16"/>
        </w:rPr>
      </w:pPr>
    </w:p>
    <w:p w:rsidR="00CA374E" w:rsidRPr="00F609F8" w:rsidRDefault="00CA374E" w:rsidP="00CA374E">
      <w:pPr>
        <w:spacing w:before="60" w:after="60"/>
        <w:jc w:val="both"/>
        <w:rPr>
          <w:rFonts w:ascii="Verdana" w:hAnsi="Verdana"/>
          <w:sz w:val="16"/>
          <w:szCs w:val="16"/>
        </w:rPr>
      </w:pPr>
      <w:r w:rsidRPr="00A44C79">
        <w:rPr>
          <w:noProof/>
        </w:rPr>
        <w:lastRenderedPageBreak/>
        <w:drawing>
          <wp:inline distT="0" distB="0" distL="0" distR="0" wp14:anchorId="5AB66FFC" wp14:editId="23F2FA6E">
            <wp:extent cx="5760085" cy="20464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046425"/>
                    </a:xfrm>
                    <a:prstGeom prst="rect">
                      <a:avLst/>
                    </a:prstGeom>
                    <a:noFill/>
                    <a:ln>
                      <a:noFill/>
                    </a:ln>
                  </pic:spPr>
                </pic:pic>
              </a:graphicData>
            </a:graphic>
          </wp:inline>
        </w:drawing>
      </w:r>
    </w:p>
    <w:p w:rsidR="00CA374E" w:rsidRDefault="00CA374E" w:rsidP="00CA374E">
      <w:pPr>
        <w:spacing w:before="60" w:after="60"/>
        <w:jc w:val="both"/>
        <w:rPr>
          <w:rFonts w:ascii="Verdana" w:hAnsi="Verdana"/>
          <w:b/>
          <w:sz w:val="16"/>
          <w:szCs w:val="16"/>
        </w:rPr>
      </w:pPr>
      <w:r w:rsidRPr="00B6346D">
        <w:rPr>
          <w:rFonts w:ascii="Verdana" w:hAnsi="Verdana"/>
          <w:sz w:val="16"/>
          <w:szCs w:val="16"/>
        </w:rPr>
        <w:t>Szczegółowe informacje dotyczące realizacji zadań z zakresu poprawy efektywności energetycznej, w tym ich faktycznej realizacji w poszczególnych latach oraz sukce</w:t>
      </w:r>
      <w:r>
        <w:rPr>
          <w:rFonts w:ascii="Verdana" w:hAnsi="Verdana"/>
          <w:sz w:val="16"/>
          <w:szCs w:val="16"/>
        </w:rPr>
        <w:t xml:space="preserve">sywnego przeznaczenia środków z </w:t>
      </w:r>
      <w:r w:rsidRPr="00B6346D">
        <w:rPr>
          <w:rFonts w:ascii="Verdana" w:hAnsi="Verdana"/>
          <w:sz w:val="16"/>
          <w:szCs w:val="16"/>
        </w:rPr>
        <w:t>programów na realizację konkretnych zadań będą przekazywane w sprawozdaniach z realizacji budżetu m.s</w:t>
      </w:r>
      <w:r>
        <w:rPr>
          <w:rFonts w:ascii="Verdana" w:hAnsi="Verdana"/>
          <w:sz w:val="16"/>
          <w:szCs w:val="16"/>
        </w:rPr>
        <w:t>t. Warszawy</w:t>
      </w:r>
      <w:r w:rsidRPr="00B6346D">
        <w:rPr>
          <w:rFonts w:ascii="Verdana" w:hAnsi="Verdana"/>
          <w:sz w:val="16"/>
          <w:szCs w:val="16"/>
        </w:rPr>
        <w:t>.</w:t>
      </w:r>
    </w:p>
    <w:p w:rsidR="00CA374E" w:rsidRPr="000A6485" w:rsidRDefault="00CA374E" w:rsidP="00CA374E">
      <w:pPr>
        <w:spacing w:before="360" w:after="240" w:line="240" w:lineRule="auto"/>
        <w:ind w:left="284" w:hanging="284"/>
        <w:rPr>
          <w:rFonts w:ascii="Verdana" w:hAnsi="Verdana"/>
          <w:b/>
          <w:bCs/>
          <w:sz w:val="22"/>
          <w:szCs w:val="22"/>
        </w:rPr>
      </w:pPr>
      <w:r w:rsidRPr="000A6485">
        <w:rPr>
          <w:rFonts w:ascii="Verdana" w:hAnsi="Verdana"/>
          <w:b/>
          <w:bCs/>
        </w:rPr>
        <w:t xml:space="preserve">5. </w:t>
      </w:r>
      <w:r w:rsidRPr="001B630D">
        <w:rPr>
          <w:rFonts w:ascii="Verdana" w:hAnsi="Verdana"/>
          <w:b/>
          <w:bCs/>
          <w:sz w:val="22"/>
          <w:szCs w:val="22"/>
        </w:rPr>
        <w:t xml:space="preserve">Cele polityki budżetowej m.st. Warszawy uwzględnione </w:t>
      </w:r>
      <w:r w:rsidRPr="001B630D">
        <w:rPr>
          <w:rFonts w:ascii="Verdana" w:hAnsi="Verdana"/>
          <w:b/>
          <w:bCs/>
          <w:sz w:val="22"/>
          <w:szCs w:val="22"/>
        </w:rPr>
        <w:br/>
      </w:r>
      <w:r>
        <w:rPr>
          <w:rFonts w:ascii="Verdana" w:hAnsi="Verdana"/>
          <w:b/>
          <w:bCs/>
          <w:sz w:val="22"/>
          <w:szCs w:val="22"/>
        </w:rPr>
        <w:t xml:space="preserve"> </w:t>
      </w:r>
      <w:r w:rsidRPr="001B630D">
        <w:rPr>
          <w:rFonts w:ascii="Verdana" w:hAnsi="Verdana"/>
          <w:b/>
          <w:bCs/>
          <w:sz w:val="22"/>
          <w:szCs w:val="22"/>
        </w:rPr>
        <w:t>w Wieloletniej Prognoz</w:t>
      </w:r>
      <w:r>
        <w:rPr>
          <w:rFonts w:ascii="Verdana" w:hAnsi="Verdana"/>
          <w:b/>
          <w:bCs/>
          <w:sz w:val="22"/>
          <w:szCs w:val="22"/>
        </w:rPr>
        <w:t>ie</w:t>
      </w:r>
      <w:r w:rsidRPr="001B630D">
        <w:rPr>
          <w:rFonts w:ascii="Verdana" w:hAnsi="Verdana"/>
          <w:b/>
          <w:bCs/>
          <w:sz w:val="22"/>
          <w:szCs w:val="22"/>
        </w:rPr>
        <w:t xml:space="preserve"> Finansowej na lata </w:t>
      </w:r>
      <w:r w:rsidRPr="008F3935">
        <w:rPr>
          <w:rFonts w:ascii="Verdana" w:hAnsi="Verdana"/>
          <w:b/>
          <w:bCs/>
          <w:sz w:val="22"/>
          <w:szCs w:val="22"/>
        </w:rPr>
        <w:t>2024</w:t>
      </w:r>
      <w:r w:rsidRPr="001B630D">
        <w:rPr>
          <w:rFonts w:ascii="Verdana" w:hAnsi="Verdana"/>
          <w:b/>
          <w:bCs/>
          <w:sz w:val="22"/>
          <w:szCs w:val="22"/>
        </w:rPr>
        <w:t>-2050</w:t>
      </w:r>
    </w:p>
    <w:p w:rsidR="00CA374E" w:rsidRDefault="00CA374E" w:rsidP="00CA374E">
      <w:pPr>
        <w:spacing w:before="60" w:after="60"/>
        <w:ind w:firstLine="567"/>
        <w:jc w:val="both"/>
        <w:rPr>
          <w:rFonts w:ascii="Verdana" w:hAnsi="Verdana" w:cs="Verdana"/>
          <w:sz w:val="16"/>
          <w:szCs w:val="16"/>
          <w:lang w:eastAsia="ko-KR"/>
        </w:rPr>
      </w:pPr>
      <w:r w:rsidRPr="009E3E76">
        <w:rPr>
          <w:rFonts w:ascii="Verdana" w:hAnsi="Verdana" w:cs="Verdana"/>
          <w:sz w:val="16"/>
          <w:szCs w:val="16"/>
          <w:lang w:eastAsia="ko-KR"/>
        </w:rPr>
        <w:t xml:space="preserve">Cele polityki budżetowej określone w </w:t>
      </w:r>
      <w:r>
        <w:rPr>
          <w:rFonts w:ascii="Verdana" w:hAnsi="Verdana" w:cs="Verdana"/>
          <w:sz w:val="16"/>
          <w:szCs w:val="16"/>
          <w:lang w:eastAsia="ko-KR"/>
        </w:rPr>
        <w:t>Wieloletniej Prognozie</w:t>
      </w:r>
      <w:r w:rsidRPr="009E3E76">
        <w:rPr>
          <w:rFonts w:ascii="Verdana" w:hAnsi="Verdana" w:cs="Verdana"/>
          <w:sz w:val="16"/>
          <w:szCs w:val="16"/>
          <w:lang w:eastAsia="ko-KR"/>
        </w:rPr>
        <w:t xml:space="preserve"> Finansowej m.st. Warszawy edycji </w:t>
      </w:r>
      <w:r w:rsidRPr="008F3935">
        <w:rPr>
          <w:rFonts w:ascii="Verdana" w:eastAsiaTheme="minorEastAsia" w:hAnsi="Verdana" w:cs="Verdana"/>
          <w:color w:val="000000"/>
          <w:sz w:val="16"/>
          <w:szCs w:val="16"/>
        </w:rPr>
        <w:t>2024</w:t>
      </w:r>
      <w:r w:rsidRPr="009E3E76">
        <w:rPr>
          <w:rFonts w:ascii="Verdana" w:hAnsi="Verdana" w:cs="Verdana"/>
          <w:sz w:val="16"/>
          <w:szCs w:val="16"/>
          <w:lang w:eastAsia="ko-KR"/>
        </w:rPr>
        <w:t xml:space="preserve">-2050 stanowią co do zasady kontynuację założeń ujętych w Wieloletniej Prognozie Finansowej edycji </w:t>
      </w:r>
      <w:r w:rsidRPr="008F3935">
        <w:rPr>
          <w:rFonts w:ascii="Verdana" w:eastAsiaTheme="minorEastAsia" w:hAnsi="Verdana" w:cs="Verdana"/>
          <w:color w:val="000000"/>
          <w:sz w:val="16"/>
          <w:szCs w:val="16"/>
        </w:rPr>
        <w:t>2023</w:t>
      </w:r>
      <w:r w:rsidRPr="009E3E76">
        <w:rPr>
          <w:rFonts w:ascii="Verdana" w:hAnsi="Verdana" w:cs="Verdana"/>
          <w:sz w:val="16"/>
          <w:szCs w:val="16"/>
          <w:lang w:eastAsia="ko-KR"/>
        </w:rPr>
        <w:t xml:space="preserve">-2050. </w:t>
      </w:r>
      <w:r>
        <w:rPr>
          <w:rFonts w:ascii="Verdana" w:hAnsi="Verdana" w:cs="Verdana"/>
          <w:sz w:val="16"/>
          <w:szCs w:val="16"/>
          <w:lang w:eastAsia="ko-KR"/>
        </w:rPr>
        <w:br/>
      </w:r>
      <w:r w:rsidRPr="009E3E76">
        <w:rPr>
          <w:rFonts w:ascii="Verdana" w:hAnsi="Verdana" w:cs="Verdana"/>
          <w:sz w:val="16"/>
          <w:szCs w:val="16"/>
          <w:lang w:eastAsia="ko-KR"/>
        </w:rPr>
        <w:t>Ze względu na przełomową zmianę uwarunkowań budżetowych</w:t>
      </w:r>
      <w:r>
        <w:rPr>
          <w:rFonts w:ascii="Verdana" w:hAnsi="Verdana" w:cs="Verdana"/>
          <w:sz w:val="16"/>
          <w:szCs w:val="16"/>
          <w:lang w:eastAsia="ko-KR"/>
        </w:rPr>
        <w:t xml:space="preserve">, związaną ze znaczącym ubytkiem dochodów </w:t>
      </w:r>
      <w:r>
        <w:rPr>
          <w:rFonts w:ascii="Verdana" w:hAnsi="Verdana" w:cs="Verdana"/>
          <w:sz w:val="16"/>
          <w:szCs w:val="16"/>
          <w:lang w:eastAsia="ko-KR"/>
        </w:rPr>
        <w:br/>
        <w:t>m.st. Warszawy z udziału w podatku dochodowym od osób fizycznych (PIT) na skutek rządowego Programu Polski Ład, oddziałującą negatywnie na dochody Miasta w warunkach podwyższonej inflacji</w:t>
      </w:r>
      <w:r w:rsidRPr="009E3E76">
        <w:rPr>
          <w:rFonts w:ascii="Verdana" w:hAnsi="Verdana" w:cs="Verdana"/>
          <w:sz w:val="16"/>
          <w:szCs w:val="16"/>
          <w:lang w:eastAsia="ko-KR"/>
        </w:rPr>
        <w:t xml:space="preserve">, tempo realizacji </w:t>
      </w:r>
      <w:r>
        <w:rPr>
          <w:rFonts w:ascii="Verdana" w:hAnsi="Verdana" w:cs="Verdana"/>
          <w:sz w:val="16"/>
          <w:szCs w:val="16"/>
          <w:lang w:eastAsia="ko-KR"/>
        </w:rPr>
        <w:t xml:space="preserve">tych celów </w:t>
      </w:r>
      <w:r w:rsidRPr="009E3E76">
        <w:rPr>
          <w:rFonts w:ascii="Verdana" w:hAnsi="Verdana" w:cs="Verdana"/>
          <w:sz w:val="16"/>
          <w:szCs w:val="16"/>
          <w:lang w:eastAsia="ko-KR"/>
        </w:rPr>
        <w:t xml:space="preserve">ulegnie </w:t>
      </w:r>
      <w:r>
        <w:rPr>
          <w:rFonts w:ascii="Verdana" w:hAnsi="Verdana" w:cs="Verdana"/>
          <w:sz w:val="16"/>
          <w:szCs w:val="16"/>
          <w:lang w:eastAsia="ko-KR"/>
        </w:rPr>
        <w:t>dostosowaniu</w:t>
      </w:r>
      <w:r w:rsidRPr="009E3E76">
        <w:rPr>
          <w:rFonts w:ascii="Verdana" w:hAnsi="Verdana" w:cs="Verdana"/>
          <w:sz w:val="16"/>
          <w:szCs w:val="16"/>
          <w:lang w:eastAsia="ko-KR"/>
        </w:rPr>
        <w:t xml:space="preserve"> i każdy</w:t>
      </w:r>
      <w:r>
        <w:rPr>
          <w:rFonts w:ascii="Verdana" w:hAnsi="Verdana" w:cs="Verdana"/>
          <w:sz w:val="16"/>
          <w:szCs w:val="16"/>
          <w:lang w:eastAsia="ko-KR"/>
        </w:rPr>
        <w:t xml:space="preserve"> z celów polityki budżetowej m.</w:t>
      </w:r>
      <w:r w:rsidRPr="009E3E76">
        <w:rPr>
          <w:rFonts w:ascii="Verdana" w:hAnsi="Verdana" w:cs="Verdana"/>
          <w:sz w:val="16"/>
          <w:szCs w:val="16"/>
          <w:lang w:eastAsia="ko-KR"/>
        </w:rPr>
        <w:t>st. Warszawy definiowany jest obecnie jako wyzwanie dla Miasta w dłuższym okresie, w tym szczególnym wyzwaniem staje się redukcja deficytu budżetowego</w:t>
      </w:r>
      <w:r>
        <w:rPr>
          <w:rFonts w:ascii="Verdana" w:hAnsi="Verdana" w:cs="Verdana"/>
          <w:sz w:val="16"/>
          <w:szCs w:val="16"/>
          <w:lang w:eastAsia="ko-KR"/>
        </w:rPr>
        <w:t xml:space="preserve">, </w:t>
      </w:r>
      <w:r>
        <w:rPr>
          <w:rFonts w:ascii="Verdana" w:hAnsi="Verdana" w:cs="Verdana"/>
          <w:sz w:val="16"/>
          <w:szCs w:val="16"/>
          <w:lang w:eastAsia="ko-KR"/>
        </w:rPr>
        <w:br/>
        <w:t>a zwłaszcza operacyjnego</w:t>
      </w:r>
      <w:r w:rsidRPr="009E3E76">
        <w:rPr>
          <w:rFonts w:ascii="Verdana" w:hAnsi="Verdana" w:cs="Verdana"/>
          <w:sz w:val="16"/>
          <w:szCs w:val="16"/>
          <w:lang w:eastAsia="ko-KR"/>
        </w:rPr>
        <w:t xml:space="preserve"> oraz ograniczenie przyrostu zadłużenia i</w:t>
      </w:r>
      <w:r>
        <w:rPr>
          <w:rFonts w:ascii="Verdana" w:hAnsi="Verdana" w:cs="Verdana"/>
          <w:sz w:val="16"/>
          <w:szCs w:val="16"/>
          <w:lang w:eastAsia="ko-KR"/>
        </w:rPr>
        <w:t xml:space="preserve"> </w:t>
      </w:r>
      <w:r w:rsidRPr="009E3E76">
        <w:rPr>
          <w:rFonts w:ascii="Verdana" w:hAnsi="Verdana" w:cs="Verdana"/>
          <w:sz w:val="16"/>
          <w:szCs w:val="16"/>
          <w:lang w:eastAsia="ko-KR"/>
        </w:rPr>
        <w:t xml:space="preserve">utrzymanie </w:t>
      </w:r>
      <w:r>
        <w:rPr>
          <w:rFonts w:ascii="Verdana" w:hAnsi="Verdana" w:cs="Verdana"/>
          <w:sz w:val="16"/>
          <w:szCs w:val="16"/>
          <w:lang w:eastAsia="ko-KR"/>
        </w:rPr>
        <w:t xml:space="preserve">jego poziomu </w:t>
      </w:r>
      <w:r w:rsidRPr="009E3E76">
        <w:rPr>
          <w:rFonts w:ascii="Verdana" w:hAnsi="Verdana" w:cs="Verdana"/>
          <w:sz w:val="16"/>
          <w:szCs w:val="16"/>
          <w:lang w:eastAsia="ko-KR"/>
        </w:rPr>
        <w:t>w relacji do dochodów</w:t>
      </w:r>
      <w:r>
        <w:rPr>
          <w:rFonts w:ascii="Verdana" w:hAnsi="Verdana" w:cs="Verdana"/>
          <w:sz w:val="16"/>
          <w:szCs w:val="16"/>
          <w:lang w:eastAsia="ko-KR"/>
        </w:rPr>
        <w:t xml:space="preserve"> na założonym poziomie</w:t>
      </w:r>
      <w:r w:rsidRPr="009E3E76">
        <w:rPr>
          <w:rFonts w:ascii="Verdana" w:hAnsi="Verdana" w:cs="Verdana"/>
          <w:sz w:val="16"/>
          <w:szCs w:val="16"/>
          <w:lang w:eastAsia="ko-KR"/>
        </w:rPr>
        <w:t xml:space="preserve">. </w:t>
      </w:r>
    </w:p>
    <w:p w:rsidR="00CA374E" w:rsidRPr="009E3E76"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Utrzymującym się dodatkowym czynnikiem niepewności rozwoju sytuacji finansowej m.st. Warszawy jest niestabilność otoczenia makroekonomicznego, a w szczególności dynamika procesów inflacyjnych nadal mająca wpływ na</w:t>
      </w:r>
      <w:r>
        <w:rPr>
          <w:rFonts w:ascii="Verdana" w:hAnsi="Verdana" w:cstheme="minorHAnsi"/>
          <w:sz w:val="16"/>
          <w:szCs w:val="16"/>
        </w:rPr>
        <w:t xml:space="preserve"> podwyższoną presję na wydatki budżetowe Miasta w związku z istotnym wzrostem cen nośników energii oraz podwyższonymi oczekiwaniami płacowymi i wyższymi cenami towarów i usług. Z kolei k</w:t>
      </w:r>
      <w:r w:rsidRPr="00E7113F">
        <w:rPr>
          <w:rFonts w:ascii="Verdana" w:hAnsi="Verdana" w:cstheme="minorHAnsi"/>
          <w:sz w:val="16"/>
          <w:szCs w:val="16"/>
        </w:rPr>
        <w:t>onfli</w:t>
      </w:r>
      <w:r>
        <w:rPr>
          <w:rFonts w:ascii="Verdana" w:hAnsi="Verdana" w:cstheme="minorHAnsi"/>
          <w:sz w:val="16"/>
          <w:szCs w:val="16"/>
        </w:rPr>
        <w:t xml:space="preserve">kt zbrojny na terytorium Ukrainy zapoczątkowany agresją Federacji Rosyjskiej w dniu 24 lutego 2022 r. spowodował napływ uchodźców, wywołując nadal aktualny szereg wyzwań organizacyjnych oraz generując dodatkowe potrzeby wydatkowe. Finansowanie wydatków związanych z pomocą uchodźcom pochodzi zarówno ze źródeł zewnętrznych (m.in. dotacje i darowizny), ale także ze środków własnych Miasta. </w:t>
      </w:r>
      <w:r w:rsidRPr="000D40D7">
        <w:rPr>
          <w:rFonts w:ascii="Verdana" w:hAnsi="Verdana" w:cstheme="minorHAnsi"/>
          <w:b/>
          <w:sz w:val="16"/>
          <w:szCs w:val="16"/>
        </w:rPr>
        <w:t>Zatem z</w:t>
      </w:r>
      <w:r w:rsidRPr="0079792C">
        <w:rPr>
          <w:rFonts w:ascii="Verdana" w:hAnsi="Verdana" w:cstheme="minorHAnsi"/>
          <w:b/>
          <w:sz w:val="16"/>
          <w:szCs w:val="16"/>
        </w:rPr>
        <w:t xml:space="preserve">większonym potrzebom wydatkowym związanym </w:t>
      </w:r>
      <w:r>
        <w:rPr>
          <w:rFonts w:ascii="Verdana" w:hAnsi="Verdana" w:cstheme="minorHAnsi"/>
          <w:b/>
          <w:sz w:val="16"/>
          <w:szCs w:val="16"/>
        </w:rPr>
        <w:t>z pomocą uchodźcom z Ukrainy</w:t>
      </w:r>
      <w:r w:rsidRPr="0079792C">
        <w:rPr>
          <w:rFonts w:ascii="Verdana" w:hAnsi="Verdana" w:cstheme="minorHAnsi"/>
          <w:b/>
          <w:sz w:val="16"/>
          <w:szCs w:val="16"/>
        </w:rPr>
        <w:t xml:space="preserve">, przy </w:t>
      </w:r>
      <w:r>
        <w:rPr>
          <w:rFonts w:ascii="Verdana" w:hAnsi="Verdana" w:cstheme="minorHAnsi"/>
          <w:b/>
          <w:sz w:val="16"/>
          <w:szCs w:val="16"/>
        </w:rPr>
        <w:t xml:space="preserve">utrzymującej </w:t>
      </w:r>
      <w:r w:rsidRPr="0079792C">
        <w:rPr>
          <w:rFonts w:ascii="Verdana" w:hAnsi="Verdana" w:cstheme="minorHAnsi"/>
          <w:b/>
          <w:sz w:val="16"/>
          <w:szCs w:val="16"/>
        </w:rPr>
        <w:t xml:space="preserve">się presji na inne wydatki </w:t>
      </w:r>
      <w:r>
        <w:rPr>
          <w:rFonts w:ascii="Verdana" w:hAnsi="Verdana" w:cstheme="minorHAnsi"/>
          <w:b/>
          <w:sz w:val="16"/>
          <w:szCs w:val="16"/>
        </w:rPr>
        <w:t>wywołanej</w:t>
      </w:r>
      <w:r w:rsidRPr="0079792C">
        <w:rPr>
          <w:rFonts w:ascii="Verdana" w:hAnsi="Verdana" w:cstheme="minorHAnsi"/>
          <w:b/>
          <w:sz w:val="16"/>
          <w:szCs w:val="16"/>
        </w:rPr>
        <w:t xml:space="preserve"> </w:t>
      </w:r>
      <w:r>
        <w:rPr>
          <w:rFonts w:ascii="Verdana" w:hAnsi="Verdana" w:cstheme="minorHAnsi"/>
          <w:b/>
          <w:sz w:val="16"/>
          <w:szCs w:val="16"/>
        </w:rPr>
        <w:t>rosnącymi</w:t>
      </w:r>
      <w:r w:rsidRPr="0079792C">
        <w:rPr>
          <w:rFonts w:ascii="Verdana" w:hAnsi="Verdana" w:cstheme="minorHAnsi"/>
          <w:b/>
          <w:sz w:val="16"/>
          <w:szCs w:val="16"/>
        </w:rPr>
        <w:t xml:space="preserve"> cenami towarów i usług, </w:t>
      </w:r>
      <w:r>
        <w:rPr>
          <w:rFonts w:ascii="Verdana" w:hAnsi="Verdana" w:cstheme="minorHAnsi"/>
          <w:b/>
          <w:sz w:val="16"/>
          <w:szCs w:val="16"/>
        </w:rPr>
        <w:t>towarzyszy</w:t>
      </w:r>
      <w:r w:rsidRPr="0079792C">
        <w:rPr>
          <w:rFonts w:ascii="Verdana" w:hAnsi="Verdana" w:cstheme="minorHAnsi"/>
          <w:b/>
          <w:sz w:val="16"/>
          <w:szCs w:val="16"/>
        </w:rPr>
        <w:t xml:space="preserve"> bezprecedensowe trwałe ograniczenie od </w:t>
      </w:r>
      <w:r>
        <w:rPr>
          <w:rFonts w:ascii="Verdana" w:hAnsi="Verdana" w:cstheme="minorHAnsi"/>
          <w:b/>
          <w:sz w:val="16"/>
          <w:szCs w:val="16"/>
        </w:rPr>
        <w:t xml:space="preserve">początku </w:t>
      </w:r>
      <w:r w:rsidRPr="0079792C">
        <w:rPr>
          <w:rFonts w:ascii="Verdana" w:hAnsi="Verdana" w:cstheme="minorHAnsi"/>
          <w:b/>
          <w:sz w:val="16"/>
          <w:szCs w:val="16"/>
        </w:rPr>
        <w:t xml:space="preserve">2022 r. potencjału dochodowego Miasta w konsekwencji zmian podatkowych </w:t>
      </w:r>
      <w:r>
        <w:rPr>
          <w:rFonts w:ascii="Verdana" w:hAnsi="Verdana" w:cstheme="minorHAnsi"/>
          <w:b/>
          <w:sz w:val="16"/>
          <w:szCs w:val="16"/>
        </w:rPr>
        <w:t xml:space="preserve">wynikających z programu </w:t>
      </w:r>
      <w:r w:rsidRPr="0079792C">
        <w:rPr>
          <w:rFonts w:ascii="Verdana" w:hAnsi="Verdana" w:cstheme="minorHAnsi"/>
          <w:b/>
          <w:sz w:val="16"/>
          <w:szCs w:val="16"/>
        </w:rPr>
        <w:t>Polski Ład</w:t>
      </w:r>
      <w:r>
        <w:rPr>
          <w:rFonts w:ascii="Verdana" w:hAnsi="Verdana" w:cstheme="minorHAnsi"/>
          <w:b/>
          <w:sz w:val="16"/>
          <w:szCs w:val="16"/>
        </w:rPr>
        <w:t>, które nałożyło się na już wcześniej wprowadzone zmiany podatkowe trwale ograniczające dochody własne m.st. Warszawy.</w:t>
      </w:r>
    </w:p>
    <w:p w:rsidR="00CA374E" w:rsidRDefault="00CA374E" w:rsidP="00CA374E">
      <w:pPr>
        <w:spacing w:before="60" w:after="60"/>
        <w:jc w:val="both"/>
        <w:rPr>
          <w:rFonts w:ascii="Verdana" w:hAnsi="Verdana" w:cs="Verdana"/>
          <w:sz w:val="16"/>
          <w:szCs w:val="16"/>
          <w:lang w:eastAsia="ko-KR"/>
        </w:rPr>
      </w:pPr>
      <w:r w:rsidRPr="009E3E76">
        <w:rPr>
          <w:rFonts w:ascii="Verdana" w:hAnsi="Verdana" w:cs="Verdana"/>
          <w:sz w:val="16"/>
          <w:szCs w:val="16"/>
          <w:lang w:eastAsia="ko-KR"/>
        </w:rPr>
        <w:t>Niemn</w:t>
      </w:r>
      <w:r>
        <w:rPr>
          <w:rFonts w:ascii="Verdana" w:hAnsi="Verdana" w:cs="Verdana"/>
          <w:sz w:val="16"/>
          <w:szCs w:val="16"/>
          <w:lang w:eastAsia="ko-KR"/>
        </w:rPr>
        <w:t>iej cele polityki budżetowej m.</w:t>
      </w:r>
      <w:r w:rsidRPr="009E3E76">
        <w:rPr>
          <w:rFonts w:ascii="Verdana" w:hAnsi="Verdana" w:cs="Verdana"/>
          <w:sz w:val="16"/>
          <w:szCs w:val="16"/>
          <w:lang w:eastAsia="ko-KR"/>
        </w:rPr>
        <w:t>st. Warszawy</w:t>
      </w:r>
      <w:r w:rsidRPr="009E3E76">
        <w:rPr>
          <w:rFonts w:ascii="Verdana" w:hAnsi="Verdana"/>
          <w:iCs/>
          <w:sz w:val="16"/>
          <w:szCs w:val="16"/>
        </w:rPr>
        <w:t xml:space="preserve"> są ukierunkowane na:</w:t>
      </w:r>
    </w:p>
    <w:p w:rsidR="00CA374E" w:rsidRPr="00011AAA" w:rsidRDefault="00CA374E" w:rsidP="00CA374E">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redukcję</w:t>
      </w:r>
      <w:r w:rsidRPr="00011AAA">
        <w:rPr>
          <w:rFonts w:ascii="Verdana" w:hAnsi="Verdana" w:cs="Verdana"/>
          <w:sz w:val="16"/>
          <w:szCs w:val="16"/>
          <w:lang w:eastAsia="ko-KR"/>
        </w:rPr>
        <w:t xml:space="preserve"> </w:t>
      </w:r>
      <w:r>
        <w:rPr>
          <w:rFonts w:ascii="Verdana" w:hAnsi="Verdana" w:cs="Verdana"/>
          <w:sz w:val="16"/>
          <w:szCs w:val="16"/>
          <w:lang w:eastAsia="ko-KR"/>
        </w:rPr>
        <w:t>deficytu budżetowego prowadzoną</w:t>
      </w:r>
      <w:r w:rsidRPr="00011AAA">
        <w:rPr>
          <w:rFonts w:ascii="Verdana" w:hAnsi="Verdana" w:cs="Verdana"/>
          <w:sz w:val="16"/>
          <w:szCs w:val="16"/>
          <w:lang w:eastAsia="ko-KR"/>
        </w:rPr>
        <w:t xml:space="preserve"> w sposób niezagrażający rozwojowi Miasta, </w:t>
      </w:r>
    </w:p>
    <w:p w:rsidR="00CA374E" w:rsidRPr="00011AAA" w:rsidRDefault="00CA374E" w:rsidP="00CA374E">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ograniczenie</w:t>
      </w:r>
      <w:r w:rsidRPr="00011AAA">
        <w:rPr>
          <w:rFonts w:ascii="Verdana" w:hAnsi="Verdana" w:cs="Verdana"/>
          <w:sz w:val="16"/>
          <w:szCs w:val="16"/>
          <w:lang w:eastAsia="ko-KR"/>
        </w:rPr>
        <w:t xml:space="preserve"> przyrostu zadłużenia poprzez utrzymanie jego poziomu poniżej wewnętrznego limitu zadłużenia w relacji do dochodów, ustalonego n</w:t>
      </w:r>
      <w:r>
        <w:rPr>
          <w:rFonts w:ascii="Verdana" w:hAnsi="Verdana" w:cs="Verdana"/>
          <w:sz w:val="16"/>
          <w:szCs w:val="16"/>
          <w:lang w:eastAsia="ko-KR"/>
        </w:rPr>
        <w:t>a poziomie nieprzekraczającym 55</w:t>
      </w:r>
      <w:r w:rsidRPr="00011AAA">
        <w:rPr>
          <w:rFonts w:ascii="Verdana" w:hAnsi="Verdana" w:cs="Verdana"/>
          <w:sz w:val="16"/>
          <w:szCs w:val="16"/>
          <w:lang w:eastAsia="ko-KR"/>
        </w:rPr>
        <w:t>%,</w:t>
      </w:r>
    </w:p>
    <w:p w:rsidR="00CA374E" w:rsidRPr="00011AAA" w:rsidRDefault="00CA374E" w:rsidP="00CA374E">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maksymalne wykorzystanie</w:t>
      </w:r>
      <w:r w:rsidRPr="00011AAA">
        <w:rPr>
          <w:rFonts w:ascii="Verdana" w:hAnsi="Verdana" w:cs="Verdana"/>
          <w:sz w:val="16"/>
          <w:szCs w:val="16"/>
          <w:lang w:eastAsia="ko-KR"/>
        </w:rPr>
        <w:t xml:space="preserve"> środków unijnych,</w:t>
      </w:r>
    </w:p>
    <w:p w:rsidR="00CA374E" w:rsidRDefault="00CA374E" w:rsidP="00CA374E">
      <w:pPr>
        <w:pStyle w:val="Akapitzlist"/>
        <w:numPr>
          <w:ilvl w:val="0"/>
          <w:numId w:val="44"/>
        </w:numPr>
        <w:spacing w:before="60" w:after="60"/>
        <w:ind w:left="567" w:hanging="283"/>
        <w:contextualSpacing w:val="0"/>
        <w:jc w:val="both"/>
        <w:rPr>
          <w:rFonts w:ascii="Verdana" w:hAnsi="Verdana"/>
          <w:sz w:val="16"/>
          <w:szCs w:val="16"/>
        </w:rPr>
      </w:pPr>
      <w:r>
        <w:rPr>
          <w:rFonts w:ascii="Verdana" w:hAnsi="Verdana"/>
          <w:sz w:val="16"/>
          <w:szCs w:val="16"/>
        </w:rPr>
        <w:lastRenderedPageBreak/>
        <w:t>zachowanie</w:t>
      </w:r>
      <w:r w:rsidRPr="00011AAA">
        <w:rPr>
          <w:rFonts w:ascii="Verdana" w:hAnsi="Verdana"/>
          <w:sz w:val="16"/>
          <w:szCs w:val="16"/>
        </w:rPr>
        <w:t xml:space="preserve"> prorozwojowej orientacji budżetu w warunkach ograniczeń wynikających z działania dwóch systemowych reguł fiskalnych określonych w art. 242 i 243 ustawy o finansach publicznych, </w:t>
      </w:r>
      <w:r w:rsidRPr="00011AAA">
        <w:rPr>
          <w:rFonts w:ascii="Verdana" w:hAnsi="Verdana"/>
          <w:sz w:val="16"/>
          <w:szCs w:val="16"/>
        </w:rPr>
        <w:br/>
        <w:t>tj. utrzymania dodatniej różnicy między dochodami bieżącymi a wydatkami bieżącymi oraz nieprzekraczania zindywidualizowanego limitu obsługi zadłużenia,</w:t>
      </w:r>
    </w:p>
    <w:p w:rsidR="00CA374E" w:rsidRPr="00011AAA" w:rsidRDefault="00CA374E" w:rsidP="00CA374E">
      <w:pPr>
        <w:pStyle w:val="Akapitzlist"/>
        <w:numPr>
          <w:ilvl w:val="0"/>
          <w:numId w:val="44"/>
        </w:numPr>
        <w:spacing w:before="60" w:after="60"/>
        <w:ind w:left="567" w:hanging="283"/>
        <w:contextualSpacing w:val="0"/>
        <w:jc w:val="both"/>
        <w:rPr>
          <w:rFonts w:ascii="Verdana" w:hAnsi="Verdana"/>
          <w:sz w:val="16"/>
          <w:szCs w:val="16"/>
        </w:rPr>
      </w:pPr>
      <w:r>
        <w:rPr>
          <w:rFonts w:ascii="Verdana" w:hAnsi="Verdana"/>
          <w:sz w:val="16"/>
          <w:szCs w:val="16"/>
        </w:rPr>
        <w:t>zapewnienie optymalnego poziomu dostarczanych usług publicznych w ramach istotnie obniżonych możliwości budżetowych związanych z negatywnymi następstwami programu Polski Ład dla poziomu dochodów z głównego źródła dochodów Miasta, tj. udziału w podatku dochodowym od osób fizycznych (PIT),</w:t>
      </w:r>
    </w:p>
    <w:p w:rsidR="00CA374E" w:rsidRPr="00011AAA" w:rsidRDefault="00CA374E" w:rsidP="00CA374E">
      <w:pPr>
        <w:pStyle w:val="Akapitzlist"/>
        <w:numPr>
          <w:ilvl w:val="0"/>
          <w:numId w:val="44"/>
        </w:numPr>
        <w:spacing w:before="60" w:after="60"/>
        <w:ind w:left="567" w:hanging="283"/>
        <w:contextualSpacing w:val="0"/>
        <w:jc w:val="both"/>
        <w:rPr>
          <w:rFonts w:ascii="Verdana" w:hAnsi="Verdana" w:cs="Verdana"/>
          <w:sz w:val="16"/>
          <w:szCs w:val="16"/>
          <w:lang w:eastAsia="ko-KR"/>
        </w:rPr>
      </w:pPr>
      <w:r>
        <w:rPr>
          <w:rFonts w:ascii="Verdana" w:hAnsi="Verdana" w:cs="Verdana"/>
          <w:sz w:val="16"/>
          <w:szCs w:val="16"/>
          <w:lang w:eastAsia="ko-KR"/>
        </w:rPr>
        <w:t>kontynuację</w:t>
      </w:r>
      <w:r w:rsidRPr="00011AAA">
        <w:rPr>
          <w:rFonts w:ascii="Verdana" w:hAnsi="Verdana" w:cs="Verdana"/>
          <w:sz w:val="16"/>
          <w:szCs w:val="16"/>
          <w:lang w:eastAsia="ko-KR"/>
        </w:rPr>
        <w:t xml:space="preserve"> projektów infrastrukturalnych, takich jak rozbudowa II linii metra, przy wzrastającym znaczeniu społecznych programów rozwojowych związanych zarówno z inwestycjami, jak też </w:t>
      </w:r>
      <w:r w:rsidRPr="00011AAA">
        <w:rPr>
          <w:rFonts w:ascii="Verdana" w:hAnsi="Verdana" w:cs="Verdana"/>
          <w:sz w:val="16"/>
          <w:szCs w:val="16"/>
          <w:lang w:eastAsia="ko-KR"/>
        </w:rPr>
        <w:br/>
        <w:t>z projektami tzw. „miękkimi”.</w:t>
      </w:r>
    </w:p>
    <w:p w:rsidR="00CA374E" w:rsidRPr="00011AAA" w:rsidRDefault="00CA374E" w:rsidP="00CA374E">
      <w:pPr>
        <w:spacing w:before="60" w:after="60"/>
        <w:jc w:val="both"/>
        <w:rPr>
          <w:rFonts w:ascii="Verdana" w:hAnsi="Verdana" w:cs="Verdana"/>
          <w:sz w:val="16"/>
          <w:szCs w:val="16"/>
          <w:lang w:eastAsia="ko-KR"/>
        </w:rPr>
      </w:pPr>
      <w:r w:rsidRPr="00011AAA">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sidRPr="00011AAA">
        <w:rPr>
          <w:rFonts w:ascii="Verdana" w:hAnsi="Verdana" w:cs="Verdana"/>
          <w:sz w:val="16"/>
          <w:szCs w:val="16"/>
          <w:lang w:eastAsia="ko-KR"/>
        </w:rPr>
        <w:br/>
        <w:t>w związku z realizacją zadań Miasta jako gminy i powiatu, w tym zadań powierzonych do realizacji dzielnicom.</w:t>
      </w:r>
    </w:p>
    <w:p w:rsidR="00CA374E" w:rsidRPr="00C855F4" w:rsidRDefault="00CA374E" w:rsidP="00CA374E">
      <w:pPr>
        <w:spacing w:before="60" w:after="60"/>
        <w:jc w:val="both"/>
        <w:rPr>
          <w:rFonts w:ascii="Verdana" w:hAnsi="Verdana" w:cs="Verdana"/>
          <w:sz w:val="16"/>
          <w:szCs w:val="16"/>
          <w:lang w:eastAsia="ko-KR"/>
        </w:rPr>
      </w:pPr>
      <w:r w:rsidRPr="00011AAA">
        <w:rPr>
          <w:rFonts w:ascii="Verdana" w:hAnsi="Verdana"/>
          <w:color w:val="000000"/>
          <w:sz w:val="16"/>
          <w:szCs w:val="16"/>
        </w:rPr>
        <w:t xml:space="preserve">Ponadto koniecznym jest zabezpieczenie środków na wydatki stanowiące przedsięwzięcia wieloletnie, które zostały uwzględnione w Wieloletniej Prognozie Finansowej m.st. </w:t>
      </w:r>
      <w:r w:rsidRPr="00011AAA">
        <w:rPr>
          <w:rFonts w:ascii="Verdana" w:hAnsi="Verdana"/>
          <w:iCs/>
          <w:sz w:val="16"/>
          <w:szCs w:val="16"/>
        </w:rPr>
        <w:t>Warszawy</w:t>
      </w:r>
      <w:r>
        <w:rPr>
          <w:rFonts w:ascii="Verdana" w:hAnsi="Verdana"/>
          <w:color w:val="000000"/>
          <w:sz w:val="16"/>
          <w:szCs w:val="16"/>
        </w:rPr>
        <w:t xml:space="preserve"> na lata </w:t>
      </w:r>
      <w:r w:rsidRPr="008F3935">
        <w:rPr>
          <w:rFonts w:ascii="Verdana" w:eastAsiaTheme="minorEastAsia" w:hAnsi="Verdana" w:cs="Verdana"/>
          <w:color w:val="000000"/>
          <w:sz w:val="16"/>
          <w:szCs w:val="16"/>
        </w:rPr>
        <w:t>2023</w:t>
      </w:r>
      <w:r>
        <w:rPr>
          <w:rFonts w:ascii="Verdana" w:hAnsi="Verdana"/>
          <w:color w:val="000000"/>
          <w:sz w:val="16"/>
          <w:szCs w:val="16"/>
        </w:rPr>
        <w:t xml:space="preserve">-2050 w części dotyczącej </w:t>
      </w:r>
      <w:r w:rsidRPr="008F3935">
        <w:rPr>
          <w:rFonts w:ascii="Verdana" w:eastAsiaTheme="minorEastAsia" w:hAnsi="Verdana" w:cs="Verdana"/>
          <w:color w:val="000000"/>
          <w:sz w:val="16"/>
          <w:szCs w:val="16"/>
        </w:rPr>
        <w:t>2024</w:t>
      </w:r>
      <w:r w:rsidRPr="00011AAA">
        <w:rPr>
          <w:rFonts w:ascii="Verdana" w:hAnsi="Verdana"/>
          <w:color w:val="000000"/>
          <w:sz w:val="16"/>
          <w:szCs w:val="16"/>
        </w:rPr>
        <w:t xml:space="preserve"> r. oraz na wydatki </w:t>
      </w:r>
      <w:r>
        <w:rPr>
          <w:rFonts w:ascii="Verdana" w:hAnsi="Verdana"/>
          <w:color w:val="000000"/>
          <w:sz w:val="16"/>
          <w:szCs w:val="16"/>
        </w:rPr>
        <w:t xml:space="preserve">związane z przekazywanymi w </w:t>
      </w:r>
      <w:r w:rsidRPr="008F3935">
        <w:rPr>
          <w:rFonts w:ascii="Verdana" w:eastAsiaTheme="minorEastAsia" w:hAnsi="Verdana" w:cs="Verdana"/>
          <w:color w:val="000000"/>
          <w:sz w:val="16"/>
          <w:szCs w:val="16"/>
        </w:rPr>
        <w:t>2023</w:t>
      </w:r>
      <w:r w:rsidRPr="00011AAA">
        <w:rPr>
          <w:rFonts w:ascii="Verdana" w:hAnsi="Verdana"/>
          <w:color w:val="000000"/>
          <w:sz w:val="16"/>
          <w:szCs w:val="16"/>
        </w:rPr>
        <w:t xml:space="preserve"> r. i planowanymi do prze</w:t>
      </w:r>
      <w:r>
        <w:rPr>
          <w:rFonts w:ascii="Verdana" w:hAnsi="Verdana"/>
          <w:color w:val="000000"/>
          <w:sz w:val="16"/>
          <w:szCs w:val="16"/>
        </w:rPr>
        <w:t xml:space="preserve">kazania w </w:t>
      </w:r>
      <w:r w:rsidRPr="008F3935">
        <w:rPr>
          <w:rFonts w:ascii="Verdana" w:eastAsiaTheme="minorEastAsia" w:hAnsi="Verdana" w:cs="Verdana"/>
          <w:color w:val="000000"/>
          <w:sz w:val="16"/>
          <w:szCs w:val="16"/>
        </w:rPr>
        <w:t>2024</w:t>
      </w:r>
      <w:r w:rsidRPr="00011AAA">
        <w:rPr>
          <w:rFonts w:ascii="Verdana" w:hAnsi="Verdana"/>
          <w:color w:val="000000"/>
          <w:sz w:val="16"/>
          <w:szCs w:val="16"/>
        </w:rPr>
        <w:t xml:space="preserve"> r. do użytkowania i do bieżącego utrzymania inwestycjami, w tym w szczególności w zakresie </w:t>
      </w:r>
      <w:r w:rsidRPr="00C855F4">
        <w:rPr>
          <w:rFonts w:ascii="Verdana" w:hAnsi="Verdana" w:cs="Verdana"/>
          <w:sz w:val="16"/>
          <w:szCs w:val="16"/>
          <w:lang w:eastAsia="ko-KR"/>
        </w:rPr>
        <w:t>infrastruktury transportowej oraz w obszarze oświaty i kultury.</w:t>
      </w:r>
    </w:p>
    <w:p w:rsidR="00CA374E" w:rsidRDefault="00CA374E" w:rsidP="00CA374E">
      <w:pPr>
        <w:spacing w:before="60" w:after="60"/>
        <w:jc w:val="both"/>
        <w:rPr>
          <w:rFonts w:ascii="Verdana" w:hAnsi="Verdana" w:cs="Verdana"/>
          <w:sz w:val="16"/>
          <w:szCs w:val="16"/>
          <w:lang w:eastAsia="ko-KR"/>
        </w:rPr>
      </w:pPr>
      <w:r w:rsidRPr="00C855F4">
        <w:rPr>
          <w:rFonts w:ascii="Verdana" w:hAnsi="Verdana" w:cs="Verdana"/>
          <w:sz w:val="16"/>
          <w:szCs w:val="16"/>
          <w:lang w:eastAsia="ko-KR"/>
        </w:rPr>
        <w:t>W zakresie wydatków inwestycyjnych ustalono parametry budżetowe zapewniające kontynuację finansowania zadań wcześniej rozpoczętych wraz z dostosowaniem realizacji nowych projektów inwestycyjnych do możliwości finansowych Miasta</w:t>
      </w:r>
      <w:r>
        <w:rPr>
          <w:rFonts w:ascii="Verdana" w:hAnsi="Verdana" w:cs="Verdana"/>
          <w:sz w:val="16"/>
          <w:szCs w:val="16"/>
          <w:lang w:eastAsia="ko-KR"/>
        </w:rPr>
        <w:t>, co było możliwe dzięki utrzymaniu ogólnej wartości programu inwestycyjnego przy dostosowaniu limitów w poszczególnych latach do zmienionych harmonogramów realizacji poszczególnych inwestycji</w:t>
      </w:r>
      <w:r w:rsidRPr="00C855F4">
        <w:rPr>
          <w:rFonts w:ascii="Verdana" w:hAnsi="Verdana" w:cs="Verdana"/>
          <w:sz w:val="16"/>
          <w:szCs w:val="16"/>
          <w:lang w:eastAsia="ko-KR"/>
        </w:rPr>
        <w:t xml:space="preserve">. Jednocześnie w </w:t>
      </w:r>
      <w:r>
        <w:rPr>
          <w:rFonts w:ascii="Verdana" w:hAnsi="Verdana" w:cs="Verdana"/>
          <w:sz w:val="16"/>
          <w:szCs w:val="16"/>
          <w:lang w:eastAsia="ko-KR"/>
        </w:rPr>
        <w:t xml:space="preserve">WPF </w:t>
      </w:r>
      <w:r w:rsidRPr="008F3935">
        <w:rPr>
          <w:rFonts w:ascii="Verdana" w:eastAsiaTheme="minorEastAsia" w:hAnsi="Verdana" w:cs="Verdana"/>
          <w:color w:val="000000"/>
          <w:sz w:val="16"/>
          <w:szCs w:val="16"/>
        </w:rPr>
        <w:t>2024</w:t>
      </w:r>
      <w:r>
        <w:rPr>
          <w:rFonts w:ascii="Verdana" w:hAnsi="Verdana" w:cs="Verdana"/>
          <w:sz w:val="16"/>
          <w:szCs w:val="16"/>
          <w:lang w:eastAsia="ko-KR"/>
        </w:rPr>
        <w:t>-2050</w:t>
      </w:r>
      <w:r w:rsidRPr="00C855F4">
        <w:rPr>
          <w:rFonts w:ascii="Verdana" w:hAnsi="Verdana" w:cs="Verdana"/>
          <w:sz w:val="16"/>
          <w:szCs w:val="16"/>
          <w:lang w:eastAsia="ko-KR"/>
        </w:rPr>
        <w:t xml:space="preserve"> ujęte są programy strategiczne obejmujące realizację innych zadań na terenie poszczególnych dzielnic. Środki finansowe zaplanowane w ramach powyższych programów będą sukcesywnie – wraz z kolejnymi etapami ich wdrażania – rozdysponowywane pomiędzy dysponentów na konkretne przedsięwzięcia inwestycyjne.</w:t>
      </w:r>
    </w:p>
    <w:p w:rsidR="00CA374E" w:rsidRPr="000A6485" w:rsidRDefault="00CA374E" w:rsidP="00CA374E">
      <w:pPr>
        <w:spacing w:before="160" w:after="160" w:line="240" w:lineRule="auto"/>
        <w:ind w:left="426" w:hanging="426"/>
        <w:rPr>
          <w:rFonts w:ascii="Verdana" w:hAnsi="Verdana"/>
          <w:b/>
          <w:bCs/>
          <w:sz w:val="20"/>
          <w:szCs w:val="20"/>
        </w:rPr>
      </w:pPr>
      <w:r w:rsidRPr="000A6485">
        <w:rPr>
          <w:rFonts w:ascii="Verdana" w:hAnsi="Verdana"/>
          <w:b/>
          <w:bCs/>
          <w:sz w:val="20"/>
          <w:szCs w:val="20"/>
        </w:rPr>
        <w:t xml:space="preserve">5.1 </w:t>
      </w:r>
      <w:r w:rsidRPr="0031630F">
        <w:rPr>
          <w:rFonts w:ascii="Verdana" w:hAnsi="Verdana"/>
          <w:b/>
          <w:bCs/>
          <w:sz w:val="20"/>
          <w:szCs w:val="20"/>
        </w:rPr>
        <w:t xml:space="preserve">Dostosowanie założeń budżetowych do utraty dochodów w zakresie podatku dochodowego od osób fizycznych PIT oraz utraty dochodów związanych </w:t>
      </w:r>
      <w:r>
        <w:rPr>
          <w:rFonts w:ascii="Verdana" w:hAnsi="Verdana"/>
          <w:b/>
          <w:bCs/>
          <w:sz w:val="20"/>
          <w:szCs w:val="20"/>
        </w:rPr>
        <w:br/>
      </w:r>
      <w:r w:rsidRPr="0031630F">
        <w:rPr>
          <w:rFonts w:ascii="Verdana" w:hAnsi="Verdana"/>
          <w:b/>
          <w:bCs/>
          <w:sz w:val="20"/>
          <w:szCs w:val="20"/>
        </w:rPr>
        <w:t>z użytkowaniem wieczystym nieruchomości</w:t>
      </w:r>
    </w:p>
    <w:p w:rsidR="00CA374E" w:rsidRPr="000A6485" w:rsidRDefault="00CA374E" w:rsidP="00CA374E">
      <w:pPr>
        <w:spacing w:before="240" w:after="240" w:line="240" w:lineRule="auto"/>
        <w:ind w:left="567" w:hanging="567"/>
        <w:rPr>
          <w:rFonts w:ascii="Verdana" w:hAnsi="Verdana"/>
          <w:b/>
          <w:bCs/>
          <w:sz w:val="20"/>
          <w:szCs w:val="20"/>
        </w:rPr>
      </w:pPr>
      <w:r>
        <w:rPr>
          <w:rFonts w:ascii="Verdana" w:hAnsi="Verdana"/>
          <w:b/>
          <w:bCs/>
          <w:sz w:val="20"/>
          <w:szCs w:val="20"/>
        </w:rPr>
        <w:t>5.1.1</w:t>
      </w:r>
      <w:r w:rsidRPr="000A6485">
        <w:rPr>
          <w:rFonts w:ascii="Verdana" w:hAnsi="Verdana"/>
          <w:b/>
          <w:bCs/>
          <w:sz w:val="20"/>
          <w:szCs w:val="20"/>
        </w:rPr>
        <w:t xml:space="preserve"> Dostosowanie założeń budżetowych do utraty dochodów w konsekwencji  </w:t>
      </w:r>
      <w:r w:rsidRPr="000A6485">
        <w:rPr>
          <w:rFonts w:ascii="Verdana" w:hAnsi="Verdana"/>
          <w:b/>
          <w:bCs/>
          <w:sz w:val="20"/>
          <w:szCs w:val="20"/>
        </w:rPr>
        <w:br/>
        <w:t xml:space="preserve"> wprowadzenia regulacji ustawowych dotyczących przekształcania prawa </w:t>
      </w:r>
      <w:r w:rsidRPr="000A6485">
        <w:rPr>
          <w:rFonts w:ascii="Verdana" w:hAnsi="Verdana"/>
          <w:b/>
          <w:bCs/>
          <w:sz w:val="20"/>
          <w:szCs w:val="20"/>
        </w:rPr>
        <w:br/>
        <w:t xml:space="preserve"> użytkowania wieczystego gruntów zabudowanych na cele mieszkaniowe </w:t>
      </w:r>
      <w:r w:rsidRPr="000A6485">
        <w:rPr>
          <w:rFonts w:ascii="Verdana" w:hAnsi="Verdana"/>
          <w:b/>
          <w:bCs/>
          <w:sz w:val="20"/>
          <w:szCs w:val="20"/>
        </w:rPr>
        <w:br/>
        <w:t xml:space="preserve"> w prawo własności tych gruntów </w:t>
      </w:r>
      <w:r w:rsidRPr="00DA39DC">
        <w:rPr>
          <w:rFonts w:ascii="Verdana" w:hAnsi="Verdana"/>
          <w:bCs/>
          <w:sz w:val="20"/>
          <w:szCs w:val="20"/>
        </w:rPr>
        <w:t>– prowadzone od WPF</w:t>
      </w:r>
      <w:r>
        <w:rPr>
          <w:rFonts w:ascii="Verdana" w:hAnsi="Verdana"/>
          <w:bCs/>
          <w:sz w:val="20"/>
          <w:szCs w:val="20"/>
        </w:rPr>
        <w:t xml:space="preserve"> </w:t>
      </w:r>
      <w:r w:rsidRPr="00DA39DC">
        <w:rPr>
          <w:rFonts w:ascii="Verdana" w:hAnsi="Verdana"/>
          <w:bCs/>
          <w:sz w:val="20"/>
          <w:szCs w:val="20"/>
        </w:rPr>
        <w:t xml:space="preserve">edycji </w:t>
      </w:r>
      <w:r>
        <w:rPr>
          <w:rFonts w:ascii="Verdana" w:hAnsi="Verdana"/>
          <w:bCs/>
          <w:sz w:val="20"/>
          <w:szCs w:val="20"/>
        </w:rPr>
        <w:t>2019</w:t>
      </w:r>
      <w:r w:rsidRPr="00DA39DC">
        <w:rPr>
          <w:rFonts w:ascii="Verdana" w:hAnsi="Verdana"/>
          <w:bCs/>
          <w:sz w:val="20"/>
          <w:szCs w:val="20"/>
        </w:rPr>
        <w:t>-2050</w:t>
      </w:r>
    </w:p>
    <w:p w:rsidR="00CA374E" w:rsidRPr="000A6485" w:rsidRDefault="00CA374E" w:rsidP="00CA374E">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5 października 2018 r. weszła w życie ustawa z dnia 20 lipca 2018 r. </w:t>
      </w:r>
      <w:r w:rsidRPr="00AF68CB">
        <w:rPr>
          <w:rFonts w:ascii="Verdana" w:hAnsi="Verdana" w:cs="Verdana"/>
          <w:i/>
          <w:sz w:val="16"/>
          <w:szCs w:val="16"/>
          <w:lang w:eastAsia="ko-KR"/>
        </w:rPr>
        <w:t>o przekształceniu prawa użytkowania wieczystego gruntów zabudowanych na cele mieszkaniowe w prawo własności tych gruntów</w:t>
      </w:r>
      <w:r w:rsidRPr="000A6485">
        <w:rPr>
          <w:rFonts w:ascii="Verdana" w:hAnsi="Verdana" w:cs="Verdana"/>
          <w:sz w:val="16"/>
          <w:szCs w:val="16"/>
          <w:lang w:eastAsia="ko-KR"/>
        </w:rPr>
        <w:t xml:space="preserve"> </w:t>
      </w:r>
      <w:r w:rsidRPr="000A6485">
        <w:rPr>
          <w:rFonts w:ascii="Verdana" w:hAnsi="Verdana" w:cs="Verdana"/>
          <w:sz w:val="16"/>
          <w:szCs w:val="16"/>
          <w:lang w:eastAsia="ko-KR"/>
        </w:rPr>
        <w:br/>
        <w:t>(</w:t>
      </w:r>
      <w:r>
        <w:rPr>
          <w:rFonts w:ascii="Verdana" w:hAnsi="Verdana"/>
          <w:sz w:val="16"/>
          <w:szCs w:val="16"/>
        </w:rPr>
        <w:t>Dz. U. z 2020</w:t>
      </w:r>
      <w:r w:rsidRPr="000A6485">
        <w:rPr>
          <w:rFonts w:ascii="Verdana" w:hAnsi="Verdana"/>
          <w:sz w:val="16"/>
          <w:szCs w:val="16"/>
        </w:rPr>
        <w:t xml:space="preserve"> r. poz. </w:t>
      </w:r>
      <w:r>
        <w:rPr>
          <w:rFonts w:ascii="Verdana" w:hAnsi="Verdana"/>
          <w:sz w:val="16"/>
          <w:szCs w:val="16"/>
        </w:rPr>
        <w:t>2040</w:t>
      </w:r>
      <w:r w:rsidRPr="000A6485">
        <w:rPr>
          <w:rFonts w:ascii="Verdana" w:hAnsi="Verdana" w:cs="Verdana"/>
          <w:sz w:val="16"/>
          <w:szCs w:val="16"/>
          <w:lang w:eastAsia="ko-KR"/>
        </w:rPr>
        <w:t>).</w:t>
      </w:r>
    </w:p>
    <w:p w:rsidR="00CA374E" w:rsidRPr="000A6485" w:rsidRDefault="00CA374E" w:rsidP="00CA374E">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Przedmiotowa ustawa m</w:t>
      </w:r>
      <w:r>
        <w:rPr>
          <w:rFonts w:ascii="Verdana" w:hAnsi="Verdana" w:cs="Verdana"/>
          <w:sz w:val="16"/>
          <w:szCs w:val="16"/>
          <w:lang w:eastAsia="ko-KR"/>
        </w:rPr>
        <w:t>iała</w:t>
      </w:r>
      <w:r w:rsidRPr="000A6485">
        <w:rPr>
          <w:rFonts w:ascii="Verdana" w:hAnsi="Verdana" w:cs="Verdana"/>
          <w:sz w:val="16"/>
          <w:szCs w:val="16"/>
          <w:lang w:eastAsia="ko-KR"/>
        </w:rPr>
        <w:t xml:space="preserve"> na celu przekształcenie prawa użytkowania wieczystego nieruchomości zabudowanymi budynkami: </w:t>
      </w:r>
    </w:p>
    <w:p w:rsidR="00CA374E" w:rsidRPr="000A6485" w:rsidRDefault="00CA374E" w:rsidP="00CA374E">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jednorodzinnymi,</w:t>
      </w:r>
    </w:p>
    <w:p w:rsidR="00CA374E" w:rsidRPr="000A6485" w:rsidRDefault="00CA374E" w:rsidP="00CA374E">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mieszkalnymi wielorodzinnymi, w których co najmniej połowę liczby lokali stanowią lokale mieszkalne,</w:t>
      </w:r>
    </w:p>
    <w:p w:rsidR="00CA374E" w:rsidRPr="000A6485" w:rsidRDefault="00CA374E" w:rsidP="00CA374E">
      <w:pPr>
        <w:numPr>
          <w:ilvl w:val="0"/>
          <w:numId w:val="28"/>
        </w:numPr>
        <w:autoSpaceDE w:val="0"/>
        <w:autoSpaceDN w:val="0"/>
        <w:spacing w:before="20" w:after="20"/>
        <w:ind w:left="714" w:hanging="357"/>
        <w:jc w:val="both"/>
        <w:rPr>
          <w:rFonts w:ascii="Verdana" w:hAnsi="Verdana" w:cs="Verdana"/>
          <w:sz w:val="16"/>
          <w:szCs w:val="16"/>
          <w:lang w:eastAsia="ko-KR"/>
        </w:rPr>
      </w:pPr>
      <w:r w:rsidRPr="000A6485">
        <w:rPr>
          <w:rFonts w:ascii="Verdana" w:hAnsi="Verdana" w:cs="Verdana"/>
          <w:sz w:val="16"/>
          <w:szCs w:val="16"/>
          <w:lang w:eastAsia="ko-KR"/>
        </w:rPr>
        <w:t>powyższymi budynkami wraz z garażami, budynkami gospodarczymi i innymi budynkami umożliwiającymi korzystanie z budynków mieszkalnych.</w:t>
      </w:r>
    </w:p>
    <w:p w:rsidR="00CA374E" w:rsidRPr="000A6485" w:rsidRDefault="00CA374E" w:rsidP="00CA374E">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lastRenderedPageBreak/>
        <w:t xml:space="preserve">Dla przekształconych nieruchomości została wprowadzona roczna opłata przekształceniowa, wnoszona przez okres 20 lat, czyli w latach 2019-2038. Wysokość tej opłaty odpowiada wysokości opłaty rocznej za użytkowanie wieczyste. </w:t>
      </w:r>
    </w:p>
    <w:p w:rsidR="00CA374E" w:rsidRPr="000A6485" w:rsidRDefault="00CA374E" w:rsidP="00CA374E">
      <w:pPr>
        <w:tabs>
          <w:tab w:val="left" w:pos="3052"/>
        </w:tabs>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Na mocy ww. ustawy istnieje także możliwość wniesienia przez dotychczasowych użytkowników wieczystych jednorazowej opłaty. Jednorazową opłatę można wnieść w 20-letnim okresie wnoszenia opłaty przekształceniowej. Wysokość opłaty odpowiada iloczynowi rocznej opłaty przekształceniowej oraz liczby pozostałych lat jej wnoszenia. </w:t>
      </w:r>
    </w:p>
    <w:p w:rsidR="00CA374E" w:rsidRPr="000A6485" w:rsidRDefault="00CA374E" w:rsidP="00CA374E">
      <w:pPr>
        <w:autoSpaceDE w:val="0"/>
        <w:autoSpaceDN w:val="0"/>
        <w:spacing w:before="20" w:after="20"/>
        <w:ind w:firstLine="709"/>
        <w:jc w:val="both"/>
        <w:rPr>
          <w:rFonts w:ascii="Verdana" w:hAnsi="Verdana" w:cs="Verdana"/>
          <w:sz w:val="16"/>
          <w:szCs w:val="16"/>
          <w:lang w:eastAsia="ko-KR"/>
        </w:rPr>
      </w:pPr>
      <w:r w:rsidRPr="000A6485">
        <w:rPr>
          <w:rFonts w:ascii="Verdana" w:hAnsi="Verdana" w:cs="Verdana"/>
          <w:sz w:val="16"/>
          <w:szCs w:val="16"/>
          <w:lang w:eastAsia="ko-KR"/>
        </w:rPr>
        <w:t xml:space="preserve">W dniu 18 października 2018 r. na mocy delegacji ustawowej została podjęta uchwała </w:t>
      </w:r>
      <w:r w:rsidRPr="000A6485">
        <w:rPr>
          <w:rFonts w:ascii="Verdana" w:hAnsi="Verdana" w:cs="Verdana"/>
          <w:sz w:val="16"/>
          <w:szCs w:val="16"/>
          <w:lang w:eastAsia="ko-KR"/>
        </w:rPr>
        <w:br/>
        <w:t xml:space="preserve">nr LXXV/2128/2018 Rady m.st. Warszawy </w:t>
      </w:r>
      <w:r w:rsidRPr="00AF68CB">
        <w:rPr>
          <w:rFonts w:ascii="Verdana" w:hAnsi="Verdana" w:cs="Verdana"/>
          <w:i/>
          <w:sz w:val="16"/>
          <w:szCs w:val="16"/>
          <w:lang w:eastAsia="ko-KR"/>
        </w:rPr>
        <w:t>w sprawie wyrażenia zgody na udzielenie bonifikaty osobom fizycznym będącym właścicielami budynków mieszkalnych jednorodzinnych lub lokali mieszkalnych lub spółdzielniom mieszkaniowym od jednorazowej opłaty za przekształcenie prawa użytkowania wieczystego w prawo własności nieruchomości</w:t>
      </w:r>
      <w:r w:rsidRPr="000A6485">
        <w:rPr>
          <w:rFonts w:ascii="Verdana" w:hAnsi="Verdana" w:cs="Verdana"/>
          <w:sz w:val="16"/>
          <w:szCs w:val="16"/>
          <w:lang w:eastAsia="ko-KR"/>
        </w:rPr>
        <w:t>.</w:t>
      </w:r>
    </w:p>
    <w:p w:rsidR="00CA374E" w:rsidRPr="000A6485" w:rsidRDefault="00CA374E" w:rsidP="00CA374E">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Na mocy tego dokumentu bonifikata może zostać udzielona osobom fizycznym posiadającym jednorodzinne budynki mieszkalne, osobom fizycznym posiadającym jednorodzinne budynki mieszkalne lub lokale mieszkalne oraz spółdzielniom mieszkaniowym.</w:t>
      </w:r>
    </w:p>
    <w:p w:rsidR="00CA374E" w:rsidRPr="000A6485" w:rsidRDefault="00CA374E" w:rsidP="00CA374E">
      <w:p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W uchwale zostały wyznaczone dwa poziomy bonifikaty – 98% i 99%:</w:t>
      </w:r>
    </w:p>
    <w:p w:rsidR="00CA374E" w:rsidRPr="000A6485" w:rsidRDefault="00CA374E" w:rsidP="00CA374E">
      <w:pPr>
        <w:numPr>
          <w:ilvl w:val="0"/>
          <w:numId w:val="29"/>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 xml:space="preserve">98% - dla osób fizycznych będących właścicielami budynków mieszkalnych, jednorodzinnych lub lokali mieszkalnych lub spółdzielni mieszkaniowych, </w:t>
      </w:r>
    </w:p>
    <w:p w:rsidR="00CA374E" w:rsidRPr="000A6485" w:rsidRDefault="00CA374E" w:rsidP="00CA374E">
      <w:pPr>
        <w:numPr>
          <w:ilvl w:val="0"/>
          <w:numId w:val="29"/>
        </w:numPr>
        <w:autoSpaceDE w:val="0"/>
        <w:autoSpaceDN w:val="0"/>
        <w:spacing w:before="20" w:after="20"/>
        <w:jc w:val="both"/>
        <w:rPr>
          <w:rFonts w:ascii="Verdana" w:hAnsi="Verdana" w:cs="Verdana"/>
          <w:sz w:val="16"/>
          <w:szCs w:val="16"/>
          <w:lang w:eastAsia="ko-KR"/>
        </w:rPr>
      </w:pPr>
      <w:r w:rsidRPr="000A6485">
        <w:rPr>
          <w:rFonts w:ascii="Verdana" w:hAnsi="Verdana" w:cs="Verdana"/>
          <w:sz w:val="16"/>
          <w:szCs w:val="16"/>
          <w:lang w:eastAsia="ko-KR"/>
        </w:rPr>
        <w:t>99% - dla osób fizycznych będących właścicielami budynków mieszkalnych, jednorodzinnych lub lokali mieszkalnych lub spółdzielni mieszkaniowych, które wniosły opłatę za co najmniej 50-letni okres użytkowania wieczystego.</w:t>
      </w:r>
    </w:p>
    <w:p w:rsidR="00CA374E" w:rsidRDefault="00CA374E" w:rsidP="00CA374E">
      <w:pPr>
        <w:autoSpaceDE w:val="0"/>
        <w:autoSpaceDN w:val="0"/>
        <w:adjustRightInd w:val="0"/>
        <w:spacing w:before="120" w:after="120"/>
        <w:ind w:firstLine="567"/>
        <w:jc w:val="both"/>
        <w:rPr>
          <w:rFonts w:ascii="Verdana" w:hAnsi="Verdana" w:cs="Verdana"/>
          <w:sz w:val="16"/>
          <w:szCs w:val="16"/>
        </w:rPr>
      </w:pPr>
      <w:r w:rsidRPr="000A6485">
        <w:rPr>
          <w:rFonts w:ascii="Verdana" w:hAnsi="Verdana" w:cs="Verdana"/>
          <w:sz w:val="16"/>
          <w:szCs w:val="16"/>
        </w:rPr>
        <w:t xml:space="preserve">Na skutek </w:t>
      </w:r>
      <w:r w:rsidRPr="000A6485">
        <w:rPr>
          <w:rFonts w:ascii="Verdana" w:hAnsi="Verdana" w:cs="Verdana"/>
          <w:b/>
          <w:sz w:val="16"/>
          <w:szCs w:val="16"/>
        </w:rPr>
        <w:t>przekształcania prawa użytkowania wieczystego w prawo własności</w:t>
      </w:r>
      <w:r w:rsidRPr="000A6485">
        <w:rPr>
          <w:rFonts w:ascii="Verdana" w:hAnsi="Verdana" w:cs="Verdana"/>
          <w:sz w:val="16"/>
          <w:szCs w:val="16"/>
        </w:rPr>
        <w:t>, przy bonifikatach sięgających 98</w:t>
      </w:r>
      <w:r>
        <w:rPr>
          <w:rFonts w:ascii="Verdana" w:hAnsi="Verdana" w:cs="Verdana"/>
          <w:sz w:val="16"/>
          <w:szCs w:val="16"/>
        </w:rPr>
        <w:t>%</w:t>
      </w:r>
      <w:r w:rsidRPr="000A6485">
        <w:rPr>
          <w:rFonts w:ascii="Verdana" w:hAnsi="Verdana" w:cs="Verdana"/>
          <w:sz w:val="16"/>
          <w:szCs w:val="16"/>
        </w:rPr>
        <w:t xml:space="preserve"> i 99% opłaty przekształceniowej,</w:t>
      </w:r>
      <w:r w:rsidRPr="000A6485">
        <w:rPr>
          <w:rFonts w:ascii="Verdana" w:hAnsi="Verdana" w:cs="Verdana"/>
          <w:b/>
          <w:sz w:val="16"/>
          <w:szCs w:val="16"/>
        </w:rPr>
        <w:t xml:space="preserve"> </w:t>
      </w:r>
      <w:r w:rsidRPr="000A6485">
        <w:rPr>
          <w:rFonts w:ascii="Verdana" w:hAnsi="Verdana" w:cs="Verdana"/>
          <w:sz w:val="16"/>
          <w:szCs w:val="16"/>
        </w:rPr>
        <w:t xml:space="preserve">ubytek dochodów z opłat za użytkowanie wieczyste gruntów przeznaczonych na cele mieszkaniowe </w:t>
      </w:r>
      <w:r>
        <w:rPr>
          <w:rFonts w:ascii="Verdana" w:hAnsi="Verdana" w:cs="Verdana"/>
          <w:sz w:val="16"/>
          <w:szCs w:val="16"/>
        </w:rPr>
        <w:t>sięga</w:t>
      </w:r>
      <w:r w:rsidRPr="000A6485">
        <w:rPr>
          <w:rFonts w:ascii="Verdana" w:hAnsi="Verdana" w:cs="Verdana"/>
          <w:sz w:val="16"/>
          <w:szCs w:val="16"/>
        </w:rPr>
        <w:t xml:space="preserve"> kwoty </w:t>
      </w:r>
      <w:r w:rsidRPr="000A6485">
        <w:rPr>
          <w:rFonts w:ascii="Verdana" w:hAnsi="Verdana" w:cs="Verdana"/>
          <w:b/>
          <w:sz w:val="16"/>
          <w:szCs w:val="16"/>
        </w:rPr>
        <w:t>330 mln zł</w:t>
      </w:r>
      <w:r w:rsidRPr="000A6485">
        <w:rPr>
          <w:rFonts w:ascii="Verdana" w:hAnsi="Verdana" w:cs="Verdana"/>
          <w:sz w:val="16"/>
          <w:szCs w:val="16"/>
        </w:rPr>
        <w:t xml:space="preserve"> corocznie w okresie objętym Wieloletnią Prognozą Finansową.</w:t>
      </w:r>
    </w:p>
    <w:p w:rsidR="00CA374E" w:rsidRPr="000A6485" w:rsidRDefault="00CA374E" w:rsidP="00CA374E">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.2</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w latach 2019-2020</w:t>
      </w:r>
      <w:r w:rsidRPr="000A6485">
        <w:rPr>
          <w:rFonts w:ascii="Verdana" w:hAnsi="Verdana"/>
          <w:b/>
          <w:bCs/>
          <w:sz w:val="20"/>
          <w:szCs w:val="20"/>
        </w:rPr>
        <w:t xml:space="preserve"> </w:t>
      </w:r>
      <w:r>
        <w:rPr>
          <w:rFonts w:ascii="Verdana" w:hAnsi="Verdana"/>
          <w:b/>
          <w:bCs/>
          <w:sz w:val="20"/>
          <w:szCs w:val="20"/>
        </w:rPr>
        <w:t xml:space="preserve">z pełnymi skutkami   </w:t>
      </w:r>
      <w:r>
        <w:rPr>
          <w:rFonts w:ascii="Verdana" w:hAnsi="Verdana"/>
          <w:b/>
          <w:bCs/>
          <w:sz w:val="20"/>
          <w:szCs w:val="20"/>
        </w:rPr>
        <w:br/>
        <w:t xml:space="preserve"> od 2021 r. </w:t>
      </w:r>
      <w:r w:rsidRPr="00DA39DC">
        <w:rPr>
          <w:rFonts w:ascii="Verdana" w:hAnsi="Verdana"/>
          <w:bCs/>
          <w:sz w:val="20"/>
          <w:szCs w:val="20"/>
        </w:rPr>
        <w:t>– prowadzone od WPF edycji 2020-2050</w:t>
      </w:r>
    </w:p>
    <w:p w:rsidR="00CA374E" w:rsidRDefault="00CA374E" w:rsidP="00CA374E">
      <w:pPr>
        <w:spacing w:before="60" w:after="60"/>
        <w:ind w:firstLine="567"/>
        <w:jc w:val="both"/>
        <w:rPr>
          <w:rFonts w:ascii="Verdana" w:hAnsi="Verdana" w:cs="Verdana"/>
          <w:b/>
          <w:sz w:val="16"/>
          <w:szCs w:val="16"/>
        </w:rPr>
      </w:pPr>
      <w:r>
        <w:rPr>
          <w:rFonts w:ascii="Verdana" w:hAnsi="Verdana" w:cs="Verdana"/>
          <w:sz w:val="16"/>
          <w:szCs w:val="16"/>
        </w:rPr>
        <w:t>C</w:t>
      </w:r>
      <w:r w:rsidRPr="000A6485">
        <w:rPr>
          <w:rFonts w:ascii="Verdana" w:hAnsi="Verdana" w:cs="Verdana"/>
          <w:sz w:val="16"/>
          <w:szCs w:val="16"/>
        </w:rPr>
        <w:t xml:space="preserve">zynnikiem mającym wpływ na możliwości </w:t>
      </w:r>
      <w:r>
        <w:rPr>
          <w:rFonts w:ascii="Verdana" w:hAnsi="Verdana" w:cs="Verdana"/>
          <w:sz w:val="16"/>
          <w:szCs w:val="16"/>
        </w:rPr>
        <w:t>budżetowe</w:t>
      </w:r>
      <w:r w:rsidRPr="000A6485">
        <w:rPr>
          <w:rFonts w:ascii="Verdana" w:hAnsi="Verdana" w:cs="Verdana"/>
          <w:sz w:val="16"/>
          <w:szCs w:val="16"/>
        </w:rPr>
        <w:t xml:space="preserve"> m.st. </w:t>
      </w:r>
      <w:r w:rsidRPr="000A6485">
        <w:rPr>
          <w:rFonts w:ascii="Verdana" w:hAnsi="Verdana"/>
          <w:iCs/>
          <w:sz w:val="16"/>
          <w:szCs w:val="16"/>
        </w:rPr>
        <w:t>Warszawy</w:t>
      </w:r>
      <w:r w:rsidRPr="000A6485">
        <w:rPr>
          <w:rFonts w:ascii="Verdana" w:hAnsi="Verdana" w:cs="Verdana"/>
          <w:sz w:val="16"/>
          <w:szCs w:val="16"/>
        </w:rPr>
        <w:t xml:space="preserve"> </w:t>
      </w:r>
      <w:r>
        <w:rPr>
          <w:rFonts w:ascii="Verdana" w:hAnsi="Verdana" w:cs="Verdana"/>
          <w:sz w:val="16"/>
          <w:szCs w:val="16"/>
        </w:rPr>
        <w:t>od edycji WPF 2020-2050</w:t>
      </w:r>
      <w:r w:rsidRPr="000A6485">
        <w:rPr>
          <w:rFonts w:ascii="Verdana" w:hAnsi="Verdana" w:cs="Verdana"/>
          <w:sz w:val="16"/>
          <w:szCs w:val="16"/>
        </w:rPr>
        <w:t xml:space="preserve">, są wprowadzone </w:t>
      </w:r>
      <w:r>
        <w:rPr>
          <w:rFonts w:ascii="Verdana" w:hAnsi="Verdana" w:cs="Verdana"/>
          <w:sz w:val="16"/>
          <w:szCs w:val="16"/>
        </w:rPr>
        <w:t xml:space="preserve">w 2019 r. </w:t>
      </w:r>
      <w:r w:rsidRPr="000A6485">
        <w:rPr>
          <w:rFonts w:ascii="Verdana" w:hAnsi="Verdana" w:cs="Verdana"/>
          <w:sz w:val="16"/>
          <w:szCs w:val="16"/>
        </w:rPr>
        <w:t xml:space="preserve">zmiany legislacyjne skutkujące istotnym </w:t>
      </w:r>
      <w:r w:rsidRPr="000A6485">
        <w:rPr>
          <w:rFonts w:ascii="Verdana" w:hAnsi="Verdana" w:cs="Verdana"/>
          <w:b/>
          <w:sz w:val="16"/>
          <w:szCs w:val="16"/>
        </w:rPr>
        <w:t xml:space="preserve">ograniczeniem dochodów </w:t>
      </w:r>
      <w:r>
        <w:rPr>
          <w:rFonts w:ascii="Verdana" w:hAnsi="Verdana" w:cs="Verdana"/>
          <w:b/>
          <w:sz w:val="16"/>
          <w:szCs w:val="16"/>
        </w:rPr>
        <w:br/>
      </w:r>
      <w:r w:rsidRPr="000A6485">
        <w:rPr>
          <w:rFonts w:ascii="Verdana" w:hAnsi="Verdana" w:cs="Verdana"/>
          <w:b/>
          <w:sz w:val="16"/>
          <w:szCs w:val="16"/>
        </w:rPr>
        <w:t xml:space="preserve">m.st. </w:t>
      </w:r>
      <w:r w:rsidRPr="000A6485">
        <w:rPr>
          <w:rFonts w:ascii="Verdana" w:hAnsi="Verdana"/>
          <w:b/>
          <w:iCs/>
          <w:sz w:val="16"/>
          <w:szCs w:val="16"/>
        </w:rPr>
        <w:t>Warszawy</w:t>
      </w:r>
      <w:r w:rsidRPr="000A6485">
        <w:rPr>
          <w:rFonts w:ascii="Verdana" w:hAnsi="Verdana" w:cs="Verdana"/>
          <w:sz w:val="16"/>
          <w:szCs w:val="16"/>
        </w:rPr>
        <w:t xml:space="preserve">, jak również całego podsektora samorządowego, </w:t>
      </w:r>
      <w:r w:rsidRPr="000A6485">
        <w:rPr>
          <w:rFonts w:ascii="Verdana" w:hAnsi="Verdana" w:cs="Verdana"/>
          <w:b/>
          <w:sz w:val="16"/>
          <w:szCs w:val="16"/>
        </w:rPr>
        <w:t>z tytułu udziału we wpływach z podatku dochodowego od osób fizycznych (PIT</w:t>
      </w:r>
      <w:r>
        <w:rPr>
          <w:rFonts w:ascii="Verdana" w:hAnsi="Verdana" w:cs="Verdana"/>
          <w:b/>
          <w:sz w:val="16"/>
          <w:szCs w:val="16"/>
        </w:rPr>
        <w:t>)</w:t>
      </w:r>
      <w:r w:rsidRPr="00B23D3B">
        <w:rPr>
          <w:rFonts w:ascii="Verdana" w:hAnsi="Verdana" w:cs="Verdana"/>
          <w:sz w:val="16"/>
          <w:szCs w:val="16"/>
        </w:rPr>
        <w:t>.</w:t>
      </w:r>
      <w:r>
        <w:rPr>
          <w:rFonts w:ascii="Verdana" w:hAnsi="Verdana" w:cs="Verdana"/>
          <w:b/>
          <w:sz w:val="16"/>
          <w:szCs w:val="16"/>
        </w:rPr>
        <w:t xml:space="preserve"> </w:t>
      </w:r>
    </w:p>
    <w:p w:rsidR="00CA374E" w:rsidRPr="00DA39DC" w:rsidRDefault="00CA374E" w:rsidP="00CA374E">
      <w:pPr>
        <w:spacing w:before="60" w:after="60"/>
        <w:jc w:val="both"/>
        <w:rPr>
          <w:rFonts w:ascii="Verdana" w:hAnsi="Verdana" w:cs="Verdana"/>
          <w:sz w:val="16"/>
          <w:szCs w:val="16"/>
        </w:rPr>
      </w:pPr>
      <w:r>
        <w:rPr>
          <w:rFonts w:ascii="Verdana" w:hAnsi="Verdana"/>
          <w:sz w:val="16"/>
          <w:szCs w:val="16"/>
        </w:rPr>
        <w:t>Wdrożone w 2019 r. zmiany w podatku dochodowym od osób fizycznych PIT, polegały na:</w:t>
      </w:r>
    </w:p>
    <w:p w:rsidR="00CA374E" w:rsidRPr="00285178" w:rsidRDefault="00CA374E" w:rsidP="00CA374E">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obniżeniu stawki podatku z 18% do 17%,</w:t>
      </w:r>
    </w:p>
    <w:p w:rsidR="00CA374E" w:rsidRDefault="00CA374E" w:rsidP="00CA374E">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podwyższeniu kosztów uzyskania przychodu,</w:t>
      </w:r>
    </w:p>
    <w:p w:rsidR="00CA374E" w:rsidRDefault="00CA374E" w:rsidP="00CA374E">
      <w:pPr>
        <w:pStyle w:val="Akapitzlist"/>
        <w:numPr>
          <w:ilvl w:val="0"/>
          <w:numId w:val="43"/>
        </w:numPr>
        <w:tabs>
          <w:tab w:val="left" w:pos="360"/>
        </w:tabs>
        <w:spacing w:before="60" w:after="60"/>
        <w:ind w:left="567" w:hanging="283"/>
        <w:contextualSpacing w:val="0"/>
        <w:jc w:val="both"/>
        <w:rPr>
          <w:rFonts w:ascii="Verdana" w:hAnsi="Verdana"/>
          <w:sz w:val="16"/>
          <w:szCs w:val="16"/>
        </w:rPr>
      </w:pPr>
      <w:r w:rsidRPr="00285178">
        <w:rPr>
          <w:rFonts w:ascii="Verdana" w:hAnsi="Verdana"/>
          <w:sz w:val="16"/>
          <w:szCs w:val="16"/>
        </w:rPr>
        <w:t>zwolnieniu z podatku osób w wieku poniżej 26 roku życia</w:t>
      </w:r>
      <w:r>
        <w:rPr>
          <w:rFonts w:ascii="Verdana" w:hAnsi="Verdana"/>
          <w:sz w:val="16"/>
          <w:szCs w:val="16"/>
        </w:rPr>
        <w:t>.</w:t>
      </w:r>
    </w:p>
    <w:p w:rsidR="00CA374E" w:rsidRDefault="00CA374E" w:rsidP="00CA374E">
      <w:pPr>
        <w:tabs>
          <w:tab w:val="left" w:pos="360"/>
        </w:tabs>
        <w:spacing w:before="60" w:after="60"/>
        <w:jc w:val="both"/>
        <w:rPr>
          <w:rFonts w:ascii="Verdana" w:hAnsi="Verdana"/>
          <w:sz w:val="16"/>
          <w:szCs w:val="16"/>
        </w:rPr>
      </w:pPr>
      <w:r>
        <w:rPr>
          <w:rFonts w:ascii="Verdana" w:hAnsi="Verdana" w:cs="Verdana"/>
          <w:sz w:val="16"/>
          <w:szCs w:val="16"/>
        </w:rPr>
        <w:t>Następnie na skutek decyzji podjętej w 2020 r. od 2021 r.</w:t>
      </w:r>
      <w:r w:rsidRPr="00243A9C">
        <w:rPr>
          <w:rFonts w:ascii="Verdana" w:hAnsi="Verdana" w:cs="Verdana"/>
          <w:sz w:val="16"/>
          <w:szCs w:val="16"/>
        </w:rPr>
        <w:t xml:space="preserve"> </w:t>
      </w:r>
      <w:r>
        <w:rPr>
          <w:rFonts w:ascii="Verdana" w:hAnsi="Verdana" w:cs="Verdana"/>
          <w:sz w:val="16"/>
          <w:szCs w:val="16"/>
        </w:rPr>
        <w:t xml:space="preserve">nastąpiło podwyższenie </w:t>
      </w:r>
      <w:r w:rsidRPr="00243A9C">
        <w:rPr>
          <w:rFonts w:ascii="Verdana" w:hAnsi="Verdana" w:cs="Verdana"/>
          <w:sz w:val="16"/>
          <w:szCs w:val="16"/>
        </w:rPr>
        <w:t>z 250 tys. euro do 2 mln euro limitu przychodu umożliwiającego podatnikom prowadzącym pozarolniczą działalność gospodarczą skorzystanie z uproszczonej zryc</w:t>
      </w:r>
      <w:r>
        <w:rPr>
          <w:rFonts w:ascii="Verdana" w:hAnsi="Verdana" w:cs="Verdana"/>
          <w:sz w:val="16"/>
          <w:szCs w:val="16"/>
        </w:rPr>
        <w:t>załtowanej formy opodatkowania, czego efektem było</w:t>
      </w:r>
      <w:r w:rsidRPr="00243A9C">
        <w:rPr>
          <w:rFonts w:ascii="Verdana" w:hAnsi="Verdana" w:cs="Verdana"/>
          <w:sz w:val="16"/>
          <w:szCs w:val="16"/>
        </w:rPr>
        <w:t xml:space="preserve"> przejście podatników podatku dochodowego od osób fizycznych prowadzących działalność gospodarczą z opodatkowania na zasadach ogólnych, które stanowi podstawę udziału jednostek samorządu terytorialnego we wpływach z podatku dochodowego na zryczałtowany podatek dochodowy, który nie podlega dystryb</w:t>
      </w:r>
      <w:r>
        <w:rPr>
          <w:rFonts w:ascii="Verdana" w:hAnsi="Verdana" w:cs="Verdana"/>
          <w:sz w:val="16"/>
          <w:szCs w:val="16"/>
        </w:rPr>
        <w:t>ucji do jednostek samorządowych</w:t>
      </w:r>
      <w:r>
        <w:rPr>
          <w:rFonts w:ascii="Verdana" w:hAnsi="Verdana"/>
          <w:iCs/>
          <w:sz w:val="16"/>
          <w:szCs w:val="16"/>
        </w:rPr>
        <w:t>.</w:t>
      </w:r>
    </w:p>
    <w:p w:rsidR="00CA374E" w:rsidRPr="000A6485" w:rsidRDefault="00CA374E" w:rsidP="00CA374E">
      <w:pPr>
        <w:tabs>
          <w:tab w:val="left" w:pos="0"/>
        </w:tabs>
        <w:spacing w:before="120" w:after="120"/>
        <w:jc w:val="both"/>
        <w:rPr>
          <w:rFonts w:ascii="Verdana" w:hAnsi="Verdana"/>
          <w:bCs/>
          <w:sz w:val="16"/>
          <w:szCs w:val="16"/>
        </w:rPr>
      </w:pPr>
      <w:r>
        <w:rPr>
          <w:rFonts w:ascii="Verdana" w:hAnsi="Verdana"/>
          <w:bCs/>
          <w:sz w:val="16"/>
          <w:szCs w:val="16"/>
        </w:rPr>
        <w:lastRenderedPageBreak/>
        <w:t>U</w:t>
      </w:r>
      <w:r w:rsidRPr="000A6485">
        <w:rPr>
          <w:rFonts w:ascii="Verdana" w:hAnsi="Verdana"/>
          <w:bCs/>
          <w:sz w:val="16"/>
          <w:szCs w:val="16"/>
        </w:rPr>
        <w:t xml:space="preserve">bytek dochodów m.st. </w:t>
      </w:r>
      <w:r w:rsidRPr="000A6485">
        <w:rPr>
          <w:rFonts w:ascii="Verdana" w:hAnsi="Verdana"/>
          <w:iCs/>
          <w:sz w:val="16"/>
          <w:szCs w:val="16"/>
        </w:rPr>
        <w:t>Warszawy</w:t>
      </w:r>
      <w:r w:rsidRPr="000A6485">
        <w:rPr>
          <w:rFonts w:ascii="Verdana" w:hAnsi="Verdana"/>
          <w:bCs/>
          <w:sz w:val="16"/>
          <w:szCs w:val="16"/>
        </w:rPr>
        <w:t xml:space="preserve"> związany ze zmianami w PIT </w:t>
      </w:r>
      <w:r>
        <w:rPr>
          <w:rFonts w:ascii="Verdana" w:hAnsi="Verdana"/>
          <w:bCs/>
          <w:sz w:val="16"/>
          <w:szCs w:val="16"/>
        </w:rPr>
        <w:t xml:space="preserve">wprowadzonymi w latach 2019-2020 </w:t>
      </w:r>
      <w:r w:rsidRPr="000A6485">
        <w:rPr>
          <w:rFonts w:ascii="Verdana" w:hAnsi="Verdana"/>
          <w:bCs/>
          <w:sz w:val="16"/>
          <w:szCs w:val="16"/>
        </w:rPr>
        <w:t xml:space="preserve">sięga </w:t>
      </w:r>
      <w:r>
        <w:rPr>
          <w:rFonts w:ascii="Verdana" w:hAnsi="Verdana"/>
          <w:bCs/>
          <w:sz w:val="16"/>
          <w:szCs w:val="16"/>
        </w:rPr>
        <w:t xml:space="preserve">corocznie kwoty </w:t>
      </w:r>
      <w:r>
        <w:rPr>
          <w:rFonts w:ascii="Verdana" w:hAnsi="Verdana"/>
          <w:b/>
          <w:bCs/>
          <w:sz w:val="16"/>
          <w:szCs w:val="16"/>
        </w:rPr>
        <w:t>875</w:t>
      </w:r>
      <w:r w:rsidRPr="000A6485">
        <w:rPr>
          <w:rFonts w:ascii="Verdana" w:hAnsi="Verdana"/>
          <w:b/>
          <w:bCs/>
          <w:sz w:val="16"/>
          <w:szCs w:val="16"/>
        </w:rPr>
        <w:t xml:space="preserve"> mln zł</w:t>
      </w:r>
      <w:r w:rsidRPr="000A6485">
        <w:rPr>
          <w:rFonts w:ascii="Verdana" w:hAnsi="Verdana"/>
          <w:bCs/>
          <w:sz w:val="16"/>
          <w:szCs w:val="16"/>
        </w:rPr>
        <w:t xml:space="preserve"> (tj. szacunkowe dochody z </w:t>
      </w:r>
      <w:r>
        <w:rPr>
          <w:rFonts w:ascii="Verdana" w:hAnsi="Verdana"/>
          <w:bCs/>
          <w:sz w:val="16"/>
          <w:szCs w:val="16"/>
        </w:rPr>
        <w:t xml:space="preserve">udziału </w:t>
      </w:r>
      <w:r w:rsidRPr="000A6485">
        <w:rPr>
          <w:rFonts w:ascii="Verdana" w:hAnsi="Verdana"/>
          <w:bCs/>
          <w:sz w:val="16"/>
          <w:szCs w:val="16"/>
        </w:rPr>
        <w:t xml:space="preserve">PIT </w:t>
      </w:r>
      <w:r>
        <w:rPr>
          <w:rFonts w:ascii="Verdana" w:hAnsi="Verdana"/>
          <w:bCs/>
          <w:sz w:val="16"/>
          <w:szCs w:val="16"/>
        </w:rPr>
        <w:t xml:space="preserve">w danym roku byłyby wyższe o kwotę </w:t>
      </w:r>
      <w:r>
        <w:rPr>
          <w:rFonts w:ascii="Verdana" w:hAnsi="Verdana"/>
          <w:bCs/>
          <w:sz w:val="16"/>
          <w:szCs w:val="16"/>
        </w:rPr>
        <w:br/>
        <w:t>875</w:t>
      </w:r>
      <w:r w:rsidRPr="000A6485">
        <w:rPr>
          <w:rFonts w:ascii="Verdana" w:hAnsi="Verdana"/>
          <w:bCs/>
          <w:sz w:val="16"/>
          <w:szCs w:val="16"/>
        </w:rPr>
        <w:t xml:space="preserve"> mln zł jeżeli nie byłyby dokonane zmiany w przepisach dotyczących PIT). </w:t>
      </w:r>
    </w:p>
    <w:p w:rsidR="00CA374E" w:rsidRPr="000A6485" w:rsidRDefault="00CA374E" w:rsidP="00CA374E">
      <w:pPr>
        <w:spacing w:before="240" w:after="240" w:line="240" w:lineRule="auto"/>
        <w:ind w:left="567" w:hanging="567"/>
        <w:rPr>
          <w:rFonts w:ascii="Verdana" w:hAnsi="Verdana"/>
          <w:b/>
          <w:bCs/>
          <w:sz w:val="20"/>
          <w:szCs w:val="20"/>
        </w:rPr>
      </w:pPr>
      <w:r w:rsidRPr="000A6485">
        <w:rPr>
          <w:rFonts w:ascii="Verdana" w:hAnsi="Verdana"/>
          <w:b/>
          <w:bCs/>
          <w:sz w:val="20"/>
          <w:szCs w:val="20"/>
        </w:rPr>
        <w:t>5.1</w:t>
      </w:r>
      <w:r>
        <w:rPr>
          <w:rFonts w:ascii="Verdana" w:hAnsi="Verdana"/>
          <w:b/>
          <w:bCs/>
          <w:sz w:val="20"/>
          <w:szCs w:val="20"/>
        </w:rPr>
        <w:t>.3</w:t>
      </w:r>
      <w:r w:rsidRPr="000A6485">
        <w:rPr>
          <w:rFonts w:ascii="Verdana" w:hAnsi="Verdana"/>
          <w:b/>
          <w:bCs/>
          <w:sz w:val="20"/>
          <w:szCs w:val="20"/>
        </w:rPr>
        <w:t xml:space="preserve"> Dostosowanie założeń budżetowych do utraty dochodów w związku </w:t>
      </w:r>
      <w:r>
        <w:rPr>
          <w:rFonts w:ascii="Verdana" w:hAnsi="Verdana"/>
          <w:b/>
          <w:bCs/>
          <w:sz w:val="20"/>
          <w:szCs w:val="20"/>
        </w:rPr>
        <w:br/>
        <w:t xml:space="preserve"> </w:t>
      </w:r>
      <w:r w:rsidRPr="000A6485">
        <w:rPr>
          <w:rFonts w:ascii="Verdana" w:hAnsi="Verdana"/>
          <w:b/>
          <w:bCs/>
          <w:sz w:val="20"/>
          <w:szCs w:val="20"/>
        </w:rPr>
        <w:t xml:space="preserve">ze zmianami legislacyjnymi w podatku dochodowym od osób </w:t>
      </w:r>
      <w:r>
        <w:rPr>
          <w:rFonts w:ascii="Verdana" w:hAnsi="Verdana"/>
          <w:b/>
          <w:bCs/>
          <w:sz w:val="20"/>
          <w:szCs w:val="20"/>
        </w:rPr>
        <w:t xml:space="preserve"> </w:t>
      </w:r>
      <w:r>
        <w:rPr>
          <w:rFonts w:ascii="Verdana" w:hAnsi="Verdana"/>
          <w:b/>
          <w:bCs/>
          <w:sz w:val="20"/>
          <w:szCs w:val="20"/>
        </w:rPr>
        <w:br/>
        <w:t xml:space="preserve"> </w:t>
      </w:r>
      <w:r w:rsidRPr="000A6485">
        <w:rPr>
          <w:rFonts w:ascii="Verdana" w:hAnsi="Verdana"/>
          <w:b/>
          <w:bCs/>
          <w:sz w:val="20"/>
          <w:szCs w:val="20"/>
        </w:rPr>
        <w:t>fizycznych PIT</w:t>
      </w:r>
      <w:r>
        <w:rPr>
          <w:rFonts w:ascii="Verdana" w:hAnsi="Verdana"/>
          <w:b/>
          <w:bCs/>
          <w:sz w:val="20"/>
          <w:szCs w:val="20"/>
        </w:rPr>
        <w:t xml:space="preserve"> wprowadzonymi przepisami rządowego Programu Polski  </w:t>
      </w:r>
      <w:r>
        <w:rPr>
          <w:rFonts w:ascii="Verdana" w:hAnsi="Verdana"/>
          <w:b/>
          <w:bCs/>
          <w:sz w:val="20"/>
          <w:szCs w:val="20"/>
        </w:rPr>
        <w:br/>
        <w:t xml:space="preserve"> Ład w 2021 r.</w:t>
      </w:r>
      <w:r w:rsidRPr="000A6485">
        <w:rPr>
          <w:rFonts w:ascii="Verdana" w:hAnsi="Verdana"/>
          <w:b/>
          <w:bCs/>
          <w:sz w:val="20"/>
          <w:szCs w:val="20"/>
        </w:rPr>
        <w:t xml:space="preserve"> </w:t>
      </w:r>
      <w:r>
        <w:rPr>
          <w:rFonts w:ascii="Verdana" w:hAnsi="Verdana"/>
          <w:b/>
          <w:bCs/>
          <w:sz w:val="20"/>
          <w:szCs w:val="20"/>
        </w:rPr>
        <w:t xml:space="preserve">ze skutkami od 2022 r. </w:t>
      </w:r>
      <w:r w:rsidRPr="00DA39DC">
        <w:rPr>
          <w:rFonts w:ascii="Verdana" w:hAnsi="Verdana"/>
          <w:bCs/>
          <w:sz w:val="20"/>
          <w:szCs w:val="20"/>
        </w:rPr>
        <w:t xml:space="preserve">– prowadzone od WPF edycji </w:t>
      </w:r>
      <w:r>
        <w:rPr>
          <w:rFonts w:ascii="Verdana" w:hAnsi="Verdana"/>
          <w:bCs/>
          <w:sz w:val="20"/>
          <w:szCs w:val="20"/>
        </w:rPr>
        <w:t>2022</w:t>
      </w:r>
      <w:r w:rsidRPr="00DA39DC">
        <w:rPr>
          <w:rFonts w:ascii="Verdana" w:hAnsi="Verdana"/>
          <w:bCs/>
          <w:sz w:val="20"/>
          <w:szCs w:val="20"/>
        </w:rPr>
        <w:t>-2050</w:t>
      </w:r>
    </w:p>
    <w:p w:rsidR="00CA374E" w:rsidRDefault="00CA374E" w:rsidP="00CA374E">
      <w:pPr>
        <w:spacing w:before="120" w:after="60"/>
        <w:jc w:val="both"/>
        <w:rPr>
          <w:rFonts w:ascii="Verdana" w:hAnsi="Verdana"/>
          <w:b/>
          <w:iCs/>
          <w:sz w:val="16"/>
          <w:szCs w:val="16"/>
        </w:rPr>
      </w:pPr>
      <w:r w:rsidRPr="00106F36">
        <w:rPr>
          <w:rFonts w:ascii="Verdana" w:hAnsi="Verdana" w:cs="Arial"/>
          <w:sz w:val="16"/>
          <w:szCs w:val="16"/>
        </w:rPr>
        <w:t xml:space="preserve">Negatywny </w:t>
      </w:r>
      <w:r>
        <w:rPr>
          <w:rFonts w:ascii="Verdana" w:hAnsi="Verdana" w:cs="Arial"/>
          <w:sz w:val="16"/>
          <w:szCs w:val="16"/>
        </w:rPr>
        <w:t xml:space="preserve">dla finansów m.st. Warszawy </w:t>
      </w:r>
      <w:r w:rsidRPr="00106F36">
        <w:rPr>
          <w:rFonts w:ascii="Verdana" w:hAnsi="Verdana" w:cs="Arial"/>
          <w:sz w:val="16"/>
          <w:szCs w:val="16"/>
        </w:rPr>
        <w:t xml:space="preserve">charakter </w:t>
      </w:r>
      <w:r>
        <w:rPr>
          <w:rFonts w:ascii="Verdana" w:hAnsi="Verdana" w:cs="Arial"/>
          <w:sz w:val="16"/>
          <w:szCs w:val="16"/>
        </w:rPr>
        <w:t>rozwiązań zawartych w programie Polski Ład</w:t>
      </w:r>
      <w:r w:rsidRPr="00106F36">
        <w:rPr>
          <w:rFonts w:ascii="Verdana" w:hAnsi="Verdana" w:cs="Arial"/>
          <w:sz w:val="16"/>
          <w:szCs w:val="16"/>
        </w:rPr>
        <w:t xml:space="preserve"> przejawia się </w:t>
      </w:r>
      <w:r>
        <w:rPr>
          <w:rFonts w:ascii="Verdana" w:hAnsi="Verdana" w:cs="Arial"/>
          <w:sz w:val="16"/>
          <w:szCs w:val="16"/>
        </w:rPr>
        <w:br/>
        <w:t xml:space="preserve">w </w:t>
      </w:r>
      <w:r w:rsidRPr="00E600B6">
        <w:rPr>
          <w:rFonts w:ascii="Verdana" w:hAnsi="Verdana"/>
          <w:iCs/>
          <w:sz w:val="16"/>
          <w:szCs w:val="16"/>
        </w:rPr>
        <w:t>znaczący</w:t>
      </w:r>
      <w:r>
        <w:rPr>
          <w:rFonts w:ascii="Verdana" w:hAnsi="Verdana"/>
          <w:iCs/>
          <w:sz w:val="16"/>
          <w:szCs w:val="16"/>
        </w:rPr>
        <w:t>m</w:t>
      </w:r>
      <w:r w:rsidRPr="00E600B6">
        <w:rPr>
          <w:rFonts w:ascii="Verdana" w:hAnsi="Verdana"/>
          <w:iCs/>
          <w:sz w:val="16"/>
          <w:szCs w:val="16"/>
        </w:rPr>
        <w:t xml:space="preserve"> poziom</w:t>
      </w:r>
      <w:r>
        <w:rPr>
          <w:rFonts w:ascii="Verdana" w:hAnsi="Verdana"/>
          <w:iCs/>
          <w:sz w:val="16"/>
          <w:szCs w:val="16"/>
        </w:rPr>
        <w:t>ie</w:t>
      </w:r>
      <w:r w:rsidRPr="00E600B6">
        <w:rPr>
          <w:rFonts w:ascii="Verdana" w:hAnsi="Verdana"/>
          <w:iCs/>
          <w:sz w:val="16"/>
          <w:szCs w:val="16"/>
        </w:rPr>
        <w:t xml:space="preserve"> u</w:t>
      </w:r>
      <w:r>
        <w:rPr>
          <w:rFonts w:ascii="Verdana" w:hAnsi="Verdana"/>
          <w:iCs/>
          <w:sz w:val="16"/>
          <w:szCs w:val="16"/>
        </w:rPr>
        <w:t xml:space="preserve">szczuplenia dochodów z PIT </w:t>
      </w:r>
      <w:r w:rsidRPr="00E600B6">
        <w:rPr>
          <w:rFonts w:ascii="Verdana" w:hAnsi="Verdana"/>
          <w:iCs/>
          <w:sz w:val="16"/>
          <w:szCs w:val="16"/>
        </w:rPr>
        <w:t xml:space="preserve">stanowiących główne źródło dochodów własnych </w:t>
      </w:r>
      <w:r>
        <w:rPr>
          <w:rFonts w:ascii="Verdana" w:hAnsi="Verdana"/>
          <w:iCs/>
          <w:sz w:val="16"/>
          <w:szCs w:val="16"/>
        </w:rPr>
        <w:t xml:space="preserve">Miasta. Jednocześnie </w:t>
      </w:r>
      <w:r w:rsidRPr="009A19F1">
        <w:rPr>
          <w:rFonts w:ascii="Verdana" w:hAnsi="Verdana"/>
          <w:iCs/>
          <w:sz w:val="16"/>
          <w:szCs w:val="16"/>
        </w:rPr>
        <w:t>r</w:t>
      </w:r>
      <w:r w:rsidRPr="009A19F1">
        <w:rPr>
          <w:rFonts w:ascii="Verdana" w:hAnsi="Verdana" w:cs="Arial"/>
          <w:sz w:val="16"/>
          <w:szCs w:val="16"/>
        </w:rPr>
        <w:t xml:space="preserve">ozwiązania przewidziane w Programie Polski Ład </w:t>
      </w:r>
      <w:r w:rsidRPr="009A19F1">
        <w:rPr>
          <w:rFonts w:ascii="Verdana" w:hAnsi="Verdana"/>
          <w:iCs/>
          <w:sz w:val="16"/>
          <w:szCs w:val="16"/>
        </w:rPr>
        <w:t>nie ustanawiają trwałego mechanizmu rekompensaty ubytku dochodów własnych JST z tytułu zmian podatkowych w PIT, będących z punktu widzenia finansowania JST, zasadniczym elementem Programu Polski Ład.</w:t>
      </w:r>
    </w:p>
    <w:p w:rsidR="00CA374E" w:rsidRPr="00850028" w:rsidRDefault="00CA374E" w:rsidP="00CA374E">
      <w:pPr>
        <w:spacing w:before="60" w:after="60"/>
        <w:jc w:val="both"/>
        <w:rPr>
          <w:rFonts w:ascii="Verdana" w:hAnsi="Verdana"/>
          <w:b/>
          <w:iCs/>
          <w:sz w:val="16"/>
          <w:szCs w:val="16"/>
        </w:rPr>
      </w:pPr>
      <w:r>
        <w:rPr>
          <w:rFonts w:ascii="Verdana" w:hAnsi="Verdana"/>
          <w:b/>
          <w:iCs/>
          <w:sz w:val="16"/>
          <w:szCs w:val="16"/>
        </w:rPr>
        <w:t xml:space="preserve">Podsumowując, główne założenia rządowego Programu Polski Ład wpływające na finanse jednostek samorządu terytorialnego wraz z przepisami wprowadzonymi w późniejszym czasie w związku </w:t>
      </w:r>
      <w:r>
        <w:rPr>
          <w:rFonts w:ascii="Verdana" w:hAnsi="Verdana"/>
          <w:b/>
          <w:iCs/>
          <w:sz w:val="16"/>
          <w:szCs w:val="16"/>
        </w:rPr>
        <w:br/>
        <w:t>z ewaluacją skutków tego Programu zakładają:</w:t>
      </w:r>
    </w:p>
    <w:p w:rsidR="00CA374E" w:rsidRPr="00850028" w:rsidRDefault="00CA374E" w:rsidP="00CA374E">
      <w:pPr>
        <w:pStyle w:val="Akapitzlist"/>
        <w:numPr>
          <w:ilvl w:val="0"/>
          <w:numId w:val="49"/>
        </w:numPr>
        <w:spacing w:before="60" w:after="60"/>
        <w:ind w:left="568" w:hanging="284"/>
        <w:contextualSpacing w:val="0"/>
        <w:jc w:val="both"/>
        <w:rPr>
          <w:rFonts w:ascii="Verdana" w:hAnsi="Verdana"/>
          <w:iCs/>
          <w:sz w:val="16"/>
          <w:szCs w:val="16"/>
        </w:rPr>
      </w:pPr>
      <w:r w:rsidRPr="00264257">
        <w:rPr>
          <w:rFonts w:ascii="Verdana" w:hAnsi="Verdana"/>
          <w:b/>
          <w:iCs/>
          <w:sz w:val="16"/>
          <w:szCs w:val="16"/>
        </w:rPr>
        <w:t>tr</w:t>
      </w:r>
      <w:r>
        <w:rPr>
          <w:rFonts w:ascii="Verdana" w:hAnsi="Verdana"/>
          <w:b/>
          <w:iCs/>
          <w:sz w:val="16"/>
          <w:szCs w:val="16"/>
        </w:rPr>
        <w:t>wałe coroczne</w:t>
      </w:r>
      <w:r w:rsidRPr="00264257">
        <w:rPr>
          <w:rFonts w:ascii="Verdana" w:hAnsi="Verdana"/>
          <w:b/>
          <w:iCs/>
          <w:sz w:val="16"/>
          <w:szCs w:val="16"/>
        </w:rPr>
        <w:t xml:space="preserve"> od 2022 r. ograniczenie dochodów JST z udziału podatku dochodowym od osób fizycznych (PIT)</w:t>
      </w:r>
      <w:r w:rsidRPr="00850028">
        <w:rPr>
          <w:rFonts w:ascii="Verdana" w:hAnsi="Verdana"/>
          <w:iCs/>
          <w:sz w:val="16"/>
          <w:szCs w:val="16"/>
        </w:rPr>
        <w:t xml:space="preserve"> </w:t>
      </w:r>
      <w:r>
        <w:rPr>
          <w:rFonts w:ascii="Verdana" w:hAnsi="Verdana"/>
          <w:iCs/>
          <w:sz w:val="16"/>
          <w:szCs w:val="16"/>
        </w:rPr>
        <w:t>głównie na skutek</w:t>
      </w:r>
      <w:r w:rsidRPr="00850028">
        <w:rPr>
          <w:rFonts w:ascii="Verdana" w:hAnsi="Verdana"/>
          <w:iCs/>
          <w:sz w:val="16"/>
          <w:szCs w:val="16"/>
        </w:rPr>
        <w:t>:</w:t>
      </w:r>
    </w:p>
    <w:p w:rsidR="00CA374E" w:rsidRPr="006A430E" w:rsidRDefault="00CA374E" w:rsidP="00CA374E">
      <w:pPr>
        <w:pStyle w:val="Akapitzlist"/>
        <w:numPr>
          <w:ilvl w:val="0"/>
          <w:numId w:val="50"/>
        </w:numPr>
        <w:spacing w:before="60" w:after="60"/>
        <w:ind w:left="1134" w:hanging="283"/>
        <w:contextualSpacing w:val="0"/>
        <w:jc w:val="both"/>
        <w:rPr>
          <w:rFonts w:ascii="Verdana" w:hAnsi="Verdana"/>
          <w:iCs/>
          <w:sz w:val="16"/>
          <w:szCs w:val="16"/>
        </w:rPr>
      </w:pPr>
      <w:r w:rsidRPr="006A430E">
        <w:rPr>
          <w:rFonts w:ascii="Verdana" w:hAnsi="Verdana"/>
          <w:iCs/>
          <w:sz w:val="16"/>
          <w:szCs w:val="16"/>
        </w:rPr>
        <w:t>p</w:t>
      </w:r>
      <w:r>
        <w:rPr>
          <w:rFonts w:ascii="Verdana" w:hAnsi="Verdana"/>
          <w:iCs/>
          <w:sz w:val="16"/>
          <w:szCs w:val="16"/>
        </w:rPr>
        <w:t>odwyższenia</w:t>
      </w:r>
      <w:r w:rsidRPr="006A430E">
        <w:rPr>
          <w:rFonts w:ascii="Verdana" w:hAnsi="Verdana"/>
          <w:iCs/>
          <w:sz w:val="16"/>
          <w:szCs w:val="16"/>
        </w:rPr>
        <w:t xml:space="preserve"> do 30 tys. zł „kwoty wolnej” od podatku dla ogółu podatników obliczających podatek wg skali podatkowej,</w:t>
      </w:r>
    </w:p>
    <w:p w:rsidR="00CA374E" w:rsidRDefault="00CA374E" w:rsidP="00CA374E">
      <w:pPr>
        <w:pStyle w:val="Akapitzlist"/>
        <w:numPr>
          <w:ilvl w:val="0"/>
          <w:numId w:val="50"/>
        </w:numPr>
        <w:spacing w:before="60" w:after="60"/>
        <w:ind w:left="1134" w:hanging="283"/>
        <w:contextualSpacing w:val="0"/>
        <w:jc w:val="both"/>
        <w:rPr>
          <w:rFonts w:ascii="Verdana" w:hAnsi="Verdana"/>
          <w:iCs/>
          <w:sz w:val="16"/>
          <w:szCs w:val="16"/>
        </w:rPr>
      </w:pPr>
      <w:r w:rsidRPr="006A430E">
        <w:rPr>
          <w:rFonts w:ascii="Verdana" w:hAnsi="Verdana"/>
          <w:iCs/>
          <w:sz w:val="16"/>
          <w:szCs w:val="16"/>
        </w:rPr>
        <w:t>podwyższeni</w:t>
      </w:r>
      <w:r>
        <w:rPr>
          <w:rFonts w:ascii="Verdana" w:hAnsi="Verdana"/>
          <w:iCs/>
          <w:sz w:val="16"/>
          <w:szCs w:val="16"/>
        </w:rPr>
        <w:t>a</w:t>
      </w:r>
      <w:r w:rsidRPr="006A430E">
        <w:rPr>
          <w:rFonts w:ascii="Verdana" w:hAnsi="Verdana"/>
          <w:iCs/>
          <w:sz w:val="16"/>
          <w:szCs w:val="16"/>
        </w:rPr>
        <w:t xml:space="preserve"> do 120 tys. zł progu dochodów, po przekroczeniu którego ma zastosowanie 32% stawka podatku,</w:t>
      </w:r>
    </w:p>
    <w:p w:rsidR="00CA374E" w:rsidRPr="006A430E" w:rsidRDefault="00CA374E" w:rsidP="00CA374E">
      <w:pPr>
        <w:pStyle w:val="Akapitzlist"/>
        <w:numPr>
          <w:ilvl w:val="0"/>
          <w:numId w:val="50"/>
        </w:numPr>
        <w:spacing w:before="60" w:after="60"/>
        <w:ind w:left="1134" w:hanging="283"/>
        <w:contextualSpacing w:val="0"/>
        <w:jc w:val="both"/>
        <w:rPr>
          <w:rFonts w:ascii="Verdana" w:hAnsi="Verdana"/>
          <w:iCs/>
          <w:sz w:val="16"/>
          <w:szCs w:val="16"/>
        </w:rPr>
      </w:pPr>
      <w:r>
        <w:rPr>
          <w:rFonts w:ascii="Verdana" w:hAnsi="Verdana"/>
          <w:sz w:val="16"/>
          <w:szCs w:val="16"/>
        </w:rPr>
        <w:t>obniżenia</w:t>
      </w:r>
      <w:r w:rsidRPr="0038021F">
        <w:rPr>
          <w:rFonts w:ascii="Verdana" w:hAnsi="Verdana"/>
          <w:sz w:val="16"/>
          <w:szCs w:val="16"/>
        </w:rPr>
        <w:t xml:space="preserve"> stawki podatkowej w I przedziale skali podatkowej z </w:t>
      </w:r>
      <w:r w:rsidRPr="0038021F">
        <w:rPr>
          <w:rFonts w:ascii="Verdana" w:hAnsi="Verdana"/>
          <w:bCs/>
          <w:sz w:val="16"/>
          <w:szCs w:val="16"/>
        </w:rPr>
        <w:t>17%</w:t>
      </w:r>
      <w:r w:rsidRPr="0038021F">
        <w:rPr>
          <w:rFonts w:ascii="Verdana" w:hAnsi="Verdana"/>
          <w:sz w:val="16"/>
          <w:szCs w:val="16"/>
        </w:rPr>
        <w:t xml:space="preserve"> do </w:t>
      </w:r>
      <w:r w:rsidRPr="0038021F">
        <w:rPr>
          <w:rFonts w:ascii="Verdana" w:hAnsi="Verdana"/>
          <w:bCs/>
          <w:sz w:val="16"/>
          <w:szCs w:val="16"/>
        </w:rPr>
        <w:t>12%</w:t>
      </w:r>
      <w:r>
        <w:rPr>
          <w:rFonts w:ascii="Verdana" w:hAnsi="Verdana"/>
          <w:bCs/>
          <w:sz w:val="16"/>
          <w:szCs w:val="16"/>
        </w:rPr>
        <w:t>,</w:t>
      </w:r>
    </w:p>
    <w:p w:rsidR="00CA374E" w:rsidRPr="00E90E59" w:rsidRDefault="00CA374E" w:rsidP="00CA374E">
      <w:pPr>
        <w:pStyle w:val="Akapitzlist"/>
        <w:numPr>
          <w:ilvl w:val="0"/>
          <w:numId w:val="50"/>
        </w:numPr>
        <w:spacing w:before="60" w:after="60"/>
        <w:ind w:left="1134" w:hanging="283"/>
        <w:contextualSpacing w:val="0"/>
        <w:jc w:val="both"/>
        <w:rPr>
          <w:rFonts w:ascii="Verdana" w:hAnsi="Verdana"/>
          <w:iCs/>
          <w:sz w:val="16"/>
          <w:szCs w:val="16"/>
        </w:rPr>
      </w:pPr>
      <w:r>
        <w:rPr>
          <w:rFonts w:ascii="Verdana" w:hAnsi="Verdana"/>
          <w:iCs/>
          <w:sz w:val="16"/>
          <w:szCs w:val="16"/>
        </w:rPr>
        <w:t>likwidacji</w:t>
      </w:r>
      <w:r w:rsidRPr="006A430E">
        <w:rPr>
          <w:rFonts w:ascii="Verdana" w:hAnsi="Verdana"/>
          <w:iCs/>
          <w:sz w:val="16"/>
          <w:szCs w:val="16"/>
        </w:rPr>
        <w:t xml:space="preserve"> możliwości odliczenia od podatku składki na ubezpieczenie </w:t>
      </w:r>
      <w:r>
        <w:rPr>
          <w:rFonts w:ascii="Verdana" w:hAnsi="Verdana"/>
          <w:iCs/>
          <w:sz w:val="16"/>
          <w:szCs w:val="16"/>
        </w:rPr>
        <w:t>zdrowotne</w:t>
      </w:r>
      <w:r w:rsidRPr="00E90E59">
        <w:rPr>
          <w:rFonts w:ascii="Verdana" w:hAnsi="Verdana"/>
          <w:iCs/>
          <w:sz w:val="16"/>
          <w:szCs w:val="16"/>
        </w:rPr>
        <w:t>,</w:t>
      </w:r>
    </w:p>
    <w:p w:rsidR="00CA374E" w:rsidRDefault="00CA374E" w:rsidP="00CA374E">
      <w:pPr>
        <w:pStyle w:val="Akapitzlist"/>
        <w:spacing w:before="60" w:after="60"/>
        <w:ind w:left="567"/>
        <w:contextualSpacing w:val="0"/>
        <w:jc w:val="both"/>
        <w:rPr>
          <w:rFonts w:ascii="Verdana" w:hAnsi="Verdana"/>
          <w:iCs/>
          <w:sz w:val="16"/>
          <w:szCs w:val="16"/>
        </w:rPr>
      </w:pPr>
      <w:r>
        <w:rPr>
          <w:rFonts w:ascii="Verdana" w:hAnsi="Verdana"/>
          <w:iCs/>
          <w:sz w:val="16"/>
          <w:szCs w:val="16"/>
        </w:rPr>
        <w:t xml:space="preserve">co zgodnie z szacunkami sporządzonymi na podstawie Ocen Skutków Regulacji </w:t>
      </w:r>
      <w:r>
        <w:rPr>
          <w:rFonts w:ascii="Verdana" w:hAnsi="Verdana" w:cs="Arial"/>
          <w:sz w:val="16"/>
          <w:szCs w:val="16"/>
        </w:rPr>
        <w:t>ustawy z 29</w:t>
      </w:r>
      <w:r w:rsidRPr="00C06E0B">
        <w:rPr>
          <w:rFonts w:ascii="Verdana" w:hAnsi="Verdana" w:cs="Arial"/>
          <w:sz w:val="16"/>
          <w:szCs w:val="16"/>
        </w:rPr>
        <w:t xml:space="preserve"> października 2021 r. </w:t>
      </w:r>
      <w:r w:rsidRPr="00C06E0B">
        <w:rPr>
          <w:rFonts w:ascii="Verdana" w:hAnsi="Verdana" w:cs="Arial"/>
          <w:i/>
          <w:sz w:val="16"/>
          <w:szCs w:val="16"/>
        </w:rPr>
        <w:t xml:space="preserve">o zmianie ustawy o podatku dochodowym od osób fizycznych, ustawy o podatku dochodowym </w:t>
      </w:r>
      <w:r>
        <w:rPr>
          <w:rFonts w:ascii="Verdana" w:hAnsi="Verdana" w:cs="Arial"/>
          <w:i/>
          <w:sz w:val="16"/>
          <w:szCs w:val="16"/>
        </w:rPr>
        <w:br/>
      </w:r>
      <w:r w:rsidRPr="00C06E0B">
        <w:rPr>
          <w:rFonts w:ascii="Verdana" w:hAnsi="Verdana" w:cs="Arial"/>
          <w:i/>
          <w:sz w:val="16"/>
          <w:szCs w:val="16"/>
        </w:rPr>
        <w:t>od osób prawnych oraz niektórych innych ustaw</w:t>
      </w:r>
      <w:r>
        <w:rPr>
          <w:rFonts w:ascii="Verdana" w:hAnsi="Verdana" w:cs="Arial"/>
          <w:sz w:val="16"/>
          <w:szCs w:val="16"/>
        </w:rPr>
        <w:t xml:space="preserve"> (Dz. U. poz. 2105, 2349, 2427 i 2469 oraz z 2022 r. </w:t>
      </w:r>
      <w:r>
        <w:rPr>
          <w:rFonts w:ascii="Verdana" w:hAnsi="Verdana" w:cs="Arial"/>
          <w:sz w:val="16"/>
          <w:szCs w:val="16"/>
        </w:rPr>
        <w:br/>
        <w:t>poz. 1265, 1301, 1719 i 2180) oraz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Pr>
          <w:rFonts w:ascii="Verdana" w:hAnsi="Verdana" w:cs="Arial"/>
          <w:sz w:val="16"/>
          <w:szCs w:val="16"/>
        </w:rPr>
        <w:t>,</w:t>
      </w:r>
      <w:r>
        <w:rPr>
          <w:rFonts w:ascii="Verdana" w:hAnsi="Verdana" w:cs="Arial"/>
          <w:i/>
          <w:sz w:val="16"/>
          <w:szCs w:val="16"/>
        </w:rPr>
        <w:t xml:space="preserve"> </w:t>
      </w:r>
      <w:r>
        <w:rPr>
          <w:rFonts w:ascii="Verdana" w:hAnsi="Verdana"/>
          <w:iCs/>
          <w:sz w:val="16"/>
          <w:szCs w:val="16"/>
        </w:rPr>
        <w:t xml:space="preserve">prezentowanych na poszczególnych etapach ich procedowania, spowoduje </w:t>
      </w:r>
      <w:r w:rsidRPr="00264257">
        <w:rPr>
          <w:rFonts w:ascii="Verdana" w:hAnsi="Verdana"/>
          <w:b/>
          <w:iCs/>
          <w:sz w:val="16"/>
          <w:szCs w:val="16"/>
        </w:rPr>
        <w:t>ograniczenie dochodów m.st. Warszawy z PIT</w:t>
      </w:r>
      <w:r>
        <w:rPr>
          <w:rFonts w:ascii="Verdana" w:hAnsi="Verdana"/>
          <w:iCs/>
          <w:sz w:val="16"/>
          <w:szCs w:val="16"/>
        </w:rPr>
        <w:t xml:space="preserve"> w kwocie </w:t>
      </w:r>
      <w:r>
        <w:rPr>
          <w:rFonts w:ascii="Verdana" w:hAnsi="Verdana"/>
          <w:b/>
          <w:iCs/>
          <w:sz w:val="16"/>
          <w:szCs w:val="16"/>
        </w:rPr>
        <w:t>22,461</w:t>
      </w:r>
      <w:r w:rsidRPr="00264257">
        <w:rPr>
          <w:rFonts w:ascii="Verdana" w:hAnsi="Verdana"/>
          <w:b/>
          <w:iCs/>
          <w:sz w:val="16"/>
          <w:szCs w:val="16"/>
        </w:rPr>
        <w:t xml:space="preserve"> mld zł</w:t>
      </w:r>
      <w:r>
        <w:rPr>
          <w:rFonts w:ascii="Verdana" w:hAnsi="Verdana"/>
          <w:iCs/>
          <w:sz w:val="16"/>
          <w:szCs w:val="16"/>
        </w:rPr>
        <w:t xml:space="preserve"> w okresie 10 lat, tj. </w:t>
      </w:r>
      <w:r>
        <w:rPr>
          <w:rFonts w:ascii="Verdana" w:hAnsi="Verdana"/>
          <w:b/>
          <w:iCs/>
          <w:sz w:val="16"/>
          <w:szCs w:val="16"/>
        </w:rPr>
        <w:t>2,246</w:t>
      </w:r>
      <w:r w:rsidRPr="00264257">
        <w:rPr>
          <w:rFonts w:ascii="Verdana" w:hAnsi="Verdana"/>
          <w:b/>
          <w:iCs/>
          <w:sz w:val="16"/>
          <w:szCs w:val="16"/>
        </w:rPr>
        <w:t xml:space="preserve"> mld zł</w:t>
      </w:r>
      <w:r>
        <w:rPr>
          <w:rFonts w:ascii="Verdana" w:hAnsi="Verdana"/>
          <w:iCs/>
          <w:sz w:val="16"/>
          <w:szCs w:val="16"/>
        </w:rPr>
        <w:t xml:space="preserve"> średniorocznie,</w:t>
      </w:r>
    </w:p>
    <w:p w:rsidR="00CA374E" w:rsidRDefault="00CA374E" w:rsidP="00CA374E">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zrealizowane przekazanie samorządom w 2021 r. na poczet wydatków 2022 r. </w:t>
      </w:r>
      <w:r w:rsidRPr="00264257">
        <w:rPr>
          <w:rFonts w:ascii="Verdana" w:hAnsi="Verdana"/>
          <w:b/>
          <w:iCs/>
          <w:sz w:val="16"/>
          <w:szCs w:val="16"/>
        </w:rPr>
        <w:t>dodatkowej kwoty subwencji w wysokości 8 mld zł, z tego 468 mln zł dla m.st. Warszawy</w:t>
      </w:r>
      <w:r>
        <w:rPr>
          <w:rFonts w:ascii="Verdana" w:hAnsi="Verdana"/>
          <w:iCs/>
          <w:sz w:val="16"/>
          <w:szCs w:val="16"/>
        </w:rPr>
        <w:t>,</w:t>
      </w:r>
    </w:p>
    <w:p w:rsidR="00CA374E" w:rsidRDefault="00CA374E" w:rsidP="00CA374E">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wprowadzenie od 2023 r. </w:t>
      </w:r>
      <w:r w:rsidRPr="00264257">
        <w:rPr>
          <w:rFonts w:ascii="Verdana" w:hAnsi="Verdana"/>
          <w:b/>
          <w:iCs/>
          <w:sz w:val="16"/>
          <w:szCs w:val="16"/>
        </w:rPr>
        <w:t>nowej subwencji tzw. rozwojowej w ogólnej kwocie</w:t>
      </w:r>
      <w:r>
        <w:rPr>
          <w:rFonts w:ascii="Verdana" w:hAnsi="Verdana"/>
          <w:iCs/>
          <w:sz w:val="16"/>
          <w:szCs w:val="16"/>
        </w:rPr>
        <w:t xml:space="preserve"> </w:t>
      </w:r>
      <w:r w:rsidRPr="00264257">
        <w:rPr>
          <w:rFonts w:ascii="Verdana" w:hAnsi="Verdana"/>
          <w:b/>
          <w:iCs/>
          <w:sz w:val="16"/>
          <w:szCs w:val="16"/>
        </w:rPr>
        <w:t>3-4 mld zł rocznie</w:t>
      </w:r>
      <w:r>
        <w:rPr>
          <w:rFonts w:ascii="Verdana" w:hAnsi="Verdana"/>
          <w:iCs/>
          <w:sz w:val="16"/>
          <w:szCs w:val="16"/>
        </w:rPr>
        <w:t xml:space="preserve">, w której </w:t>
      </w:r>
      <w:r w:rsidRPr="00264257">
        <w:rPr>
          <w:rFonts w:ascii="Verdana" w:hAnsi="Verdana"/>
          <w:b/>
          <w:iCs/>
          <w:sz w:val="16"/>
          <w:szCs w:val="16"/>
        </w:rPr>
        <w:t>partycypacja m.st. Warszawy</w:t>
      </w:r>
      <w:r>
        <w:rPr>
          <w:rFonts w:ascii="Verdana" w:hAnsi="Verdana"/>
          <w:iCs/>
          <w:sz w:val="16"/>
          <w:szCs w:val="16"/>
        </w:rPr>
        <w:t xml:space="preserve"> jak się szacuje </w:t>
      </w:r>
      <w:r w:rsidRPr="00264257">
        <w:rPr>
          <w:rFonts w:ascii="Verdana" w:hAnsi="Verdana"/>
          <w:b/>
          <w:iCs/>
          <w:sz w:val="16"/>
          <w:szCs w:val="16"/>
        </w:rPr>
        <w:t>wyniesie ok.</w:t>
      </w:r>
      <w:r>
        <w:rPr>
          <w:rFonts w:ascii="Verdana" w:hAnsi="Verdana"/>
          <w:iCs/>
          <w:sz w:val="16"/>
          <w:szCs w:val="16"/>
        </w:rPr>
        <w:t xml:space="preserve"> </w:t>
      </w:r>
      <w:r w:rsidRPr="00264257">
        <w:rPr>
          <w:rFonts w:ascii="Verdana" w:hAnsi="Verdana"/>
          <w:b/>
          <w:iCs/>
          <w:sz w:val="16"/>
          <w:szCs w:val="16"/>
        </w:rPr>
        <w:t>40 mln zł</w:t>
      </w:r>
      <w:r>
        <w:rPr>
          <w:rFonts w:ascii="Verdana" w:hAnsi="Verdana"/>
          <w:iCs/>
          <w:sz w:val="16"/>
          <w:szCs w:val="16"/>
        </w:rPr>
        <w:t xml:space="preserve"> z puli 60% kwoty subwencji przekazywanej wszystkim samorządom, natomiast beneficjentami pozostałych 40% będą jednostki samorządu terytorialnego o ponadprzeciętnej dynamice wydatków majątkowych w przeliczeniu na jednego mieszkańca oraz charakteryzujące się przewyższającymi średnią wydatkami majątkowymi przypadającymi na jednego mieszkańca,</w:t>
      </w:r>
    </w:p>
    <w:p w:rsidR="00CA374E" w:rsidRDefault="00CA374E" w:rsidP="00CA374E">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potencjalne podwyższenie tzw. subwencji rozwojowej dzielonej między jednostki samorządu terytorialnego o różnicę między wynikającym z ustawy poziomem dochodów referencyjnych (minimalnych) JST pochodzących z PIT i CIT a zaplanowanymi przez Ministerstwo Finansów dochodami z PIT i CIT dla samorządów,</w:t>
      </w:r>
    </w:p>
    <w:p w:rsidR="00CA374E" w:rsidRDefault="00CA374E" w:rsidP="00CA374E">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t xml:space="preserve">zrealizowane przekazanie samorządom w czwartym kwartale 2022 r. na poczet wydatków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13,7</w:t>
      </w:r>
      <w:r w:rsidRPr="00264257">
        <w:rPr>
          <w:rFonts w:ascii="Verdana" w:hAnsi="Verdana"/>
          <w:b/>
          <w:iCs/>
          <w:sz w:val="16"/>
          <w:szCs w:val="16"/>
        </w:rPr>
        <w:t xml:space="preserve"> mld zł, z tego </w:t>
      </w:r>
      <w:r>
        <w:rPr>
          <w:rFonts w:ascii="Verdana" w:hAnsi="Verdana"/>
          <w:b/>
          <w:iCs/>
          <w:sz w:val="16"/>
          <w:szCs w:val="16"/>
        </w:rPr>
        <w:t>852</w:t>
      </w:r>
      <w:r w:rsidRPr="00264257">
        <w:rPr>
          <w:rFonts w:ascii="Verdana" w:hAnsi="Verdana"/>
          <w:b/>
          <w:iCs/>
          <w:sz w:val="16"/>
          <w:szCs w:val="16"/>
        </w:rPr>
        <w:t xml:space="preserve"> mln zł dla m.st. Warszawy</w:t>
      </w:r>
      <w:r>
        <w:rPr>
          <w:rFonts w:ascii="Verdana" w:hAnsi="Verdana"/>
          <w:b/>
          <w:iCs/>
          <w:sz w:val="16"/>
          <w:szCs w:val="16"/>
        </w:rPr>
        <w:t xml:space="preserve"> tytułem należnej w 2023 r. </w:t>
      </w:r>
      <w:r>
        <w:rPr>
          <w:rFonts w:ascii="Verdana" w:hAnsi="Verdana"/>
          <w:b/>
          <w:iCs/>
          <w:sz w:val="16"/>
          <w:szCs w:val="16"/>
        </w:rPr>
        <w:br/>
        <w:t>tzw. subwencji rozwojowej</w:t>
      </w:r>
      <w:r>
        <w:rPr>
          <w:rFonts w:ascii="Verdana" w:hAnsi="Verdana"/>
          <w:iCs/>
          <w:sz w:val="16"/>
          <w:szCs w:val="16"/>
        </w:rPr>
        <w:t>,</w:t>
      </w:r>
    </w:p>
    <w:p w:rsidR="00CA374E" w:rsidRDefault="00CA374E" w:rsidP="00CA374E">
      <w:pPr>
        <w:pStyle w:val="Akapitzlist"/>
        <w:numPr>
          <w:ilvl w:val="0"/>
          <w:numId w:val="49"/>
        </w:numPr>
        <w:spacing w:before="60" w:after="60"/>
        <w:ind w:left="567" w:hanging="283"/>
        <w:contextualSpacing w:val="0"/>
        <w:jc w:val="both"/>
        <w:rPr>
          <w:rFonts w:ascii="Verdana" w:hAnsi="Verdana"/>
          <w:iCs/>
          <w:sz w:val="16"/>
          <w:szCs w:val="16"/>
        </w:rPr>
      </w:pPr>
      <w:r>
        <w:rPr>
          <w:rFonts w:ascii="Verdana" w:hAnsi="Verdana"/>
          <w:iCs/>
          <w:sz w:val="16"/>
          <w:szCs w:val="16"/>
        </w:rPr>
        <w:lastRenderedPageBreak/>
        <w:t xml:space="preserve">przekazanie samorządom do końca 2023 r. </w:t>
      </w:r>
      <w:r>
        <w:rPr>
          <w:rFonts w:ascii="Verdana" w:hAnsi="Verdana"/>
          <w:b/>
          <w:iCs/>
          <w:sz w:val="16"/>
          <w:szCs w:val="16"/>
        </w:rPr>
        <w:t>kwoty</w:t>
      </w:r>
      <w:r w:rsidRPr="00264257">
        <w:rPr>
          <w:rFonts w:ascii="Verdana" w:hAnsi="Verdana"/>
          <w:b/>
          <w:iCs/>
          <w:sz w:val="16"/>
          <w:szCs w:val="16"/>
        </w:rPr>
        <w:t xml:space="preserve"> w wysokości </w:t>
      </w:r>
      <w:r>
        <w:rPr>
          <w:rFonts w:ascii="Verdana" w:hAnsi="Verdana"/>
          <w:b/>
          <w:iCs/>
          <w:sz w:val="16"/>
          <w:szCs w:val="16"/>
        </w:rPr>
        <w:t>13,3</w:t>
      </w:r>
      <w:r w:rsidRPr="00264257">
        <w:rPr>
          <w:rFonts w:ascii="Verdana" w:hAnsi="Verdana"/>
          <w:b/>
          <w:iCs/>
          <w:sz w:val="16"/>
          <w:szCs w:val="16"/>
        </w:rPr>
        <w:t xml:space="preserve"> mld zł, z tego </w:t>
      </w:r>
      <w:r>
        <w:rPr>
          <w:rFonts w:ascii="Verdana" w:hAnsi="Verdana"/>
          <w:b/>
          <w:iCs/>
          <w:sz w:val="16"/>
          <w:szCs w:val="16"/>
        </w:rPr>
        <w:t>157</w:t>
      </w:r>
      <w:r w:rsidRPr="00264257">
        <w:rPr>
          <w:rFonts w:ascii="Verdana" w:hAnsi="Verdana"/>
          <w:b/>
          <w:iCs/>
          <w:sz w:val="16"/>
          <w:szCs w:val="16"/>
        </w:rPr>
        <w:t xml:space="preserve"> mln zł dla m.st. Warszawy</w:t>
      </w:r>
      <w:r>
        <w:rPr>
          <w:rFonts w:ascii="Verdana" w:hAnsi="Verdana"/>
          <w:b/>
          <w:iCs/>
          <w:sz w:val="16"/>
          <w:szCs w:val="16"/>
        </w:rPr>
        <w:t xml:space="preserve"> kosztem należnej w 2024 r. tzw. subwencji rozwojowej </w:t>
      </w:r>
      <w:r>
        <w:rPr>
          <w:rFonts w:ascii="Verdana" w:hAnsi="Verdana"/>
          <w:iCs/>
          <w:sz w:val="16"/>
          <w:szCs w:val="16"/>
        </w:rPr>
        <w:t>(</w:t>
      </w:r>
      <w:r>
        <w:rPr>
          <w:rFonts w:ascii="Verdana" w:hAnsi="Verdana"/>
          <w:sz w:val="16"/>
          <w:szCs w:val="16"/>
        </w:rPr>
        <w:t xml:space="preserve">zgodnie z informacją </w:t>
      </w:r>
      <w:r w:rsidRPr="004B78EB">
        <w:rPr>
          <w:rFonts w:ascii="Verdana" w:hAnsi="Verdana"/>
          <w:sz w:val="16"/>
          <w:szCs w:val="16"/>
        </w:rPr>
        <w:t>przedstawioną przez Ministerstwo Finansów</w:t>
      </w:r>
      <w:r>
        <w:rPr>
          <w:rFonts w:ascii="Verdana" w:hAnsi="Verdana"/>
          <w:sz w:val="16"/>
          <w:szCs w:val="16"/>
        </w:rPr>
        <w:t xml:space="preserve"> </w:t>
      </w:r>
      <w:r w:rsidRPr="00AC083A">
        <w:rPr>
          <w:rFonts w:ascii="Verdana" w:hAnsi="Verdana"/>
          <w:sz w:val="16"/>
          <w:szCs w:val="16"/>
        </w:rPr>
        <w:t xml:space="preserve">w pismach </w:t>
      </w:r>
      <w:r>
        <w:rPr>
          <w:rFonts w:ascii="Verdana" w:hAnsi="Verdana"/>
          <w:sz w:val="16"/>
          <w:szCs w:val="16"/>
        </w:rP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Pr>
          <w:rFonts w:ascii="Verdana" w:hAnsi="Verdana"/>
          <w:sz w:val="16"/>
          <w:szCs w:val="16"/>
        </w:rPr>
        <w:t xml:space="preserve">,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w:t>
      </w:r>
    </w:p>
    <w:p w:rsidR="00CA374E" w:rsidRDefault="00CA374E" w:rsidP="00CA374E">
      <w:pPr>
        <w:spacing w:before="60" w:after="60"/>
        <w:jc w:val="both"/>
        <w:rPr>
          <w:rFonts w:ascii="Verdana" w:hAnsi="Verdana"/>
          <w:b/>
          <w:sz w:val="16"/>
          <w:szCs w:val="16"/>
        </w:rPr>
      </w:pPr>
      <w:r>
        <w:rPr>
          <w:rFonts w:ascii="Verdana" w:hAnsi="Verdana"/>
          <w:b/>
          <w:sz w:val="16"/>
          <w:szCs w:val="16"/>
        </w:rPr>
        <w:t>Na podstawie bieżących prognoz makroekonomicznych prezentowanych przez Ministerstwo Finansów, a więc w warunkach podwyższonej inflacji, ocenia się, że</w:t>
      </w:r>
      <w:r w:rsidRPr="009B6899">
        <w:rPr>
          <w:rFonts w:ascii="Verdana" w:hAnsi="Verdana"/>
          <w:b/>
          <w:sz w:val="16"/>
          <w:szCs w:val="16"/>
        </w:rPr>
        <w:t xml:space="preserve"> tylko w latach 2022-2023 </w:t>
      </w:r>
      <w:r>
        <w:rPr>
          <w:rFonts w:ascii="Verdana" w:hAnsi="Verdana"/>
          <w:b/>
          <w:sz w:val="16"/>
          <w:szCs w:val="16"/>
        </w:rPr>
        <w:br/>
        <w:t xml:space="preserve">w konsekwencji rozwiązań Polskiego Ładu </w:t>
      </w:r>
      <w:r w:rsidRPr="009B6899">
        <w:rPr>
          <w:rFonts w:ascii="Verdana" w:hAnsi="Verdana"/>
          <w:b/>
          <w:sz w:val="16"/>
          <w:szCs w:val="16"/>
        </w:rPr>
        <w:t xml:space="preserve">m.st. Warszawa zostało pozbawione dochodów </w:t>
      </w:r>
      <w:r>
        <w:rPr>
          <w:rFonts w:ascii="Verdana" w:hAnsi="Verdana"/>
          <w:b/>
          <w:sz w:val="16"/>
          <w:szCs w:val="16"/>
        </w:rPr>
        <w:t>w łącznej kwocie 3,6 mld zł</w:t>
      </w:r>
      <w:r w:rsidRPr="009B6899">
        <w:rPr>
          <w:rFonts w:ascii="Verdana" w:hAnsi="Verdana"/>
          <w:b/>
          <w:sz w:val="16"/>
          <w:szCs w:val="16"/>
        </w:rPr>
        <w:t xml:space="preserve"> </w:t>
      </w:r>
      <w:r>
        <w:rPr>
          <w:rFonts w:ascii="Verdana" w:hAnsi="Verdana"/>
          <w:b/>
          <w:sz w:val="16"/>
          <w:szCs w:val="16"/>
        </w:rPr>
        <w:t xml:space="preserve">już po uwzględnieniu rekompensat, natomiast ubytek w dochodach z PIT w 2024 r. szacowany jest na 1,3 mld zł (kwestia szczegółowo została omówiona w pkt 4.3 </w:t>
      </w:r>
      <w:r w:rsidRPr="00711ED1">
        <w:rPr>
          <w:rFonts w:ascii="Verdana" w:hAnsi="Verdana"/>
          <w:b/>
          <w:i/>
          <w:sz w:val="16"/>
          <w:szCs w:val="16"/>
        </w:rPr>
        <w:t>Uwarunkowania budżetowe m.st. Warszawy</w:t>
      </w:r>
      <w:r>
        <w:rPr>
          <w:rFonts w:ascii="Verdana" w:hAnsi="Verdana"/>
          <w:b/>
          <w:sz w:val="16"/>
          <w:szCs w:val="16"/>
        </w:rPr>
        <w:t>).</w:t>
      </w:r>
    </w:p>
    <w:p w:rsidR="00CA374E" w:rsidRPr="000A6485" w:rsidRDefault="00CA374E" w:rsidP="00CA374E">
      <w:pPr>
        <w:spacing w:before="360" w:after="240" w:line="240" w:lineRule="auto"/>
        <w:ind w:left="425" w:hanging="425"/>
        <w:rPr>
          <w:rFonts w:ascii="Verdana" w:hAnsi="Verdana"/>
          <w:b/>
          <w:bCs/>
          <w:sz w:val="20"/>
          <w:szCs w:val="20"/>
        </w:rPr>
      </w:pPr>
      <w:r w:rsidRPr="000A6485">
        <w:rPr>
          <w:rFonts w:ascii="Verdana" w:hAnsi="Verdana"/>
          <w:b/>
          <w:bCs/>
          <w:sz w:val="20"/>
          <w:szCs w:val="20"/>
        </w:rPr>
        <w:t xml:space="preserve">5.2 </w:t>
      </w:r>
      <w:r>
        <w:rPr>
          <w:rFonts w:ascii="Verdana" w:hAnsi="Verdana"/>
          <w:b/>
          <w:bCs/>
          <w:sz w:val="20"/>
          <w:szCs w:val="20"/>
        </w:rPr>
        <w:t xml:space="preserve">Dostosowanie założeń budżetowych do obniżonych dochodów w związku </w:t>
      </w:r>
      <w:r>
        <w:rPr>
          <w:rFonts w:ascii="Verdana" w:hAnsi="Verdana"/>
          <w:b/>
          <w:bCs/>
          <w:sz w:val="20"/>
          <w:szCs w:val="20"/>
        </w:rPr>
        <w:br/>
        <w:t>z sytuacją społeczno-gospodarczą będącą konsekwencją pandemii koronawirusa SARS-Cov-2 wywołującego chorobę COVID-19</w:t>
      </w:r>
    </w:p>
    <w:p w:rsidR="00CA374E" w:rsidRDefault="00CA374E" w:rsidP="00CA374E">
      <w:pPr>
        <w:spacing w:before="60" w:after="60"/>
        <w:ind w:firstLine="567"/>
        <w:jc w:val="both"/>
        <w:rPr>
          <w:rFonts w:ascii="Verdana" w:hAnsi="Verdana"/>
          <w:sz w:val="16"/>
          <w:szCs w:val="16"/>
        </w:rPr>
      </w:pPr>
      <w:r w:rsidRPr="00627BD4">
        <w:rPr>
          <w:rFonts w:ascii="Verdana" w:hAnsi="Verdana"/>
          <w:iCs/>
          <w:sz w:val="16"/>
          <w:szCs w:val="16"/>
        </w:rPr>
        <w:t>Stan epidemii w Polsce, formalnie wprowadzony w Polsce w marcu 2020 r., spowodował gwałtowne osłabienie aktywności gospodarczej w całym kraju, w tym w m.st. Warszaw</w:t>
      </w:r>
      <w:r>
        <w:rPr>
          <w:rFonts w:ascii="Verdana" w:hAnsi="Verdana"/>
          <w:iCs/>
          <w:sz w:val="16"/>
          <w:szCs w:val="16"/>
        </w:rPr>
        <w:t>ie</w:t>
      </w:r>
      <w:r w:rsidRPr="00627BD4">
        <w:rPr>
          <w:rFonts w:ascii="Verdana" w:hAnsi="Verdana"/>
          <w:iCs/>
          <w:sz w:val="16"/>
          <w:szCs w:val="16"/>
        </w:rPr>
        <w:t xml:space="preserve">. </w:t>
      </w:r>
      <w:r>
        <w:rPr>
          <w:rFonts w:ascii="Verdana" w:hAnsi="Verdana"/>
          <w:iCs/>
          <w:sz w:val="16"/>
          <w:szCs w:val="16"/>
        </w:rPr>
        <w:t xml:space="preserve">Z </w:t>
      </w:r>
      <w:r w:rsidRPr="00627BD4">
        <w:rPr>
          <w:rFonts w:ascii="Verdana" w:hAnsi="Verdana"/>
          <w:iCs/>
          <w:sz w:val="16"/>
          <w:szCs w:val="16"/>
        </w:rPr>
        <w:t xml:space="preserve">początkiem drugiego kwartału 2020 r. </w:t>
      </w:r>
      <w:r>
        <w:rPr>
          <w:rFonts w:ascii="Verdana" w:hAnsi="Verdana"/>
          <w:iCs/>
          <w:sz w:val="16"/>
          <w:szCs w:val="16"/>
        </w:rPr>
        <w:t>nastąpiło</w:t>
      </w:r>
      <w:r w:rsidRPr="00627BD4">
        <w:rPr>
          <w:rFonts w:ascii="Verdana" w:hAnsi="Verdana"/>
          <w:iCs/>
          <w:sz w:val="16"/>
          <w:szCs w:val="16"/>
        </w:rPr>
        <w:t xml:space="preserve"> pogorszenie sytuacji dochodowej podatników, co </w:t>
      </w:r>
      <w:r>
        <w:rPr>
          <w:rFonts w:ascii="Verdana" w:hAnsi="Verdana"/>
          <w:iCs/>
          <w:sz w:val="16"/>
          <w:szCs w:val="16"/>
        </w:rPr>
        <w:t>przełożyło</w:t>
      </w:r>
      <w:r w:rsidRPr="00627BD4">
        <w:rPr>
          <w:rFonts w:ascii="Verdana" w:hAnsi="Verdana"/>
          <w:iCs/>
          <w:sz w:val="16"/>
          <w:szCs w:val="16"/>
        </w:rPr>
        <w:t xml:space="preserve"> się na spadek Produktu Krajowego</w:t>
      </w:r>
      <w:r>
        <w:rPr>
          <w:rFonts w:ascii="Verdana" w:hAnsi="Verdana"/>
          <w:iCs/>
          <w:sz w:val="16"/>
          <w:szCs w:val="16"/>
        </w:rPr>
        <w:t xml:space="preserve"> </w:t>
      </w:r>
      <w:r w:rsidRPr="00627BD4">
        <w:rPr>
          <w:rFonts w:ascii="Verdana" w:hAnsi="Verdana"/>
          <w:iCs/>
          <w:sz w:val="16"/>
          <w:szCs w:val="16"/>
        </w:rPr>
        <w:t>Brutto w skali kraju, a w rezultacie na ubytek dochodów budżetowych m.st. Warszawy.</w:t>
      </w:r>
      <w:r>
        <w:rPr>
          <w:rFonts w:ascii="Verdana" w:hAnsi="Verdana"/>
          <w:iCs/>
          <w:sz w:val="16"/>
          <w:szCs w:val="16"/>
        </w:rPr>
        <w:t xml:space="preserve"> </w:t>
      </w:r>
      <w:r w:rsidRPr="00596901">
        <w:rPr>
          <w:rFonts w:ascii="Verdana" w:hAnsi="Verdana"/>
          <w:b/>
          <w:iCs/>
          <w:sz w:val="16"/>
          <w:szCs w:val="16"/>
        </w:rPr>
        <w:t xml:space="preserve">Z podsumowania wyników budżetowych m.st. Warszawy za 2020 r. przedstawionego w rocznym sprawozdaniu </w:t>
      </w:r>
      <w:r>
        <w:rPr>
          <w:rFonts w:ascii="Verdana" w:hAnsi="Verdana"/>
          <w:b/>
          <w:iCs/>
          <w:sz w:val="16"/>
          <w:szCs w:val="16"/>
        </w:rPr>
        <w:br/>
      </w:r>
      <w:r w:rsidRPr="00596901">
        <w:rPr>
          <w:rFonts w:ascii="Verdana" w:hAnsi="Verdana"/>
          <w:b/>
          <w:iCs/>
          <w:sz w:val="16"/>
          <w:szCs w:val="16"/>
        </w:rPr>
        <w:t xml:space="preserve">z wykonania budżetu </w:t>
      </w:r>
      <w:r>
        <w:rPr>
          <w:rFonts w:ascii="Verdana" w:hAnsi="Verdana"/>
          <w:b/>
          <w:iCs/>
          <w:sz w:val="16"/>
          <w:szCs w:val="16"/>
        </w:rPr>
        <w:t>wynika, że</w:t>
      </w:r>
      <w:r>
        <w:rPr>
          <w:rFonts w:ascii="Verdana" w:hAnsi="Verdana"/>
          <w:iCs/>
          <w:sz w:val="16"/>
          <w:szCs w:val="16"/>
        </w:rPr>
        <w:t xml:space="preserve"> </w:t>
      </w:r>
      <w:r>
        <w:rPr>
          <w:rFonts w:ascii="Verdana" w:hAnsi="Verdana"/>
          <w:b/>
          <w:sz w:val="16"/>
          <w:szCs w:val="16"/>
        </w:rPr>
        <w:t>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1,16</w:t>
      </w:r>
      <w:r w:rsidRPr="00F722AB">
        <w:rPr>
          <w:rFonts w:ascii="Verdana" w:hAnsi="Verdana"/>
          <w:b/>
          <w:sz w:val="16"/>
          <w:szCs w:val="16"/>
        </w:rPr>
        <w:t>2 mld zł. Jednocześnie na działania związane z COVID-19 uzyskano dochody w łącznej kwocie 144,4 mln zł</w:t>
      </w:r>
      <w:r>
        <w:rPr>
          <w:rFonts w:ascii="Verdana" w:hAnsi="Verdana"/>
          <w:sz w:val="16"/>
          <w:szCs w:val="16"/>
        </w:rPr>
        <w:t xml:space="preserve">, w tym 93,5 mln zł z Rządowego Funduszu Inwestycji Lokalnych. Zgodnie z informacjami przekazanymi przez dysponentów budżetowych w ramach wdrożonego </w:t>
      </w:r>
      <w:r>
        <w:rPr>
          <w:rFonts w:ascii="Verdana" w:hAnsi="Verdana"/>
          <w:sz w:val="16"/>
          <w:szCs w:val="16"/>
        </w:rPr>
        <w:br/>
        <w:t xml:space="preserve">w m.st. Warszawie nowego systemu sprawozdawczego dotyczącego skutków finansowych będących konsekwencją pandemii COVID-19, </w:t>
      </w:r>
      <w:r w:rsidRPr="009A49BF">
        <w:rPr>
          <w:rFonts w:ascii="Verdana" w:hAnsi="Verdana"/>
          <w:b/>
          <w:sz w:val="16"/>
          <w:szCs w:val="16"/>
        </w:rPr>
        <w:t xml:space="preserve">w ramach wydatków poniesionych w 2020 r. na działania związane </w:t>
      </w:r>
      <w:r>
        <w:rPr>
          <w:rFonts w:ascii="Verdana" w:hAnsi="Verdana"/>
          <w:b/>
          <w:sz w:val="16"/>
          <w:szCs w:val="16"/>
        </w:rPr>
        <w:br/>
      </w:r>
      <w:r w:rsidRPr="009A49BF">
        <w:rPr>
          <w:rFonts w:ascii="Verdana" w:hAnsi="Verdana"/>
          <w:b/>
          <w:sz w:val="16"/>
          <w:szCs w:val="16"/>
        </w:rPr>
        <w:t>z przeciwdziałaniem i usuwaniem skutków</w:t>
      </w:r>
      <w:r>
        <w:rPr>
          <w:rFonts w:ascii="Verdana" w:hAnsi="Verdana"/>
          <w:b/>
          <w:sz w:val="16"/>
          <w:szCs w:val="16"/>
        </w:rPr>
        <w:t xml:space="preserve"> COVID-19 wydatkowano kwotę 144,9</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br/>
        <w:t>w 2020 r. zamknął się kwotą 1,162</w:t>
      </w:r>
      <w:r w:rsidRPr="00F722AB">
        <w:rPr>
          <w:rFonts w:ascii="Verdana" w:hAnsi="Verdana"/>
          <w:b/>
          <w:sz w:val="16"/>
          <w:szCs w:val="16"/>
        </w:rPr>
        <w:t xml:space="preserve"> mld zł</w:t>
      </w:r>
      <w:r>
        <w:rPr>
          <w:rFonts w:ascii="Verdana" w:hAnsi="Verdana"/>
          <w:sz w:val="16"/>
          <w:szCs w:val="16"/>
        </w:rPr>
        <w:t>.</w:t>
      </w:r>
    </w:p>
    <w:p w:rsidR="00CA374E" w:rsidRDefault="00CA374E" w:rsidP="00CA374E">
      <w:pPr>
        <w:tabs>
          <w:tab w:val="left" w:pos="360"/>
        </w:tabs>
        <w:spacing w:before="60" w:after="60"/>
        <w:jc w:val="both"/>
        <w:rPr>
          <w:rFonts w:ascii="Verdana" w:hAnsi="Verdana"/>
          <w:sz w:val="16"/>
          <w:szCs w:val="16"/>
        </w:rPr>
      </w:pPr>
      <w:r>
        <w:rPr>
          <w:rFonts w:ascii="Verdana" w:hAnsi="Verdana"/>
          <w:b/>
          <w:sz w:val="16"/>
          <w:szCs w:val="16"/>
        </w:rPr>
        <w:t>W odniesieniu do 2021 r. sprawozdanie budżetowe za ten rok podaje, iż ustawowo obliczony u</w:t>
      </w:r>
      <w:r w:rsidRPr="00F722AB">
        <w:rPr>
          <w:rFonts w:ascii="Verdana" w:hAnsi="Verdana"/>
          <w:b/>
          <w:sz w:val="16"/>
          <w:szCs w:val="16"/>
        </w:rPr>
        <w:t>bytek dochodów m.st. Warszawy w związku z sytuacją społeczno-gospodarczą wy</w:t>
      </w:r>
      <w:r>
        <w:rPr>
          <w:rFonts w:ascii="Verdana" w:hAnsi="Verdana"/>
          <w:b/>
          <w:sz w:val="16"/>
          <w:szCs w:val="16"/>
        </w:rPr>
        <w:t>wołaną epidemią wyniósł 622,8 mln</w:t>
      </w:r>
      <w:r w:rsidRPr="00F722AB">
        <w:rPr>
          <w:rFonts w:ascii="Verdana" w:hAnsi="Verdana"/>
          <w:b/>
          <w:sz w:val="16"/>
          <w:szCs w:val="16"/>
        </w:rPr>
        <w:t xml:space="preserve"> zł. Jednocześnie na działania związane z COVID-19 uzyskano dochody </w:t>
      </w:r>
      <w:r>
        <w:rPr>
          <w:rFonts w:ascii="Verdana" w:hAnsi="Verdana"/>
          <w:b/>
          <w:sz w:val="16"/>
          <w:szCs w:val="16"/>
        </w:rPr>
        <w:br/>
      </w:r>
      <w:r w:rsidRPr="00F722AB">
        <w:rPr>
          <w:rFonts w:ascii="Verdana" w:hAnsi="Verdana"/>
          <w:b/>
          <w:sz w:val="16"/>
          <w:szCs w:val="16"/>
        </w:rPr>
        <w:t xml:space="preserve">w łącznej kwocie </w:t>
      </w:r>
      <w:r>
        <w:rPr>
          <w:rFonts w:ascii="Verdana" w:hAnsi="Verdana"/>
          <w:b/>
          <w:sz w:val="16"/>
          <w:szCs w:val="16"/>
        </w:rPr>
        <w:t>51,0</w:t>
      </w:r>
      <w:r w:rsidRPr="00F722AB">
        <w:rPr>
          <w:rFonts w:ascii="Verdana" w:hAnsi="Verdana"/>
          <w:b/>
          <w:sz w:val="16"/>
          <w:szCs w:val="16"/>
        </w:rPr>
        <w:t xml:space="preserve"> mln zł</w:t>
      </w:r>
      <w:r>
        <w:rPr>
          <w:rFonts w:ascii="Verdana" w:hAnsi="Verdana"/>
          <w:sz w:val="16"/>
          <w:szCs w:val="16"/>
        </w:rPr>
        <w:t xml:space="preserve">. Zgodnie z informacjami przekazanymi przez dysponentów budżetowych </w:t>
      </w:r>
      <w:r>
        <w:rPr>
          <w:rFonts w:ascii="Verdana" w:hAnsi="Verdana"/>
          <w:sz w:val="16"/>
          <w:szCs w:val="16"/>
        </w:rPr>
        <w:br/>
        <w:t xml:space="preserve">w ramach wdrożonego w m.st. Warszawie dedykowanego systemu sprawozdawczego dotyczącego skutków finansowych będących konsekwencją pandemii COVID-19, </w:t>
      </w:r>
      <w:r w:rsidRPr="009A49BF">
        <w:rPr>
          <w:rFonts w:ascii="Verdana" w:hAnsi="Verdana"/>
          <w:b/>
          <w:sz w:val="16"/>
          <w:szCs w:val="16"/>
        </w:rPr>
        <w:t>w ram</w:t>
      </w:r>
      <w:r>
        <w:rPr>
          <w:rFonts w:ascii="Verdana" w:hAnsi="Verdana"/>
          <w:b/>
          <w:sz w:val="16"/>
          <w:szCs w:val="16"/>
        </w:rPr>
        <w:t>ach wydatków poniesionych w 2021</w:t>
      </w:r>
      <w:r w:rsidRPr="009A49BF">
        <w:rPr>
          <w:rFonts w:ascii="Verdana" w:hAnsi="Verdana"/>
          <w:b/>
          <w:sz w:val="16"/>
          <w:szCs w:val="16"/>
        </w:rPr>
        <w:t xml:space="preserve"> r. na działania związane z przeciwdziałaniem i usuwaniem skutków</w:t>
      </w:r>
      <w:r>
        <w:rPr>
          <w:rFonts w:ascii="Verdana" w:hAnsi="Verdana"/>
          <w:b/>
          <w:sz w:val="16"/>
          <w:szCs w:val="16"/>
        </w:rPr>
        <w:t xml:space="preserve"> COVID-19 wydatkowano kwotę </w:t>
      </w:r>
      <w:r>
        <w:rPr>
          <w:rFonts w:ascii="Verdana" w:hAnsi="Verdana"/>
          <w:b/>
          <w:sz w:val="16"/>
          <w:szCs w:val="16"/>
        </w:rPr>
        <w:br/>
        <w:t>108,0</w:t>
      </w:r>
      <w:r w:rsidRPr="009A49BF">
        <w:rPr>
          <w:rFonts w:ascii="Verdana" w:hAnsi="Verdana"/>
          <w:b/>
          <w:sz w:val="16"/>
          <w:szCs w:val="16"/>
        </w:rPr>
        <w:t xml:space="preserve"> mln zł</w:t>
      </w:r>
      <w:r>
        <w:rPr>
          <w:rFonts w:ascii="Verdana" w:hAnsi="Verdana"/>
          <w:sz w:val="16"/>
          <w:szCs w:val="16"/>
        </w:rPr>
        <w:t xml:space="preserve">. Z zestawienia powyższych kwot wynika, że w ujęciu netto </w:t>
      </w:r>
      <w:r w:rsidRPr="00F722AB">
        <w:rPr>
          <w:rFonts w:ascii="Verdana" w:hAnsi="Verdana"/>
          <w:b/>
          <w:sz w:val="16"/>
          <w:szCs w:val="16"/>
        </w:rPr>
        <w:t xml:space="preserve">negatywny wpływ COVID-19 na budżet m.st. Warszawy </w:t>
      </w:r>
      <w:r>
        <w:rPr>
          <w:rFonts w:ascii="Verdana" w:hAnsi="Verdana"/>
          <w:b/>
          <w:sz w:val="16"/>
          <w:szCs w:val="16"/>
        </w:rPr>
        <w:t>w 2021 r. wyniósł 679,8</w:t>
      </w:r>
      <w:r w:rsidRPr="00F722AB">
        <w:rPr>
          <w:rFonts w:ascii="Verdana" w:hAnsi="Verdana"/>
          <w:b/>
          <w:sz w:val="16"/>
          <w:szCs w:val="16"/>
        </w:rPr>
        <w:t xml:space="preserve"> </w:t>
      </w:r>
      <w:r>
        <w:rPr>
          <w:rFonts w:ascii="Verdana" w:hAnsi="Verdana"/>
          <w:b/>
          <w:sz w:val="16"/>
          <w:szCs w:val="16"/>
        </w:rPr>
        <w:t xml:space="preserve">mln </w:t>
      </w:r>
      <w:r w:rsidRPr="00F722AB">
        <w:rPr>
          <w:rFonts w:ascii="Verdana" w:hAnsi="Verdana"/>
          <w:b/>
          <w:sz w:val="16"/>
          <w:szCs w:val="16"/>
        </w:rPr>
        <w:t>zł</w:t>
      </w:r>
      <w:r>
        <w:rPr>
          <w:rFonts w:ascii="Verdana" w:hAnsi="Verdana"/>
          <w:sz w:val="16"/>
          <w:szCs w:val="16"/>
        </w:rPr>
        <w:t>.</w:t>
      </w:r>
    </w:p>
    <w:p w:rsidR="00CA374E" w:rsidRDefault="00CA374E" w:rsidP="00CA374E">
      <w:pPr>
        <w:spacing w:before="60" w:after="60"/>
        <w:jc w:val="both"/>
        <w:rPr>
          <w:rFonts w:ascii="Verdana" w:hAnsi="Verdana"/>
          <w:sz w:val="16"/>
          <w:szCs w:val="16"/>
        </w:rPr>
      </w:pPr>
      <w:r>
        <w:rPr>
          <w:rFonts w:ascii="Verdana" w:hAnsi="Verdana"/>
          <w:b/>
          <w:sz w:val="16"/>
          <w:szCs w:val="16"/>
        </w:rPr>
        <w:t xml:space="preserve">Natomiast zgodnie ze sprawozdaniem budżetowym za 2022 r. </w:t>
      </w:r>
      <w:r w:rsidRPr="00A46850">
        <w:rPr>
          <w:rFonts w:ascii="Verdana" w:hAnsi="Verdana"/>
          <w:b/>
          <w:sz w:val="16"/>
          <w:szCs w:val="16"/>
        </w:rPr>
        <w:t xml:space="preserve">w ramach poniesionych wydatków </w:t>
      </w:r>
      <w:r w:rsidRPr="0062171D">
        <w:rPr>
          <w:rFonts w:ascii="Verdana" w:hAnsi="Verdana"/>
          <w:b/>
          <w:sz w:val="16"/>
          <w:szCs w:val="16"/>
        </w:rPr>
        <w:t xml:space="preserve">na działania związane z </w:t>
      </w:r>
      <w:r>
        <w:rPr>
          <w:rFonts w:ascii="Verdana" w:hAnsi="Verdana"/>
          <w:b/>
          <w:sz w:val="16"/>
          <w:szCs w:val="16"/>
        </w:rPr>
        <w:t>realizacją zadań finansowanych z Funduszu Przeciwdziałania COVID-19 oraz innych zadań związanych z COVID-19 wydatkowano kwotę 28,7</w:t>
      </w:r>
      <w:r w:rsidRPr="0062171D">
        <w:rPr>
          <w:rFonts w:ascii="Verdana" w:hAnsi="Verdana"/>
          <w:b/>
          <w:sz w:val="16"/>
          <w:szCs w:val="16"/>
        </w:rPr>
        <w:t xml:space="preserve"> mln zł</w:t>
      </w:r>
      <w:r w:rsidRPr="00A46850">
        <w:rPr>
          <w:rFonts w:ascii="Verdana" w:hAnsi="Verdana"/>
          <w:sz w:val="16"/>
          <w:szCs w:val="16"/>
        </w:rPr>
        <w:t xml:space="preserve">. </w:t>
      </w:r>
      <w:r w:rsidRPr="00A46850">
        <w:rPr>
          <w:rFonts w:ascii="Verdana" w:hAnsi="Verdana"/>
          <w:b/>
          <w:sz w:val="16"/>
          <w:szCs w:val="16"/>
        </w:rPr>
        <w:t xml:space="preserve">Jednocześnie </w:t>
      </w:r>
      <w:r w:rsidRPr="00580D6B">
        <w:rPr>
          <w:rFonts w:ascii="Verdana" w:hAnsi="Verdana" w:cs="Arial"/>
          <w:b/>
          <w:sz w:val="16"/>
          <w:szCs w:val="16"/>
        </w:rPr>
        <w:t xml:space="preserve">na realizację zadań finansowanych ze środków Funduszu Przeciwdziałania COVID-19 oraz zadań związanych </w:t>
      </w:r>
      <w:r>
        <w:rPr>
          <w:rFonts w:ascii="Verdana" w:hAnsi="Verdana" w:cs="Arial"/>
          <w:b/>
          <w:sz w:val="16"/>
          <w:szCs w:val="16"/>
        </w:rPr>
        <w:br/>
      </w:r>
      <w:r w:rsidRPr="00580D6B">
        <w:rPr>
          <w:rFonts w:ascii="Verdana" w:hAnsi="Verdana" w:cs="Arial"/>
          <w:b/>
          <w:sz w:val="16"/>
          <w:szCs w:val="16"/>
        </w:rPr>
        <w:t xml:space="preserve">z COVID-19 finansowanych z innych źródeł </w:t>
      </w:r>
      <w:r>
        <w:rPr>
          <w:rFonts w:ascii="Verdana" w:hAnsi="Verdana" w:cs="Arial"/>
          <w:b/>
          <w:sz w:val="16"/>
          <w:szCs w:val="16"/>
        </w:rPr>
        <w:t>m.st. Warszawa otrzymało</w:t>
      </w:r>
      <w:r w:rsidRPr="00580D6B">
        <w:rPr>
          <w:rFonts w:ascii="Verdana" w:hAnsi="Verdana" w:cs="Arial"/>
          <w:b/>
          <w:sz w:val="16"/>
          <w:szCs w:val="16"/>
        </w:rPr>
        <w:t xml:space="preserve"> środki zewnętrzne w łącznej kwocie 30,4 mln zł</w:t>
      </w:r>
      <w:r w:rsidRPr="00A46850">
        <w:rPr>
          <w:rFonts w:ascii="Verdana" w:hAnsi="Verdana"/>
          <w:sz w:val="16"/>
          <w:szCs w:val="16"/>
        </w:rPr>
        <w:t>.</w:t>
      </w:r>
    </w:p>
    <w:p w:rsidR="00CA374E" w:rsidRPr="00900672" w:rsidRDefault="00CA374E" w:rsidP="00CA374E">
      <w:pPr>
        <w:tabs>
          <w:tab w:val="left" w:pos="360"/>
        </w:tabs>
        <w:spacing w:before="120" w:after="120"/>
        <w:jc w:val="both"/>
        <w:rPr>
          <w:rFonts w:ascii="Verdana" w:hAnsi="Verdana"/>
          <w:b/>
          <w:sz w:val="16"/>
          <w:szCs w:val="16"/>
        </w:rPr>
      </w:pPr>
      <w:r>
        <w:rPr>
          <w:rFonts w:ascii="Verdana" w:hAnsi="Verdana"/>
          <w:b/>
          <w:sz w:val="16"/>
          <w:szCs w:val="16"/>
        </w:rPr>
        <w:lastRenderedPageBreak/>
        <w:t xml:space="preserve">Środki z Funduszu Przeciwdziałania COVID-19 nie wykorzystane w 2022 r. zostały uwzględnione </w:t>
      </w:r>
      <w:r>
        <w:rPr>
          <w:rFonts w:ascii="Verdana" w:hAnsi="Verdana"/>
          <w:b/>
          <w:sz w:val="16"/>
          <w:szCs w:val="16"/>
        </w:rPr>
        <w:br/>
        <w:t xml:space="preserve">w uchwale </w:t>
      </w:r>
      <w:r w:rsidRPr="00900672">
        <w:rPr>
          <w:rFonts w:ascii="Verdana" w:hAnsi="Verdana" w:cs="Arial"/>
          <w:b/>
          <w:iCs/>
          <w:sz w:val="16"/>
          <w:szCs w:val="16"/>
        </w:rPr>
        <w:t xml:space="preserve">nr LXXIX/2554/2023 Rady m.st. Warszawy z 9 marca 2023 r. w sprawie zmian </w:t>
      </w:r>
      <w:r>
        <w:rPr>
          <w:rFonts w:ascii="Verdana" w:hAnsi="Verdana" w:cs="Arial"/>
          <w:b/>
          <w:iCs/>
          <w:sz w:val="16"/>
          <w:szCs w:val="16"/>
        </w:rPr>
        <w:br/>
      </w:r>
      <w:r w:rsidRPr="00900672">
        <w:rPr>
          <w:rFonts w:ascii="Verdana" w:hAnsi="Verdana" w:cs="Arial"/>
          <w:b/>
          <w:iCs/>
          <w:sz w:val="16"/>
          <w:szCs w:val="16"/>
        </w:rPr>
        <w:t>w budżecie m.st. Warszawy na 2023 rok z przeznaczeniem na finansowanie zadań w 2023 r.</w:t>
      </w:r>
    </w:p>
    <w:p w:rsidR="00CA374E" w:rsidRPr="00E41F06" w:rsidRDefault="00CA374E" w:rsidP="00CA374E">
      <w:pPr>
        <w:spacing w:before="60" w:after="60"/>
        <w:jc w:val="both"/>
        <w:rPr>
          <w:rFonts w:ascii="Verdana" w:hAnsi="Verdana"/>
          <w:iCs/>
          <w:sz w:val="16"/>
          <w:szCs w:val="16"/>
        </w:rPr>
      </w:pPr>
      <w:r w:rsidRPr="00A46850">
        <w:rPr>
          <w:rFonts w:ascii="Verdana" w:hAnsi="Verdana"/>
          <w:b/>
          <w:sz w:val="16"/>
          <w:szCs w:val="16"/>
        </w:rPr>
        <w:t>Łącznie w latach 2020-2022</w:t>
      </w:r>
      <w:r w:rsidRPr="00A46850">
        <w:rPr>
          <w:rFonts w:ascii="Verdana" w:hAnsi="Verdana"/>
          <w:sz w:val="16"/>
          <w:szCs w:val="16"/>
        </w:rPr>
        <w:t xml:space="preserve"> </w:t>
      </w:r>
      <w:r w:rsidRPr="00A46850">
        <w:rPr>
          <w:rFonts w:ascii="Verdana" w:hAnsi="Verdana"/>
          <w:b/>
          <w:sz w:val="16"/>
          <w:szCs w:val="16"/>
        </w:rPr>
        <w:t xml:space="preserve">negatywny wpływ COVID-19 na budżet m.st. Warszawy wyniósł </w:t>
      </w:r>
      <w:r>
        <w:rPr>
          <w:rFonts w:ascii="Verdana" w:hAnsi="Verdana"/>
          <w:b/>
          <w:sz w:val="16"/>
          <w:szCs w:val="16"/>
        </w:rPr>
        <w:br/>
        <w:t>1,840 mld zł, z tego w 2020 r.: -1,162 mld zł; w 2021 r.:</w:t>
      </w:r>
      <w:r w:rsidRPr="00A46850">
        <w:rPr>
          <w:rFonts w:ascii="Verdana" w:hAnsi="Verdana"/>
          <w:b/>
          <w:sz w:val="16"/>
          <w:szCs w:val="16"/>
        </w:rPr>
        <w:t xml:space="preserve"> </w:t>
      </w:r>
      <w:r>
        <w:rPr>
          <w:rFonts w:ascii="Verdana" w:hAnsi="Verdana"/>
          <w:b/>
          <w:sz w:val="16"/>
          <w:szCs w:val="16"/>
        </w:rPr>
        <w:t>-</w:t>
      </w:r>
      <w:r w:rsidRPr="00A46850">
        <w:rPr>
          <w:rFonts w:ascii="Verdana" w:hAnsi="Verdana"/>
          <w:b/>
          <w:sz w:val="16"/>
          <w:szCs w:val="16"/>
        </w:rPr>
        <w:t>679,8 mln zł</w:t>
      </w:r>
      <w:r w:rsidRPr="009A039E">
        <w:rPr>
          <w:rFonts w:ascii="Verdana" w:hAnsi="Verdana"/>
          <w:b/>
          <w:sz w:val="16"/>
          <w:szCs w:val="16"/>
        </w:rPr>
        <w:t>; w 2022 r.:+1,7 mln zł.</w:t>
      </w:r>
    </w:p>
    <w:p w:rsidR="00CA374E" w:rsidRPr="000A6485" w:rsidRDefault="00CA374E" w:rsidP="00CA374E">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3</w:t>
      </w:r>
      <w:r w:rsidRPr="000A6485">
        <w:rPr>
          <w:rFonts w:ascii="Verdana" w:hAnsi="Verdana"/>
          <w:b/>
          <w:bCs/>
          <w:sz w:val="20"/>
          <w:szCs w:val="20"/>
        </w:rPr>
        <w:t xml:space="preserve"> Program przeciwdziałania narastaniu deficytu operacyjnego poprzez racjonalizację wydatków bieżących</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Realizacja celów polityki budżetowej Miasta, w tym m.in. generowanie nadwyżki operacyjnej, wymaga </w:t>
      </w:r>
      <w:r w:rsidRPr="000A6485">
        <w:rPr>
          <w:rFonts w:ascii="Verdana" w:hAnsi="Verdana"/>
          <w:b/>
          <w:sz w:val="16"/>
          <w:szCs w:val="16"/>
        </w:rPr>
        <w:t>stałego monitorowania</w:t>
      </w:r>
      <w:r w:rsidRPr="000A6485">
        <w:rPr>
          <w:rFonts w:ascii="Verdana" w:hAnsi="Verdana"/>
          <w:b/>
          <w:bCs/>
          <w:sz w:val="16"/>
          <w:szCs w:val="16"/>
        </w:rPr>
        <w:t xml:space="preserve"> wydatków bieżących</w:t>
      </w:r>
      <w:r w:rsidRPr="000A6485">
        <w:rPr>
          <w:rFonts w:ascii="Verdana" w:hAnsi="Verdana"/>
          <w:sz w:val="16"/>
          <w:szCs w:val="16"/>
        </w:rPr>
        <w:t xml:space="preserve">. Zakłada się kontynuację działań efektywnościowych </w:t>
      </w:r>
      <w:r w:rsidRPr="000A6485">
        <w:rPr>
          <w:rFonts w:ascii="Verdana" w:hAnsi="Verdana"/>
          <w:sz w:val="16"/>
          <w:szCs w:val="16"/>
        </w:rPr>
        <w:br/>
        <w:t>w obszarach, na które Miasto ma wpływ.</w:t>
      </w:r>
    </w:p>
    <w:p w:rsidR="00CA374E" w:rsidRPr="000A6485" w:rsidRDefault="00CA374E" w:rsidP="00CA374E">
      <w:pPr>
        <w:autoSpaceDE w:val="0"/>
        <w:autoSpaceDN w:val="0"/>
        <w:adjustRightInd w:val="0"/>
        <w:spacing w:before="60" w:after="60"/>
        <w:jc w:val="both"/>
        <w:rPr>
          <w:rFonts w:ascii="Verdana" w:hAnsi="Verdana" w:cs="Verdana"/>
          <w:sz w:val="16"/>
          <w:szCs w:val="16"/>
        </w:rPr>
      </w:pPr>
      <w:r w:rsidRPr="00D44050">
        <w:rPr>
          <w:rFonts w:ascii="Verdana" w:hAnsi="Verdana" w:cs="Verdana"/>
          <w:sz w:val="16"/>
          <w:szCs w:val="16"/>
        </w:rPr>
        <w:t>W dalszym ciągu podejmowane</w:t>
      </w:r>
      <w:r w:rsidRPr="000A6485">
        <w:rPr>
          <w:rFonts w:ascii="Verdana" w:hAnsi="Verdana" w:cs="Verdana"/>
          <w:sz w:val="16"/>
          <w:szCs w:val="16"/>
        </w:rPr>
        <w:t xml:space="preserve"> będą inicjatywy sprzyjające efektywności zarządzania i wydatkowania środków publicznych oraz przejrzystości finansów Miasta z wykorzystaniem nowoczesnych narzędzi zarządzania, </w:t>
      </w:r>
      <w:r>
        <w:rPr>
          <w:rFonts w:ascii="Verdana" w:hAnsi="Verdana" w:cs="Verdana"/>
          <w:sz w:val="16"/>
          <w:szCs w:val="16"/>
        </w:rPr>
        <w:br/>
      </w:r>
      <w:r w:rsidRPr="000A6485">
        <w:rPr>
          <w:rFonts w:ascii="Verdana" w:hAnsi="Verdana" w:cs="Verdana"/>
          <w:sz w:val="16"/>
          <w:szCs w:val="16"/>
        </w:rPr>
        <w:t xml:space="preserve">tj. budżetowania zadaniowego, wzmocnienia kontroli zarządczej i audytu wewnętrznego, z wykorzystaniem mierników oceny efektów działalności stanowiących zobiektywizowane narzędzia pomiaru stopnia realizacji celów zadań, pozwalających na lepsze porównanie uzyskanych wyników w czasie, jak też dokonanie porównań między jednostkami organizacyjnymi Miasta. Ważnym instrumentem w aspekcie kreowania i realizacji polityki rozwoju Miasta pozostanie Wieloletnia Prognoza Finansowa jako podstawa formalno-prawna i ekonomiczno-finansowa </w:t>
      </w:r>
      <w:r w:rsidRPr="000A6485">
        <w:rPr>
          <w:rFonts w:ascii="Verdana" w:hAnsi="Verdana" w:cs="Verdana"/>
          <w:sz w:val="16"/>
          <w:szCs w:val="16"/>
        </w:rPr>
        <w:br/>
        <w:t>do zaciągania zobowiązań długoterminowych.</w:t>
      </w:r>
    </w:p>
    <w:p w:rsidR="00CA374E" w:rsidRPr="000A6485" w:rsidRDefault="00CA374E" w:rsidP="00CA374E">
      <w:pPr>
        <w:autoSpaceDE w:val="0"/>
        <w:autoSpaceDN w:val="0"/>
        <w:adjustRightInd w:val="0"/>
        <w:spacing w:before="60" w:after="60"/>
        <w:jc w:val="both"/>
        <w:rPr>
          <w:rFonts w:ascii="Verdana" w:hAnsi="Verdana" w:cs="Verdana"/>
          <w:sz w:val="16"/>
          <w:szCs w:val="16"/>
        </w:rPr>
      </w:pPr>
      <w:r w:rsidRPr="000A6485">
        <w:rPr>
          <w:rFonts w:ascii="Verdana" w:hAnsi="Verdana" w:cs="Verdana"/>
          <w:sz w:val="16"/>
          <w:szCs w:val="16"/>
        </w:rPr>
        <w:t>Kontynuowane będą działania oszczędnościowe i racjonalizujące wydatki bieżące z wykorzystaniem efektu skali, takie jak: wspólne zakupy materiałów biurowych, wspólne ubezpieczenie mienia Warszawy, jak też działanie Warszawskiej Grupy Zakupowej dotyczące zakupu energii elektrycznej na potrzeby jednostek organizacyjnych Miasta oraz podmiotów, dla których Miasto pełni funkcję właściciela oraz organizatora, tj. szkół, przedszkoli, bibliotek, ośrodków pomocy społecznej i innych.</w:t>
      </w:r>
    </w:p>
    <w:p w:rsidR="00CA374E" w:rsidRDefault="00CA374E" w:rsidP="00CA374E">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Konieczność generowania nadwyżek operacyjnych stanowić będzie wyzwanie dla budżetu </w:t>
      </w:r>
      <w:r w:rsidRPr="000A6485">
        <w:rPr>
          <w:rFonts w:ascii="Verdana" w:hAnsi="Verdana" w:cs="Verdana"/>
          <w:sz w:val="16"/>
          <w:szCs w:val="16"/>
        </w:rPr>
        <w:br/>
        <w:t>m.st. Warszawy w kontekście relatywnie wysokiego udziału w ramach wydatków bieżących wydatków obligatoryjnych określonych ustawami oraz zawartymi umowami. Pełne finansowanie muszą mieć zapewnione m.in. takie wydatki, jak: wpłata do budżetu państwa na subwencję równoważącą, tj. tzw. Janosikowe, koszty zakupu usług komunikacji miejskiej, uposażenia nauczycieli, koszty obsługi długu, środki na potencjalne spłaty udzielonych przez Miasto poręczeń i gwarancji.</w:t>
      </w:r>
    </w:p>
    <w:p w:rsidR="00CA374E" w:rsidRDefault="00CA374E" w:rsidP="00CA374E">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4</w:t>
      </w:r>
      <w:r w:rsidRPr="000A6485">
        <w:rPr>
          <w:rFonts w:ascii="Verdana" w:hAnsi="Verdana"/>
          <w:b/>
          <w:bCs/>
          <w:sz w:val="20"/>
          <w:szCs w:val="20"/>
        </w:rPr>
        <w:t xml:space="preserve"> Program redukcji deficytu budżetowego</w:t>
      </w:r>
    </w:p>
    <w:p w:rsidR="00CA374E" w:rsidRPr="00B25A78" w:rsidRDefault="00CA374E" w:rsidP="00CA374E">
      <w:pPr>
        <w:spacing w:before="60" w:after="60"/>
        <w:ind w:firstLine="567"/>
        <w:jc w:val="both"/>
        <w:rPr>
          <w:rFonts w:ascii="Verdana" w:hAnsi="Verdana"/>
          <w:b/>
          <w:bCs/>
          <w:sz w:val="20"/>
          <w:szCs w:val="20"/>
        </w:rPr>
      </w:pPr>
      <w:r w:rsidRPr="000A6485">
        <w:rPr>
          <w:rFonts w:ascii="Verdana" w:hAnsi="Verdana" w:cs="Verdana"/>
          <w:sz w:val="16"/>
          <w:szCs w:val="16"/>
        </w:rPr>
        <w:t xml:space="preserve">Długofalowym kierunkiem polityki budżetowej będzie </w:t>
      </w:r>
      <w:r w:rsidRPr="000A6485">
        <w:rPr>
          <w:rFonts w:ascii="Verdana" w:hAnsi="Verdana" w:cs="Verdana"/>
          <w:b/>
          <w:sz w:val="16"/>
          <w:szCs w:val="16"/>
        </w:rPr>
        <w:t>stopniowe ograniczanie deficytu budżetowego</w:t>
      </w:r>
      <w:r w:rsidRPr="000A6485">
        <w:rPr>
          <w:rFonts w:ascii="Verdana" w:hAnsi="Verdana" w:cs="Verdana"/>
          <w:sz w:val="16"/>
          <w:szCs w:val="16"/>
        </w:rPr>
        <w:t xml:space="preserve"> z realizacją rozłożoną w czasie, tzn. w tempie i zakresie umożliwiającym maksymalne wykorzystanie środków </w:t>
      </w:r>
      <w:r>
        <w:rPr>
          <w:rFonts w:ascii="Verdana" w:hAnsi="Verdana" w:cs="Verdana"/>
          <w:sz w:val="16"/>
          <w:szCs w:val="16"/>
        </w:rPr>
        <w:br/>
      </w:r>
      <w:r w:rsidRPr="000A6485">
        <w:rPr>
          <w:rFonts w:ascii="Verdana" w:hAnsi="Verdana" w:cs="Verdana"/>
          <w:sz w:val="16"/>
          <w:szCs w:val="16"/>
        </w:rPr>
        <w:t>z budżetu Unii Europejskiej.</w:t>
      </w:r>
    </w:p>
    <w:p w:rsidR="00CA374E" w:rsidRPr="000A6485" w:rsidRDefault="00CA374E" w:rsidP="00CA374E">
      <w:pPr>
        <w:spacing w:before="60" w:after="60"/>
        <w:ind w:firstLine="540"/>
        <w:jc w:val="both"/>
        <w:rPr>
          <w:rFonts w:ascii="Verdana" w:hAnsi="Verdana"/>
          <w:sz w:val="18"/>
          <w:szCs w:val="18"/>
        </w:rPr>
      </w:pPr>
      <w:r w:rsidRPr="000A6485">
        <w:rPr>
          <w:rFonts w:ascii="Verdana" w:hAnsi="Verdana"/>
          <w:sz w:val="16"/>
          <w:szCs w:val="16"/>
        </w:rPr>
        <w:t>Zgodnie z tym programem począwszy od 202</w:t>
      </w:r>
      <w:r>
        <w:rPr>
          <w:rFonts w:ascii="Verdana" w:hAnsi="Verdana"/>
          <w:sz w:val="16"/>
          <w:szCs w:val="16"/>
        </w:rPr>
        <w:t>8</w:t>
      </w:r>
      <w:r w:rsidRPr="000A6485">
        <w:rPr>
          <w:rFonts w:ascii="Verdana" w:hAnsi="Verdana"/>
          <w:sz w:val="16"/>
          <w:szCs w:val="16"/>
        </w:rPr>
        <w:t xml:space="preserve"> r. planowane jest generowanie nadwyżek budżetowych rozumianych jako nadwyżka dochodów nad wydatkami, w związku z planowanymi spłatami zobowiązań dłużnych zaciąganych z przeznaczeniem na finansowanie inwestycji rozwojowych. </w:t>
      </w:r>
    </w:p>
    <w:p w:rsidR="00CA374E" w:rsidRPr="000A6485" w:rsidRDefault="00CA374E" w:rsidP="00CA374E">
      <w:pPr>
        <w:spacing w:before="240" w:after="120" w:line="240" w:lineRule="auto"/>
        <w:rPr>
          <w:rFonts w:ascii="Verdana" w:hAnsi="Verdana"/>
          <w:b/>
          <w:bCs/>
          <w:sz w:val="20"/>
          <w:szCs w:val="20"/>
        </w:rPr>
      </w:pPr>
      <w:r w:rsidRPr="000A6485">
        <w:rPr>
          <w:rFonts w:ascii="Verdana" w:hAnsi="Verdana"/>
          <w:b/>
          <w:bCs/>
          <w:sz w:val="20"/>
          <w:szCs w:val="20"/>
        </w:rPr>
        <w:t>5.</w:t>
      </w:r>
      <w:r>
        <w:rPr>
          <w:rFonts w:ascii="Verdana" w:hAnsi="Verdana"/>
          <w:b/>
          <w:bCs/>
          <w:sz w:val="20"/>
          <w:szCs w:val="20"/>
        </w:rPr>
        <w:t>5</w:t>
      </w:r>
      <w:r w:rsidRPr="000A6485">
        <w:rPr>
          <w:rFonts w:ascii="Verdana" w:hAnsi="Verdana"/>
          <w:b/>
          <w:bCs/>
          <w:sz w:val="20"/>
          <w:szCs w:val="20"/>
        </w:rPr>
        <w:t xml:space="preserve"> Program obniżenia relacji</w:t>
      </w:r>
      <w:r>
        <w:rPr>
          <w:rFonts w:ascii="Verdana" w:hAnsi="Verdana"/>
          <w:b/>
          <w:bCs/>
          <w:sz w:val="20"/>
          <w:szCs w:val="20"/>
        </w:rPr>
        <w:t xml:space="preserve"> długu w stosunku do dochodów </w:t>
      </w:r>
    </w:p>
    <w:p w:rsidR="00CA374E" w:rsidRDefault="00CA374E" w:rsidP="00CA374E">
      <w:pPr>
        <w:spacing w:before="120" w:after="120"/>
        <w:ind w:firstLine="567"/>
        <w:jc w:val="both"/>
        <w:rPr>
          <w:rFonts w:ascii="Verdana" w:hAnsi="Verdana"/>
          <w:sz w:val="16"/>
          <w:szCs w:val="16"/>
        </w:rPr>
      </w:pPr>
      <w:r>
        <w:rPr>
          <w:rFonts w:ascii="Verdana" w:hAnsi="Verdana"/>
          <w:b/>
          <w:sz w:val="16"/>
          <w:szCs w:val="16"/>
        </w:rPr>
        <w:t>Zakłada się, że</w:t>
      </w:r>
      <w:r w:rsidRPr="000A6485">
        <w:rPr>
          <w:rFonts w:ascii="Verdana" w:hAnsi="Verdana"/>
          <w:b/>
          <w:sz w:val="16"/>
          <w:szCs w:val="16"/>
        </w:rPr>
        <w:t xml:space="preserve"> wykorzystanie dłużnych środków zwrotnych mierzone poziomem zadłużenia </w:t>
      </w:r>
      <w:r w:rsidRPr="000A6485">
        <w:rPr>
          <w:rFonts w:ascii="Verdana" w:hAnsi="Verdana"/>
          <w:b/>
          <w:sz w:val="16"/>
          <w:szCs w:val="16"/>
        </w:rPr>
        <w:br/>
        <w:t>w relacji do dochodów, kształtować się będzie na poziomie nie wyższym niż 5</w:t>
      </w:r>
      <w:r>
        <w:rPr>
          <w:rFonts w:ascii="Verdana" w:hAnsi="Verdana"/>
          <w:b/>
          <w:sz w:val="16"/>
          <w:szCs w:val="16"/>
        </w:rPr>
        <w:t>5</w:t>
      </w:r>
      <w:r w:rsidRPr="000A6485">
        <w:rPr>
          <w:rFonts w:ascii="Verdana" w:hAnsi="Verdana"/>
          <w:b/>
          <w:sz w:val="16"/>
          <w:szCs w:val="16"/>
        </w:rPr>
        <w:t xml:space="preserve">%, tworząc bufor </w:t>
      </w:r>
      <w:r w:rsidRPr="000A6485">
        <w:rPr>
          <w:rFonts w:ascii="Verdana" w:hAnsi="Verdana"/>
          <w:b/>
          <w:sz w:val="16"/>
          <w:szCs w:val="16"/>
        </w:rPr>
        <w:br/>
        <w:t>na ryzyka</w:t>
      </w:r>
      <w:r w:rsidRPr="000A6485">
        <w:rPr>
          <w:rFonts w:ascii="Verdana" w:hAnsi="Verdana"/>
          <w:sz w:val="16"/>
          <w:szCs w:val="16"/>
        </w:rPr>
        <w:t xml:space="preserve"> związane z niepewnością co do kształtowania się przyszłych dochodów oraz na ryzyko zmienności </w:t>
      </w:r>
      <w:r w:rsidRPr="000A6485">
        <w:rPr>
          <w:rFonts w:ascii="Verdana" w:hAnsi="Verdana"/>
          <w:sz w:val="16"/>
          <w:szCs w:val="16"/>
        </w:rPr>
        <w:br/>
        <w:t>na rynkach finansowych, wynikające ze zmian sytuacji w gospodarce światowej.</w:t>
      </w:r>
      <w:r>
        <w:rPr>
          <w:rFonts w:ascii="Verdana" w:hAnsi="Verdana"/>
          <w:sz w:val="16"/>
          <w:szCs w:val="16"/>
        </w:rPr>
        <w:br w:type="page"/>
      </w:r>
    </w:p>
    <w:p w:rsidR="00CA374E" w:rsidRPr="000A6485" w:rsidRDefault="00CA374E" w:rsidP="00CA374E">
      <w:pPr>
        <w:spacing w:before="240" w:after="120" w:line="240" w:lineRule="auto"/>
        <w:ind w:left="425" w:hanging="425"/>
        <w:rPr>
          <w:rFonts w:ascii="Verdana" w:hAnsi="Verdana"/>
          <w:b/>
          <w:bCs/>
          <w:sz w:val="20"/>
          <w:szCs w:val="20"/>
        </w:rPr>
      </w:pPr>
      <w:r w:rsidRPr="000A6485">
        <w:rPr>
          <w:rFonts w:ascii="Verdana" w:hAnsi="Verdana"/>
          <w:b/>
          <w:bCs/>
          <w:sz w:val="20"/>
          <w:szCs w:val="20"/>
        </w:rPr>
        <w:lastRenderedPageBreak/>
        <w:t>5.</w:t>
      </w:r>
      <w:r>
        <w:rPr>
          <w:rFonts w:ascii="Verdana" w:hAnsi="Verdana"/>
          <w:b/>
          <w:bCs/>
          <w:sz w:val="20"/>
          <w:szCs w:val="20"/>
        </w:rPr>
        <w:t>6</w:t>
      </w:r>
      <w:r w:rsidRPr="000A6485">
        <w:rPr>
          <w:rFonts w:ascii="Verdana" w:hAnsi="Verdana"/>
          <w:b/>
          <w:bCs/>
          <w:sz w:val="20"/>
          <w:szCs w:val="20"/>
        </w:rPr>
        <w:t xml:space="preserve"> Program optymalizacji poziomu nadwyżek operacyjnych</w:t>
      </w:r>
    </w:p>
    <w:p w:rsidR="00CA374E" w:rsidRPr="000A6485" w:rsidRDefault="00CA374E" w:rsidP="00CA374E">
      <w:pPr>
        <w:autoSpaceDE w:val="0"/>
        <w:autoSpaceDN w:val="0"/>
        <w:adjustRightInd w:val="0"/>
        <w:spacing w:before="60" w:after="60"/>
        <w:ind w:firstLine="567"/>
        <w:jc w:val="both"/>
        <w:rPr>
          <w:rFonts w:ascii="Verdana" w:hAnsi="Verdana"/>
          <w:b/>
          <w:sz w:val="16"/>
          <w:szCs w:val="16"/>
        </w:rPr>
      </w:pPr>
      <w:r w:rsidRPr="000A6485">
        <w:rPr>
          <w:rFonts w:ascii="Verdana" w:hAnsi="Verdana"/>
          <w:sz w:val="16"/>
          <w:szCs w:val="16"/>
        </w:rPr>
        <w:t>Jednym z celów polityki budżetowej będzie</w:t>
      </w:r>
      <w:r w:rsidRPr="000A6485">
        <w:rPr>
          <w:rFonts w:ascii="Verdana" w:hAnsi="Verdana"/>
          <w:b/>
          <w:sz w:val="16"/>
          <w:szCs w:val="16"/>
        </w:rPr>
        <w:t xml:space="preserve"> uzyskiwanie adekwatnych do potrzeb nadwyżek operacyjnych </w:t>
      </w:r>
      <w:r w:rsidRPr="000A6485">
        <w:rPr>
          <w:rFonts w:ascii="Verdana" w:hAnsi="Verdana"/>
          <w:sz w:val="16"/>
          <w:szCs w:val="16"/>
        </w:rPr>
        <w:t>(nadwyżka dochodów bieżących nad wydatkami bieżącymi).</w:t>
      </w:r>
    </w:p>
    <w:p w:rsidR="00CA374E" w:rsidRPr="000A6485" w:rsidRDefault="00CA374E" w:rsidP="00CA374E">
      <w:pPr>
        <w:autoSpaceDE w:val="0"/>
        <w:autoSpaceDN w:val="0"/>
        <w:adjustRightInd w:val="0"/>
        <w:spacing w:before="60" w:after="60"/>
        <w:ind w:firstLine="567"/>
        <w:jc w:val="both"/>
        <w:rPr>
          <w:rFonts w:ascii="Verdana" w:hAnsi="Verdana"/>
          <w:sz w:val="16"/>
          <w:szCs w:val="16"/>
        </w:rPr>
      </w:pPr>
      <w:r w:rsidRPr="000A6485">
        <w:rPr>
          <w:rFonts w:ascii="Verdana" w:hAnsi="Verdana" w:cs="Verdana"/>
          <w:sz w:val="16"/>
          <w:szCs w:val="16"/>
        </w:rPr>
        <w:t xml:space="preserve">Dla utrzymania możliwie wysokiej zdolności kredytowej m.st. Warszawy w perspektywie okresu korzystania ze środków Unii Europejskiej, kluczowy będzie poziom generowanych przez Miasto nadwyżek operacyjnych. Wielkość nadwyżki operacyjnej wpływa na możliwości zaciągania zobowiązań zwrotnych oraz </w:t>
      </w:r>
      <w:r w:rsidRPr="000A6485">
        <w:rPr>
          <w:rFonts w:ascii="Verdana" w:hAnsi="Verdana" w:cs="Verdana"/>
          <w:sz w:val="16"/>
          <w:szCs w:val="16"/>
        </w:rPr>
        <w:br/>
        <w:t xml:space="preserve">na zdolność do finansowania wydatków o charakterze majątkowym. Wysokość nadwyżki operacyjnej jest podstawą do ustalania ustawowego limitu obsługi zadłużenia, który jest określany indywidualnie dla każdej jednostki. </w:t>
      </w:r>
      <w:r w:rsidRPr="000A6485">
        <w:rPr>
          <w:rFonts w:ascii="Verdana" w:hAnsi="Verdana"/>
          <w:sz w:val="16"/>
          <w:szCs w:val="16"/>
        </w:rPr>
        <w:t xml:space="preserve">Ponadto poziom nadwyżki operacyjnej przekłada się pośrednio na </w:t>
      </w:r>
      <w:r w:rsidRPr="000A6485">
        <w:rPr>
          <w:rFonts w:ascii="Verdana" w:hAnsi="Verdana" w:cs="Arial"/>
          <w:sz w:val="16"/>
          <w:szCs w:val="16"/>
        </w:rPr>
        <w:t>poziom wiarygodności kredytowej Miasta.</w:t>
      </w:r>
    </w:p>
    <w:p w:rsidR="00CA374E" w:rsidRPr="000A6485" w:rsidRDefault="00CA374E" w:rsidP="00CA374E">
      <w:pPr>
        <w:spacing w:before="60" w:after="60"/>
        <w:ind w:firstLine="540"/>
        <w:jc w:val="both"/>
        <w:rPr>
          <w:rFonts w:ascii="Verdana" w:hAnsi="Verdana" w:cs="Arial"/>
          <w:sz w:val="16"/>
          <w:szCs w:val="16"/>
        </w:rPr>
      </w:pPr>
      <w:r w:rsidRPr="000A6485">
        <w:rPr>
          <w:rFonts w:ascii="Verdana" w:hAnsi="Verdana"/>
          <w:sz w:val="16"/>
          <w:szCs w:val="16"/>
        </w:rPr>
        <w:t xml:space="preserve">Zarówno na etapie planowania, jak i realizacji budżetu zakłada się zachowanie odpowiednich relacji między dochodami bieżącymi </w:t>
      </w:r>
      <w:r>
        <w:rPr>
          <w:rFonts w:ascii="Verdana" w:hAnsi="Verdana"/>
          <w:sz w:val="16"/>
          <w:szCs w:val="16"/>
        </w:rPr>
        <w:t>a</w:t>
      </w:r>
      <w:r w:rsidRPr="000A6485">
        <w:rPr>
          <w:rFonts w:ascii="Verdana" w:hAnsi="Verdana"/>
          <w:sz w:val="16"/>
          <w:szCs w:val="16"/>
        </w:rPr>
        <w:t xml:space="preserve"> wydatkami bieżącymi, tak by możliwe było </w:t>
      </w:r>
      <w:r w:rsidRPr="000A6485">
        <w:rPr>
          <w:rFonts w:ascii="Verdana" w:hAnsi="Verdana"/>
          <w:bCs/>
          <w:sz w:val="16"/>
          <w:szCs w:val="16"/>
        </w:rPr>
        <w:t>uzyskanie nadwyżki operacyjnej rozumianej jako dodatnia różnica między tymi kategoriami.</w:t>
      </w:r>
      <w:r w:rsidRPr="000A6485">
        <w:rPr>
          <w:rFonts w:ascii="Verdana" w:hAnsi="Verdana"/>
          <w:sz w:val="16"/>
          <w:szCs w:val="16"/>
        </w:rPr>
        <w:t xml:space="preserve"> </w:t>
      </w:r>
    </w:p>
    <w:p w:rsidR="00CA374E" w:rsidRDefault="00CA374E" w:rsidP="00CA374E">
      <w:pPr>
        <w:spacing w:before="60" w:after="60"/>
        <w:ind w:firstLine="540"/>
        <w:jc w:val="both"/>
        <w:rPr>
          <w:rFonts w:ascii="Verdana" w:hAnsi="Verdana" w:cs="Arial"/>
          <w:iCs/>
          <w:sz w:val="16"/>
          <w:szCs w:val="16"/>
        </w:rPr>
      </w:pPr>
      <w:r w:rsidRPr="000A6485">
        <w:rPr>
          <w:rFonts w:ascii="Verdana" w:hAnsi="Verdana" w:cs="Arial"/>
          <w:sz w:val="16"/>
          <w:szCs w:val="16"/>
        </w:rPr>
        <w:t>Zgodnie z W</w:t>
      </w:r>
      <w:r>
        <w:rPr>
          <w:rFonts w:ascii="Verdana" w:hAnsi="Verdana" w:cs="Arial"/>
          <w:sz w:val="16"/>
          <w:szCs w:val="16"/>
        </w:rPr>
        <w:t xml:space="preserve">PF </w:t>
      </w:r>
      <w:r w:rsidRPr="008F3935">
        <w:rPr>
          <w:rFonts w:ascii="Verdana" w:eastAsiaTheme="minorEastAsia" w:hAnsi="Verdana" w:cs="Verdana"/>
          <w:color w:val="000000"/>
          <w:sz w:val="16"/>
          <w:szCs w:val="16"/>
        </w:rPr>
        <w:t>2024</w:t>
      </w:r>
      <w:r w:rsidRPr="000A6485">
        <w:rPr>
          <w:rFonts w:ascii="Verdana" w:hAnsi="Verdana" w:cs="Arial"/>
          <w:sz w:val="16"/>
          <w:szCs w:val="16"/>
        </w:rPr>
        <w:t xml:space="preserve">-2050 m.st. Warszawa w każdym z lat spełnia wymogi przepisu art. 242 </w:t>
      </w:r>
      <w:r w:rsidRPr="000A6485">
        <w:rPr>
          <w:rFonts w:ascii="Verdana" w:hAnsi="Verdana"/>
          <w:sz w:val="16"/>
          <w:szCs w:val="16"/>
        </w:rPr>
        <w:t xml:space="preserve">ustawy </w:t>
      </w:r>
      <w:r>
        <w:rPr>
          <w:rFonts w:ascii="Verdana" w:hAnsi="Verdana"/>
          <w:sz w:val="16"/>
          <w:szCs w:val="16"/>
        </w:rPr>
        <w:br/>
      </w:r>
      <w:r>
        <w:rPr>
          <w:rFonts w:ascii="Verdana" w:hAnsi="Verdana" w:cs="Arial"/>
          <w:iCs/>
          <w:sz w:val="16"/>
          <w:szCs w:val="16"/>
        </w:rPr>
        <w:t xml:space="preserve">o finansach publicznych (reguła wydatkowa dotycząca wydatków bieżących). W 2024 r. podobnie jak </w:t>
      </w:r>
      <w:r>
        <w:rPr>
          <w:rFonts w:ascii="Verdana" w:hAnsi="Verdana" w:cs="Arial"/>
          <w:iCs/>
          <w:sz w:val="16"/>
          <w:szCs w:val="16"/>
        </w:rPr>
        <w:br/>
        <w:t xml:space="preserve">w 2023 r. planowane jest wystąpienie deficytu operacyjnego. </w:t>
      </w:r>
      <w:r>
        <w:rPr>
          <w:rFonts w:ascii="Verdana" w:hAnsi="Verdana"/>
          <w:sz w:val="16"/>
          <w:szCs w:val="16"/>
        </w:rPr>
        <w:t>Z punktu widzenia dopuszczonego prawem łącznego dla lat 2022-2025 badania spełnienia reguły wydatkowej ź</w:t>
      </w:r>
      <w:r>
        <w:rPr>
          <w:rFonts w:ascii="Verdana" w:hAnsi="Verdana" w:cs="Arial"/>
          <w:iCs/>
          <w:sz w:val="16"/>
          <w:szCs w:val="16"/>
        </w:rPr>
        <w:t xml:space="preserve">ródłem pokrycia deficytów operacyjnych planowanych na lata 2023-2024 będzie zrealizowana nadwyżka operacyjna w 2022 r. oraz planowana nadwyżka operacyjna na 2025 r. Ponadto z punktu widzenia reguły wydatkowej na pokrycie deficytów operacyjnych mogą być również przeznaczane środki z nadwyżek budżetowych oraz pochodzące z lokat, a także w latach 2022-2025 tzw. wolne środki </w:t>
      </w:r>
      <w:r w:rsidRPr="0052283C">
        <w:rPr>
          <w:rFonts w:ascii="Verdana" w:hAnsi="Verdana"/>
          <w:sz w:val="16"/>
          <w:szCs w:val="16"/>
        </w:rPr>
        <w:t>jako nadwyżki środków pieniężnych na rachunku bieżących budżetu JST, w tym wynikające z rozliczeń wyemitowanych papierów wartościowych, kredytów i pożyczek z lat ubiegłych.</w:t>
      </w:r>
      <w:r>
        <w:rPr>
          <w:rFonts w:ascii="Verdana" w:hAnsi="Verdana"/>
          <w:sz w:val="16"/>
          <w:szCs w:val="16"/>
        </w:rPr>
        <w:t xml:space="preserve"> Natomiast</w:t>
      </w:r>
      <w:r>
        <w:rPr>
          <w:rFonts w:ascii="Verdana" w:hAnsi="Verdana" w:cs="Arial"/>
          <w:iCs/>
          <w:sz w:val="16"/>
          <w:szCs w:val="16"/>
        </w:rPr>
        <w:t xml:space="preserve"> począwszy od 2025 r. prognozuje</w:t>
      </w:r>
      <w:r w:rsidRPr="000A6485">
        <w:rPr>
          <w:rFonts w:ascii="Verdana" w:hAnsi="Verdana" w:cs="Arial"/>
          <w:iCs/>
          <w:sz w:val="16"/>
          <w:szCs w:val="16"/>
        </w:rPr>
        <w:t xml:space="preserve"> się uzyskiwanie corocznych nadwyżek operacyjnych (zakładane wydatki bieżące są niższe niż prognozowane dochody bieżące).</w:t>
      </w:r>
    </w:p>
    <w:p w:rsidR="00CA374E" w:rsidRPr="000A6485" w:rsidRDefault="00CA374E" w:rsidP="00CA374E">
      <w:pPr>
        <w:spacing w:before="240" w:after="120"/>
        <w:rPr>
          <w:rFonts w:ascii="Verdana" w:hAnsi="Verdana"/>
          <w:b/>
          <w:bCs/>
          <w:sz w:val="20"/>
          <w:szCs w:val="20"/>
        </w:rPr>
      </w:pPr>
      <w:r w:rsidRPr="000A6485">
        <w:rPr>
          <w:rFonts w:ascii="Verdana" w:hAnsi="Verdana"/>
          <w:b/>
          <w:bCs/>
          <w:sz w:val="20"/>
          <w:szCs w:val="20"/>
        </w:rPr>
        <w:t>5.</w:t>
      </w:r>
      <w:r>
        <w:rPr>
          <w:rFonts w:ascii="Verdana" w:hAnsi="Verdana"/>
          <w:b/>
          <w:bCs/>
          <w:sz w:val="20"/>
          <w:szCs w:val="20"/>
        </w:rPr>
        <w:t>7</w:t>
      </w:r>
      <w:r w:rsidRPr="000A6485">
        <w:rPr>
          <w:rFonts w:ascii="Verdana" w:hAnsi="Verdana"/>
          <w:b/>
          <w:bCs/>
          <w:sz w:val="20"/>
          <w:szCs w:val="20"/>
        </w:rPr>
        <w:t xml:space="preserve"> Program inwestycyjny</w:t>
      </w:r>
    </w:p>
    <w:p w:rsidR="00CA374E" w:rsidRDefault="00CA374E" w:rsidP="00CA374E">
      <w:pPr>
        <w:spacing w:before="60" w:after="60"/>
        <w:ind w:firstLine="567"/>
        <w:jc w:val="both"/>
        <w:rPr>
          <w:rFonts w:ascii="Verdana" w:hAnsi="Verdana"/>
          <w:bCs/>
          <w:sz w:val="16"/>
          <w:szCs w:val="16"/>
        </w:rPr>
      </w:pPr>
      <w:r w:rsidRPr="000A6485">
        <w:rPr>
          <w:rFonts w:ascii="Verdana" w:hAnsi="Verdana"/>
          <w:sz w:val="16"/>
          <w:szCs w:val="16"/>
        </w:rPr>
        <w:t xml:space="preserve">Łącznie w </w:t>
      </w:r>
      <w:r>
        <w:rPr>
          <w:rFonts w:ascii="Verdana" w:hAnsi="Verdana"/>
          <w:sz w:val="16"/>
          <w:szCs w:val="16"/>
        </w:rPr>
        <w:t xml:space="preserve">perspektywie </w:t>
      </w:r>
      <w:r w:rsidRPr="000A6485">
        <w:rPr>
          <w:rFonts w:ascii="Verdana" w:hAnsi="Verdana" w:cs="Arial"/>
          <w:sz w:val="16"/>
          <w:szCs w:val="16"/>
        </w:rPr>
        <w:t>W</w:t>
      </w:r>
      <w:r>
        <w:rPr>
          <w:rFonts w:ascii="Verdana" w:hAnsi="Verdana" w:cs="Arial"/>
          <w:sz w:val="16"/>
          <w:szCs w:val="16"/>
        </w:rPr>
        <w:t xml:space="preserve">PF </w:t>
      </w:r>
      <w:r w:rsidRPr="008F3935">
        <w:rPr>
          <w:rFonts w:ascii="Verdana" w:eastAsiaTheme="minorEastAsia" w:hAnsi="Verdana" w:cs="Verdana"/>
          <w:color w:val="000000"/>
          <w:sz w:val="16"/>
          <w:szCs w:val="16"/>
        </w:rPr>
        <w:t>2024</w:t>
      </w:r>
      <w:r w:rsidRPr="000A6485">
        <w:rPr>
          <w:rFonts w:ascii="Verdana" w:hAnsi="Verdana" w:cs="Arial"/>
          <w:sz w:val="16"/>
          <w:szCs w:val="16"/>
        </w:rPr>
        <w:t>-2050</w:t>
      </w:r>
      <w:r w:rsidRPr="000A6485">
        <w:rPr>
          <w:rFonts w:ascii="Verdana" w:hAnsi="Verdana"/>
          <w:sz w:val="16"/>
          <w:szCs w:val="16"/>
        </w:rPr>
        <w:t xml:space="preserve"> na wydatki </w:t>
      </w:r>
      <w:r>
        <w:rPr>
          <w:rFonts w:ascii="Verdana" w:hAnsi="Verdana"/>
          <w:sz w:val="16"/>
          <w:szCs w:val="16"/>
        </w:rPr>
        <w:t>majątkowe</w:t>
      </w:r>
      <w:r w:rsidRPr="000A6485">
        <w:rPr>
          <w:rFonts w:ascii="Verdana" w:hAnsi="Verdana"/>
          <w:sz w:val="16"/>
          <w:szCs w:val="16"/>
        </w:rPr>
        <w:t xml:space="preserve"> </w:t>
      </w:r>
      <w:r>
        <w:rPr>
          <w:rFonts w:ascii="Verdana" w:hAnsi="Verdana"/>
          <w:sz w:val="16"/>
          <w:szCs w:val="16"/>
        </w:rPr>
        <w:t xml:space="preserve">przeznaczona została kwota </w:t>
      </w:r>
      <w:r>
        <w:rPr>
          <w:rFonts w:ascii="Verdana" w:hAnsi="Verdana"/>
          <w:sz w:val="16"/>
          <w:szCs w:val="16"/>
        </w:rPr>
        <w:br/>
      </w:r>
      <w:r w:rsidRPr="00286274">
        <w:rPr>
          <w:rFonts w:ascii="Verdana" w:hAnsi="Verdana"/>
          <w:b/>
          <w:sz w:val="16"/>
          <w:szCs w:val="16"/>
        </w:rPr>
        <w:t>8</w:t>
      </w:r>
      <w:r>
        <w:rPr>
          <w:rFonts w:ascii="Verdana" w:hAnsi="Verdana"/>
          <w:b/>
          <w:sz w:val="16"/>
          <w:szCs w:val="16"/>
        </w:rPr>
        <w:t>0,7</w:t>
      </w:r>
      <w:r w:rsidRPr="000A6485">
        <w:rPr>
          <w:rFonts w:ascii="Verdana" w:hAnsi="Verdana"/>
          <w:b/>
          <w:sz w:val="16"/>
          <w:szCs w:val="16"/>
        </w:rPr>
        <w:t xml:space="preserve"> mld zł</w:t>
      </w:r>
      <w:r w:rsidRPr="00A50666">
        <w:rPr>
          <w:rFonts w:ascii="Verdana" w:hAnsi="Verdana"/>
          <w:sz w:val="16"/>
          <w:szCs w:val="16"/>
        </w:rPr>
        <w:t>.</w:t>
      </w:r>
      <w:r w:rsidRPr="000A6485">
        <w:rPr>
          <w:rFonts w:ascii="Verdana" w:hAnsi="Verdana"/>
          <w:sz w:val="16"/>
          <w:szCs w:val="16"/>
        </w:rPr>
        <w:t xml:space="preserve"> </w:t>
      </w:r>
      <w:r>
        <w:rPr>
          <w:rFonts w:ascii="Verdana" w:hAnsi="Verdana"/>
          <w:sz w:val="16"/>
          <w:szCs w:val="16"/>
        </w:rPr>
        <w:t>N</w:t>
      </w:r>
      <w:r w:rsidRPr="000A6485">
        <w:rPr>
          <w:rFonts w:ascii="Verdana" w:hAnsi="Verdana"/>
          <w:sz w:val="16"/>
          <w:szCs w:val="16"/>
        </w:rPr>
        <w:t xml:space="preserve">a konkretne </w:t>
      </w:r>
      <w:r>
        <w:rPr>
          <w:rFonts w:ascii="Verdana" w:hAnsi="Verdana"/>
          <w:sz w:val="16"/>
          <w:szCs w:val="16"/>
        </w:rPr>
        <w:t xml:space="preserve">programy lub </w:t>
      </w:r>
      <w:r w:rsidRPr="000A6485">
        <w:rPr>
          <w:rFonts w:ascii="Verdana" w:hAnsi="Verdana"/>
          <w:sz w:val="16"/>
          <w:szCs w:val="16"/>
        </w:rPr>
        <w:t xml:space="preserve">projekty inwestycyjne już realizowane lub zaplanowane do realizacji rozdysponowano środki w wysokości </w:t>
      </w:r>
      <w:r>
        <w:rPr>
          <w:rFonts w:ascii="Verdana" w:hAnsi="Verdana"/>
          <w:b/>
          <w:sz w:val="16"/>
          <w:szCs w:val="16"/>
        </w:rPr>
        <w:t>15,3</w:t>
      </w:r>
      <w:r w:rsidRPr="000A6485">
        <w:rPr>
          <w:rFonts w:ascii="Verdana" w:hAnsi="Verdana"/>
          <w:b/>
          <w:sz w:val="16"/>
          <w:szCs w:val="16"/>
        </w:rPr>
        <w:t xml:space="preserve"> mld zł</w:t>
      </w:r>
      <w:r>
        <w:rPr>
          <w:rFonts w:ascii="Verdana" w:hAnsi="Verdana"/>
          <w:sz w:val="16"/>
          <w:szCs w:val="16"/>
        </w:rPr>
        <w:t xml:space="preserve">, w tym </w:t>
      </w:r>
      <w:r>
        <w:rPr>
          <w:rFonts w:ascii="Verdana" w:hAnsi="Verdana"/>
          <w:b/>
          <w:sz w:val="16"/>
          <w:szCs w:val="16"/>
        </w:rPr>
        <w:t>97,6 mln</w:t>
      </w:r>
      <w:r w:rsidRPr="00B424DD">
        <w:rPr>
          <w:rFonts w:ascii="Verdana" w:hAnsi="Verdana"/>
          <w:b/>
          <w:sz w:val="16"/>
          <w:szCs w:val="16"/>
        </w:rPr>
        <w:t xml:space="preserve"> zł</w:t>
      </w:r>
      <w:r>
        <w:rPr>
          <w:rFonts w:ascii="Verdana" w:hAnsi="Verdana"/>
          <w:sz w:val="16"/>
          <w:szCs w:val="16"/>
        </w:rPr>
        <w:t xml:space="preserve"> </w:t>
      </w:r>
      <w:r w:rsidRPr="000A6485">
        <w:rPr>
          <w:rFonts w:ascii="Verdana" w:hAnsi="Verdana"/>
          <w:sz w:val="16"/>
          <w:szCs w:val="16"/>
        </w:rPr>
        <w:t>na projekty finansowane z udziałem środków unijnych</w:t>
      </w:r>
      <w:r w:rsidRPr="000A6485">
        <w:rPr>
          <w:rFonts w:ascii="Verdana" w:hAnsi="Verdana"/>
          <w:bCs/>
          <w:sz w:val="16"/>
          <w:szCs w:val="16"/>
        </w:rPr>
        <w:t>.</w:t>
      </w:r>
    </w:p>
    <w:p w:rsidR="00CA374E" w:rsidRPr="000A6485" w:rsidRDefault="00CA374E" w:rsidP="00CA374E">
      <w:pPr>
        <w:spacing w:before="240" w:after="240" w:line="240" w:lineRule="auto"/>
        <w:ind w:left="425" w:hanging="425"/>
        <w:rPr>
          <w:rFonts w:ascii="Verdana" w:hAnsi="Verdana"/>
          <w:b/>
          <w:bCs/>
          <w:sz w:val="20"/>
          <w:szCs w:val="20"/>
        </w:rPr>
      </w:pPr>
      <w:r w:rsidRPr="000A6485">
        <w:rPr>
          <w:rFonts w:ascii="Verdana" w:hAnsi="Verdana"/>
          <w:b/>
          <w:bCs/>
          <w:sz w:val="20"/>
          <w:szCs w:val="20"/>
        </w:rPr>
        <w:t>5.</w:t>
      </w:r>
      <w:r>
        <w:rPr>
          <w:rFonts w:ascii="Verdana" w:hAnsi="Verdana"/>
          <w:b/>
          <w:bCs/>
          <w:sz w:val="20"/>
          <w:szCs w:val="20"/>
        </w:rPr>
        <w:t>8</w:t>
      </w:r>
      <w:r w:rsidRPr="000A6485">
        <w:rPr>
          <w:rFonts w:ascii="Verdana" w:hAnsi="Verdana"/>
          <w:b/>
          <w:bCs/>
          <w:sz w:val="20"/>
          <w:szCs w:val="20"/>
        </w:rPr>
        <w:t xml:space="preserve">  Program optymalizacji zależnych lub częściowo zależnych </w:t>
      </w:r>
      <w:r w:rsidRPr="000A6485">
        <w:rPr>
          <w:rFonts w:ascii="Verdana" w:hAnsi="Verdana"/>
          <w:b/>
          <w:bCs/>
          <w:sz w:val="20"/>
          <w:szCs w:val="20"/>
        </w:rPr>
        <w:br/>
        <w:t xml:space="preserve"> od m.st. Warszawy czynników kształtujących dochody podatkowe </w:t>
      </w:r>
      <w:r w:rsidRPr="000A6485">
        <w:rPr>
          <w:rFonts w:ascii="Verdana" w:hAnsi="Verdana"/>
          <w:b/>
          <w:bCs/>
          <w:sz w:val="20"/>
          <w:szCs w:val="20"/>
        </w:rPr>
        <w:br/>
        <w:t xml:space="preserve"> i niepodatkowe</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Ważnym aspektem polityki budżetowej m.st. Warszawy w </w:t>
      </w:r>
      <w:r w:rsidRPr="008F3935">
        <w:rPr>
          <w:rFonts w:ascii="Verdana" w:eastAsiaTheme="minorEastAsia" w:hAnsi="Verdana" w:cs="Verdana"/>
          <w:color w:val="000000"/>
          <w:sz w:val="16"/>
          <w:szCs w:val="16"/>
        </w:rPr>
        <w:t>2024</w:t>
      </w:r>
      <w:r w:rsidRPr="000A6485">
        <w:rPr>
          <w:rFonts w:ascii="Verdana" w:hAnsi="Verdana"/>
          <w:sz w:val="16"/>
          <w:szCs w:val="16"/>
        </w:rPr>
        <w:t xml:space="preserve"> r. i w następnych latach będzie kontynuacja </w:t>
      </w:r>
      <w:r w:rsidRPr="000A6485">
        <w:rPr>
          <w:rFonts w:ascii="Verdana" w:hAnsi="Verdana"/>
          <w:b/>
          <w:bCs/>
          <w:sz w:val="16"/>
          <w:szCs w:val="16"/>
        </w:rPr>
        <w:t>procesu optymalizacji zależnych lub częściowo zależnych od Miasta czynników kształtujących dochody niepodatkowe i podatkowe</w:t>
      </w:r>
      <w:r w:rsidRPr="000A6485">
        <w:rPr>
          <w:rFonts w:ascii="Verdana" w:hAnsi="Verdana"/>
          <w:sz w:val="16"/>
          <w:szCs w:val="16"/>
        </w:rPr>
        <w:t xml:space="preserve"> oraz poszukiwanie możliwości zwiększania aktualnych źródeł dochodów przy wykorzystaniu sposobności, jakie dają przepisy, w tym regulacje zawarte w ustawie </w:t>
      </w:r>
      <w:r w:rsidRPr="000A6485">
        <w:rPr>
          <w:rFonts w:ascii="Verdana" w:hAnsi="Verdana"/>
          <w:sz w:val="16"/>
          <w:szCs w:val="16"/>
        </w:rPr>
        <w:br/>
        <w:t>o dochodach jednostek samorządu terytorialnego. Istotne będzie także poszukiwanie i wykorzystywanie alternatywnych sposobów realizacji zadań publicznych, np. w formie partnerstwa publiczno–prywatnego.</w:t>
      </w:r>
    </w:p>
    <w:p w:rsidR="00CA374E" w:rsidRPr="000A6485" w:rsidRDefault="00CA374E" w:rsidP="00CA374E">
      <w:pPr>
        <w:autoSpaceDE w:val="0"/>
        <w:autoSpaceDN w:val="0"/>
        <w:adjustRightInd w:val="0"/>
        <w:spacing w:before="60" w:after="60"/>
        <w:ind w:firstLine="567"/>
        <w:jc w:val="both"/>
        <w:rPr>
          <w:rFonts w:ascii="Verdana" w:hAnsi="Verdana" w:cs="Verdana"/>
          <w:sz w:val="16"/>
          <w:szCs w:val="16"/>
        </w:rPr>
      </w:pPr>
      <w:r w:rsidRPr="000A6485">
        <w:rPr>
          <w:rFonts w:ascii="Verdana" w:hAnsi="Verdana" w:cs="Verdana"/>
          <w:sz w:val="16"/>
          <w:szCs w:val="16"/>
        </w:rPr>
        <w:t xml:space="preserve">Rozwijane będą mechanizmy zachęt dla mieszkańców do rozliczania podatków w Warszawie </w:t>
      </w:r>
      <w:r w:rsidRPr="000A6485">
        <w:rPr>
          <w:rFonts w:ascii="Verdana" w:hAnsi="Verdana" w:cs="Verdana"/>
          <w:sz w:val="16"/>
          <w:szCs w:val="16"/>
        </w:rPr>
        <w:br/>
        <w:t xml:space="preserve">z wykorzystaniem udogodnień dotyczących Karty Warszawiaka i Karty Młodego Warszawiaka zakładających też preferencje dla rodzin, w tym dla rodzin wielodzietnych. Dzięki Karcie Warszawiaka i Karcie Młodego Warszawiaka, osoby mieszkające i rozliczające podatek dochodowy PIT w Warszawie mogą korzystać z oferty ulg, zniżek </w:t>
      </w:r>
      <w:r w:rsidRPr="000A6485">
        <w:rPr>
          <w:rFonts w:ascii="Verdana" w:hAnsi="Verdana" w:cs="Verdana"/>
          <w:sz w:val="16"/>
          <w:szCs w:val="16"/>
        </w:rPr>
        <w:br/>
        <w:t xml:space="preserve">i preferencji w stołecznym transporcie, kulturze, sporcie i rekreacji, oświacie, usługach zdrowotnych. </w:t>
      </w:r>
      <w:r w:rsidRPr="000A6485">
        <w:rPr>
          <w:rFonts w:ascii="Verdana" w:hAnsi="Verdana" w:cs="Verdana"/>
          <w:sz w:val="16"/>
          <w:szCs w:val="16"/>
        </w:rPr>
        <w:lastRenderedPageBreak/>
        <w:t>Przewidywany jest dalszy rozwój ww. instrumentów w kierunku poszerzania zakresu ulg i zniżek oraz zwiększania liczby podmiotów honorujących Karty Warszawiaka i Karty Młodego Warszawiaka.</w:t>
      </w:r>
    </w:p>
    <w:p w:rsidR="00CA374E" w:rsidRDefault="00CA374E" w:rsidP="00CA374E">
      <w:pPr>
        <w:autoSpaceDE w:val="0"/>
        <w:autoSpaceDN w:val="0"/>
        <w:adjustRightInd w:val="0"/>
        <w:spacing w:before="60" w:after="60"/>
        <w:ind w:firstLine="567"/>
        <w:jc w:val="both"/>
        <w:rPr>
          <w:rFonts w:ascii="Verdana" w:hAnsi="Verdana" w:cs="Verdana"/>
          <w:sz w:val="16"/>
          <w:szCs w:val="16"/>
        </w:rPr>
      </w:pPr>
      <w:r>
        <w:rPr>
          <w:rFonts w:ascii="Verdana" w:hAnsi="Verdana" w:cs="Verdana"/>
          <w:sz w:val="16"/>
          <w:szCs w:val="16"/>
        </w:rPr>
        <w:t>Zakłada</w:t>
      </w:r>
      <w:r w:rsidRPr="000A6485">
        <w:rPr>
          <w:rFonts w:ascii="Verdana" w:hAnsi="Verdana" w:cs="Verdana"/>
          <w:sz w:val="16"/>
          <w:szCs w:val="16"/>
        </w:rPr>
        <w:t xml:space="preserve"> się wykorzystywanie nowych rozwiązań w obszarze aktywności obywatelskiej mieszkańców Warszawy, mając na celu włączenie społeczności lokalnych w proces współdecydowania o sprawach Miasta przy wykorzystaniu doświadczeń i wzorców z kraju i ze świata. Działania Miasta w tym kierunku sprzyjają wzmacnianiu potencjału rozwojowego Warszawy poprzez budowanie kapitału społecznego i wspólnot lokalnych.</w:t>
      </w:r>
    </w:p>
    <w:p w:rsidR="00CA374E" w:rsidRPr="000A6485" w:rsidRDefault="00CA374E" w:rsidP="00CA374E">
      <w:pPr>
        <w:spacing w:before="240" w:after="240"/>
        <w:ind w:left="567" w:hanging="567"/>
        <w:rPr>
          <w:rFonts w:ascii="Verdana" w:hAnsi="Verdana"/>
          <w:b/>
          <w:bCs/>
          <w:sz w:val="20"/>
          <w:szCs w:val="20"/>
        </w:rPr>
      </w:pPr>
      <w:r w:rsidRPr="000A6485">
        <w:rPr>
          <w:rFonts w:ascii="Verdana" w:hAnsi="Verdana"/>
          <w:b/>
          <w:bCs/>
          <w:sz w:val="20"/>
          <w:szCs w:val="20"/>
        </w:rPr>
        <w:t>5.</w:t>
      </w:r>
      <w:r>
        <w:rPr>
          <w:rFonts w:ascii="Verdana" w:hAnsi="Verdana"/>
          <w:b/>
          <w:bCs/>
          <w:sz w:val="20"/>
          <w:szCs w:val="20"/>
        </w:rPr>
        <w:t>9</w:t>
      </w:r>
      <w:r w:rsidRPr="000A6485">
        <w:rPr>
          <w:rFonts w:ascii="Verdana" w:hAnsi="Verdana"/>
          <w:b/>
          <w:bCs/>
          <w:sz w:val="20"/>
          <w:szCs w:val="20"/>
        </w:rPr>
        <w:t xml:space="preserve"> Program rozwoju budżetu zadaniowego</w:t>
      </w:r>
    </w:p>
    <w:p w:rsidR="00CA374E" w:rsidRDefault="00CA374E" w:rsidP="00CA374E">
      <w:pPr>
        <w:spacing w:before="60" w:after="60"/>
        <w:ind w:firstLine="539"/>
        <w:jc w:val="both"/>
        <w:rPr>
          <w:rFonts w:ascii="Verdana" w:hAnsi="Verdana" w:cs="Arial"/>
          <w:sz w:val="16"/>
          <w:szCs w:val="16"/>
        </w:rPr>
      </w:pPr>
      <w:r w:rsidRPr="000A6485">
        <w:rPr>
          <w:rFonts w:ascii="Verdana" w:hAnsi="Verdana" w:cs="Arial"/>
          <w:b/>
          <w:sz w:val="16"/>
          <w:szCs w:val="16"/>
        </w:rPr>
        <w:t xml:space="preserve">Istotnym elementem działań podejmowanych w kierunku wzrostu efektywności wydatkowanych środków, będzie dalszy </w:t>
      </w:r>
      <w:r w:rsidRPr="000A6485">
        <w:rPr>
          <w:rFonts w:ascii="Verdana" w:hAnsi="Verdana" w:cs="Arial"/>
          <w:b/>
          <w:bCs/>
          <w:sz w:val="16"/>
          <w:szCs w:val="16"/>
        </w:rPr>
        <w:t>rozwój</w:t>
      </w:r>
      <w:r w:rsidRPr="000A6485">
        <w:rPr>
          <w:rFonts w:ascii="Verdana" w:hAnsi="Verdana" w:cs="Arial"/>
          <w:b/>
          <w:sz w:val="16"/>
          <w:szCs w:val="16"/>
        </w:rPr>
        <w:t xml:space="preserve"> </w:t>
      </w:r>
      <w:r w:rsidRPr="000A6485">
        <w:rPr>
          <w:rFonts w:ascii="Verdana" w:hAnsi="Verdana" w:cs="Arial"/>
          <w:b/>
          <w:bCs/>
          <w:sz w:val="16"/>
          <w:szCs w:val="16"/>
        </w:rPr>
        <w:t>budżetowania zadaniowego</w:t>
      </w:r>
      <w:r w:rsidRPr="000A6485">
        <w:rPr>
          <w:rFonts w:ascii="Verdana" w:hAnsi="Verdana" w:cs="Arial"/>
          <w:b/>
          <w:sz w:val="16"/>
          <w:szCs w:val="16"/>
        </w:rPr>
        <w:t xml:space="preserve">, polepszający wykorzystanie mierników oceny efektów działalności, stanowiących obiektywne i wiarygodne narzędzie pomiaru stopnia realizacji celów i zadań. </w:t>
      </w:r>
      <w:r w:rsidRPr="000A6485">
        <w:rPr>
          <w:rFonts w:ascii="Verdana" w:hAnsi="Verdana" w:cs="Arial"/>
          <w:sz w:val="16"/>
          <w:szCs w:val="16"/>
        </w:rPr>
        <w:t>Porównywanie wyników w czasie, jak też konfrontowanie wyników między jednostkami organizacyjnymi Miasta, stanowi pomocne narzędzie optymalizacji wydatków.</w:t>
      </w:r>
    </w:p>
    <w:p w:rsidR="00CA374E" w:rsidRDefault="00CA374E" w:rsidP="00CA374E">
      <w:pPr>
        <w:spacing w:before="60" w:after="60"/>
        <w:ind w:firstLine="539"/>
        <w:jc w:val="both"/>
        <w:rPr>
          <w:rFonts w:ascii="Verdana" w:hAnsi="Verdana" w:cs="Arial"/>
          <w:sz w:val="16"/>
          <w:szCs w:val="16"/>
        </w:rPr>
      </w:pPr>
    </w:p>
    <w:p w:rsidR="00CA374E" w:rsidRPr="000A6485" w:rsidRDefault="00CA374E" w:rsidP="00CA374E">
      <w:pPr>
        <w:spacing w:before="240" w:after="120" w:line="240" w:lineRule="auto"/>
        <w:ind w:left="284" w:hanging="284"/>
        <w:rPr>
          <w:rFonts w:ascii="Verdana" w:hAnsi="Verdana"/>
          <w:b/>
          <w:bCs/>
        </w:rPr>
      </w:pPr>
      <w:r w:rsidRPr="000A6485">
        <w:rPr>
          <w:rFonts w:ascii="Verdana" w:hAnsi="Verdana"/>
          <w:b/>
          <w:bCs/>
        </w:rPr>
        <w:t xml:space="preserve">6. </w:t>
      </w:r>
      <w:r w:rsidRPr="000A6485">
        <w:rPr>
          <w:rFonts w:ascii="Verdana" w:hAnsi="Verdana"/>
          <w:b/>
          <w:bCs/>
          <w:sz w:val="22"/>
          <w:szCs w:val="22"/>
        </w:rPr>
        <w:t xml:space="preserve">Etapy przygotowania Wieloletniej Prognozy Finansowej </w:t>
      </w:r>
      <w:r w:rsidRPr="000A6485">
        <w:rPr>
          <w:rFonts w:ascii="Verdana" w:hAnsi="Verdana"/>
          <w:b/>
          <w:bCs/>
          <w:sz w:val="22"/>
          <w:szCs w:val="22"/>
        </w:rPr>
        <w:br/>
        <w:t xml:space="preserve"> m.st. Warszawy</w:t>
      </w:r>
      <w:r w:rsidRPr="000A6485">
        <w:rPr>
          <w:rFonts w:ascii="Verdana" w:hAnsi="Verdana"/>
          <w:b/>
          <w:bCs/>
        </w:rPr>
        <w:t xml:space="preserve"> </w:t>
      </w:r>
    </w:p>
    <w:p w:rsidR="00CA374E" w:rsidRPr="000A6485" w:rsidRDefault="00CA374E" w:rsidP="00CA374E">
      <w:pPr>
        <w:spacing w:before="240" w:after="120"/>
        <w:rPr>
          <w:rFonts w:ascii="Verdana" w:hAnsi="Verdana"/>
          <w:b/>
          <w:bCs/>
          <w:sz w:val="20"/>
          <w:szCs w:val="20"/>
        </w:rPr>
      </w:pPr>
      <w:r w:rsidRPr="000A6485">
        <w:rPr>
          <w:rFonts w:ascii="Verdana" w:hAnsi="Verdana"/>
          <w:b/>
          <w:bCs/>
          <w:sz w:val="20"/>
          <w:szCs w:val="20"/>
        </w:rPr>
        <w:t>6.1 Koncepcja Wieloletniej Prognozy Finansowej m.st. Warszawy</w:t>
      </w:r>
    </w:p>
    <w:p w:rsidR="00CA374E" w:rsidRPr="000A6485" w:rsidRDefault="00CA374E" w:rsidP="00CA374E">
      <w:pPr>
        <w:spacing w:before="40" w:after="40"/>
        <w:ind w:firstLine="540"/>
        <w:jc w:val="both"/>
        <w:rPr>
          <w:rFonts w:ascii="Verdana" w:hAnsi="Verdana"/>
          <w:bCs/>
          <w:sz w:val="16"/>
          <w:szCs w:val="16"/>
        </w:rPr>
      </w:pPr>
      <w:r w:rsidRPr="000A6485">
        <w:rPr>
          <w:rFonts w:ascii="Verdana" w:hAnsi="Verdana"/>
          <w:bCs/>
          <w:sz w:val="16"/>
          <w:szCs w:val="16"/>
        </w:rPr>
        <w:t>W celu wypełnienia wymagań ustawy</w:t>
      </w:r>
      <w:r w:rsidRPr="000A6485">
        <w:rPr>
          <w:rFonts w:ascii="Verdana" w:hAnsi="Verdana"/>
          <w:sz w:val="16"/>
          <w:szCs w:val="16"/>
        </w:rPr>
        <w:t xml:space="preserve"> </w:t>
      </w:r>
      <w:r w:rsidRPr="000A6485">
        <w:rPr>
          <w:rFonts w:ascii="Verdana" w:hAnsi="Verdana" w:cs="Arial"/>
          <w:iCs/>
          <w:sz w:val="16"/>
          <w:szCs w:val="16"/>
        </w:rPr>
        <w:t>o finansach publicznych w zakresie wieloletniej prognozy finansowej</w:t>
      </w:r>
      <w:r w:rsidRPr="000A6485">
        <w:rPr>
          <w:rFonts w:ascii="Verdana" w:hAnsi="Verdana"/>
          <w:bCs/>
          <w:sz w:val="16"/>
          <w:szCs w:val="16"/>
        </w:rPr>
        <w:t xml:space="preserve">, w szczególności zapewnienia zgodności prognozy wieloletniej z budżetem, </w:t>
      </w:r>
      <w:r>
        <w:rPr>
          <w:rFonts w:ascii="Verdana" w:hAnsi="Verdana"/>
          <w:bCs/>
          <w:sz w:val="16"/>
          <w:szCs w:val="16"/>
        </w:rPr>
        <w:t>Wieloletnia Prognoza Finansowa</w:t>
      </w:r>
      <w:r w:rsidRPr="000A6485">
        <w:rPr>
          <w:rFonts w:ascii="Verdana" w:hAnsi="Verdana"/>
          <w:bCs/>
          <w:sz w:val="16"/>
          <w:szCs w:val="16"/>
        </w:rPr>
        <w:t xml:space="preserve"> </w:t>
      </w:r>
      <w:r>
        <w:rPr>
          <w:rFonts w:ascii="Verdana" w:hAnsi="Verdana"/>
          <w:bCs/>
          <w:sz w:val="16"/>
          <w:szCs w:val="16"/>
        </w:rPr>
        <w:br/>
      </w:r>
      <w:r w:rsidRPr="000A6485">
        <w:rPr>
          <w:rFonts w:ascii="Verdana" w:hAnsi="Verdana"/>
          <w:bCs/>
          <w:sz w:val="16"/>
          <w:szCs w:val="16"/>
        </w:rPr>
        <w:t xml:space="preserve">m.st. Warszawy tworzona jest z wykorzystaniem zintegrowanego systemu informatycznego. </w:t>
      </w:r>
    </w:p>
    <w:p w:rsidR="00CA374E" w:rsidRPr="000A6485" w:rsidRDefault="00CA374E" w:rsidP="00CA374E">
      <w:pPr>
        <w:spacing w:before="40" w:after="40"/>
        <w:ind w:firstLine="540"/>
        <w:jc w:val="both"/>
        <w:rPr>
          <w:rFonts w:ascii="Verdana" w:hAnsi="Verdana"/>
          <w:bCs/>
          <w:sz w:val="16"/>
          <w:szCs w:val="16"/>
        </w:rPr>
      </w:pPr>
      <w:r w:rsidRPr="000A6485">
        <w:rPr>
          <w:rFonts w:ascii="Verdana" w:hAnsi="Verdana"/>
          <w:bCs/>
          <w:sz w:val="16"/>
          <w:szCs w:val="16"/>
        </w:rPr>
        <w:t>Główne przesłanki do tworzenia Wieloletniej Prognozy Finansowej z pełnym wykorzystaniem narzędzi systemowych to:</w:t>
      </w:r>
    </w:p>
    <w:p w:rsidR="00CA374E" w:rsidRPr="000A6485" w:rsidRDefault="00CA374E" w:rsidP="00CA374E">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implementacja budżetu Miasta w zintegrowanym systemie informatycznym,</w:t>
      </w:r>
    </w:p>
    <w:p w:rsidR="00CA374E" w:rsidRPr="000A6485" w:rsidRDefault="00CA374E" w:rsidP="00CA374E">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długość okres</w:t>
      </w:r>
      <w:r>
        <w:rPr>
          <w:rFonts w:ascii="Verdana" w:hAnsi="Verdana"/>
          <w:bCs/>
          <w:sz w:val="16"/>
          <w:szCs w:val="16"/>
        </w:rPr>
        <w:t xml:space="preserve">u prognozy - aktualnie lata </w:t>
      </w:r>
      <w:r w:rsidRPr="008F3935">
        <w:rPr>
          <w:rFonts w:ascii="Verdana" w:eastAsiaTheme="minorEastAsia" w:hAnsi="Verdana" w:cs="Verdana"/>
          <w:color w:val="000000"/>
          <w:sz w:val="16"/>
          <w:szCs w:val="16"/>
        </w:rPr>
        <w:t>2024</w:t>
      </w:r>
      <w:r w:rsidRPr="000A6485">
        <w:rPr>
          <w:rFonts w:ascii="Verdana" w:hAnsi="Verdana"/>
          <w:bCs/>
          <w:sz w:val="16"/>
          <w:szCs w:val="16"/>
        </w:rPr>
        <w:t>-2050,</w:t>
      </w:r>
    </w:p>
    <w:p w:rsidR="00CA374E" w:rsidRPr="000A6485" w:rsidRDefault="00CA374E" w:rsidP="00CA374E">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zakres informacji objętych prognozą (18 dzielnic, 4</w:t>
      </w:r>
      <w:r>
        <w:rPr>
          <w:rFonts w:ascii="Verdana" w:hAnsi="Verdana"/>
          <w:bCs/>
          <w:sz w:val="16"/>
          <w:szCs w:val="16"/>
        </w:rPr>
        <w:t>1</w:t>
      </w:r>
      <w:r w:rsidRPr="000A6485">
        <w:rPr>
          <w:rFonts w:ascii="Verdana" w:hAnsi="Verdana"/>
          <w:bCs/>
          <w:sz w:val="16"/>
          <w:szCs w:val="16"/>
        </w:rPr>
        <w:t xml:space="preserve"> biur urzędu, </w:t>
      </w:r>
      <w:r>
        <w:rPr>
          <w:rFonts w:ascii="Verdana" w:hAnsi="Verdana"/>
          <w:bCs/>
          <w:sz w:val="16"/>
          <w:szCs w:val="16"/>
        </w:rPr>
        <w:t>156</w:t>
      </w:r>
      <w:r w:rsidRPr="000A6485">
        <w:rPr>
          <w:rFonts w:ascii="Verdana" w:hAnsi="Verdana"/>
          <w:bCs/>
          <w:sz w:val="16"/>
          <w:szCs w:val="16"/>
        </w:rPr>
        <w:t xml:space="preserve"> jednostek budżetowych </w:t>
      </w:r>
      <w:r w:rsidRPr="000A6485">
        <w:rPr>
          <w:rFonts w:ascii="Verdana" w:hAnsi="Verdana"/>
          <w:bCs/>
          <w:sz w:val="16"/>
          <w:szCs w:val="16"/>
        </w:rPr>
        <w:br/>
        <w:t>o charakterze ogólnomiejskim),</w:t>
      </w:r>
    </w:p>
    <w:p w:rsidR="00CA374E" w:rsidRPr="000A6485" w:rsidRDefault="00CA374E" w:rsidP="00CA374E">
      <w:pPr>
        <w:numPr>
          <w:ilvl w:val="0"/>
          <w:numId w:val="2"/>
        </w:numPr>
        <w:tabs>
          <w:tab w:val="clear" w:pos="1620"/>
          <w:tab w:val="num" w:pos="540"/>
        </w:tabs>
        <w:spacing w:before="40" w:after="40"/>
        <w:ind w:left="540" w:hanging="180"/>
        <w:jc w:val="both"/>
        <w:rPr>
          <w:rFonts w:ascii="Verdana" w:hAnsi="Verdana"/>
          <w:bCs/>
          <w:sz w:val="16"/>
          <w:szCs w:val="16"/>
        </w:rPr>
      </w:pPr>
      <w:r w:rsidRPr="000A6485">
        <w:rPr>
          <w:rFonts w:ascii="Verdana" w:hAnsi="Verdana"/>
          <w:bCs/>
          <w:sz w:val="16"/>
          <w:szCs w:val="16"/>
        </w:rPr>
        <w:t xml:space="preserve">konieczność zapewnienia bezpieczeństwa budżetowego w zakresie planowania przedsięwzięć wieloletnich ujmowanych w Wieloletniej Prognozie Finansowej, stanowiących podstawę do zaciągania zobowiązań wieloletnich. </w:t>
      </w:r>
    </w:p>
    <w:p w:rsidR="00CA374E" w:rsidRDefault="00CA374E" w:rsidP="00CA374E">
      <w:pPr>
        <w:spacing w:before="40" w:after="40"/>
        <w:ind w:firstLine="567"/>
        <w:jc w:val="both"/>
        <w:rPr>
          <w:rFonts w:ascii="Verdana" w:hAnsi="Verdana"/>
          <w:bCs/>
          <w:sz w:val="16"/>
          <w:szCs w:val="16"/>
        </w:rPr>
      </w:pPr>
      <w:r w:rsidRPr="000A6485">
        <w:rPr>
          <w:rFonts w:ascii="Verdana" w:hAnsi="Verdana"/>
          <w:bCs/>
          <w:sz w:val="16"/>
          <w:szCs w:val="16"/>
        </w:rPr>
        <w:t>WPF m.st. Warszawy oprócz prognoz podstawowych wielkości budżetowych, którymi są między innymi dochody, wydatki, przychody, rozchody</w:t>
      </w:r>
      <w:r>
        <w:rPr>
          <w:rFonts w:ascii="Verdana" w:hAnsi="Verdana"/>
          <w:bCs/>
          <w:sz w:val="16"/>
          <w:szCs w:val="16"/>
        </w:rPr>
        <w:t>, wynik budżetu</w:t>
      </w:r>
      <w:r w:rsidRPr="000A6485">
        <w:rPr>
          <w:rFonts w:ascii="Verdana" w:hAnsi="Verdana"/>
          <w:bCs/>
          <w:sz w:val="16"/>
          <w:szCs w:val="16"/>
        </w:rPr>
        <w:t xml:space="preserve">, a także informacji o przeznaczeniu środków zwrotnych, zawiera załącznik z wykazem wieloletnich przedsięwzięć bieżących i majątkowych. Wśród nich znajdują się przedsięwzięcia będące w trakcie realizacji oraz planowane do realizacji w okresie co najmniej dwóch lat. </w:t>
      </w:r>
      <w:r>
        <w:rPr>
          <w:rFonts w:ascii="Verdana" w:hAnsi="Verdana"/>
          <w:bCs/>
          <w:sz w:val="16"/>
          <w:szCs w:val="16"/>
        </w:rPr>
        <w:br/>
      </w:r>
      <w:r w:rsidRPr="000A6485">
        <w:rPr>
          <w:rFonts w:ascii="Verdana" w:hAnsi="Verdana"/>
          <w:bCs/>
          <w:sz w:val="16"/>
          <w:szCs w:val="16"/>
        </w:rPr>
        <w:t xml:space="preserve">Dla opracowania niniejszego zestawienia niezbędne jest gromadzenie odpowiednio zagregowanych informacji </w:t>
      </w:r>
      <w:r>
        <w:rPr>
          <w:rFonts w:ascii="Verdana" w:hAnsi="Verdana"/>
          <w:bCs/>
          <w:sz w:val="16"/>
          <w:szCs w:val="16"/>
        </w:rPr>
        <w:br/>
      </w:r>
      <w:r w:rsidRPr="000A6485">
        <w:rPr>
          <w:rFonts w:ascii="Verdana" w:hAnsi="Verdana"/>
          <w:bCs/>
          <w:sz w:val="16"/>
          <w:szCs w:val="16"/>
        </w:rPr>
        <w:t>w powyższym zakresie ze wszystkich jednostek organizacyjnych Miasta, w tym wszystkich jednostek funkcjonujących w dzielnicach.</w:t>
      </w:r>
      <w:r>
        <w:rPr>
          <w:rFonts w:ascii="Verdana" w:hAnsi="Verdana"/>
          <w:bCs/>
          <w:sz w:val="16"/>
          <w:szCs w:val="16"/>
        </w:rPr>
        <w:br w:type="page"/>
      </w:r>
    </w:p>
    <w:p w:rsidR="00CA374E" w:rsidRPr="000A6485" w:rsidRDefault="00CA374E" w:rsidP="00CA374E">
      <w:pPr>
        <w:spacing w:before="120" w:after="120" w:line="240" w:lineRule="auto"/>
        <w:ind w:left="284" w:hanging="284"/>
        <w:rPr>
          <w:rFonts w:ascii="Verdana" w:hAnsi="Verdana"/>
          <w:b/>
          <w:bCs/>
          <w:sz w:val="20"/>
          <w:szCs w:val="20"/>
        </w:rPr>
      </w:pPr>
      <w:r w:rsidRPr="000A6485">
        <w:rPr>
          <w:rFonts w:ascii="Verdana" w:hAnsi="Verdana"/>
          <w:b/>
          <w:bCs/>
          <w:sz w:val="20"/>
          <w:szCs w:val="20"/>
        </w:rPr>
        <w:lastRenderedPageBreak/>
        <w:t xml:space="preserve">6.2 Schemat procesu opracowywania Wieloletniej Prognozy Finansowej </w:t>
      </w:r>
      <w:r>
        <w:rPr>
          <w:rFonts w:ascii="Verdana" w:hAnsi="Verdana"/>
          <w:b/>
          <w:bCs/>
          <w:sz w:val="20"/>
          <w:szCs w:val="20"/>
        </w:rPr>
        <w:br/>
        <w:t xml:space="preserve">  m.st. Warszawy na lata </w:t>
      </w:r>
      <w:r w:rsidRPr="008F3935">
        <w:rPr>
          <w:rFonts w:ascii="Verdana" w:hAnsi="Verdana"/>
          <w:b/>
          <w:bCs/>
          <w:sz w:val="20"/>
          <w:szCs w:val="20"/>
        </w:rPr>
        <w:t>2024</w:t>
      </w:r>
      <w:r w:rsidRPr="000A6485">
        <w:rPr>
          <w:rFonts w:ascii="Verdana" w:hAnsi="Verdana"/>
          <w:b/>
          <w:bCs/>
          <w:sz w:val="20"/>
          <w:szCs w:val="20"/>
        </w:rPr>
        <w:t>-2050</w:t>
      </w:r>
    </w:p>
    <w:p w:rsidR="00CA374E" w:rsidRDefault="00CA374E" w:rsidP="00CA374E">
      <w:pPr>
        <w:spacing w:before="120" w:after="120"/>
        <w:jc w:val="center"/>
        <w:rPr>
          <w:rFonts w:ascii="Verdana" w:hAnsi="Verdana"/>
          <w:b/>
          <w:bCs/>
          <w:sz w:val="22"/>
          <w:szCs w:val="22"/>
        </w:rPr>
      </w:pPr>
      <w:r w:rsidRPr="000A6485">
        <w:rPr>
          <w:noProof/>
        </w:rPr>
        <mc:AlternateContent>
          <mc:Choice Requires="wps">
            <w:drawing>
              <wp:anchor distT="0" distB="0" distL="114300" distR="114300" simplePos="0" relativeHeight="251717632" behindDoc="0" locked="0" layoutInCell="1" allowOverlap="1" wp14:anchorId="3B7E064F" wp14:editId="6CC4CEF3">
                <wp:simplePos x="0" y="0"/>
                <wp:positionH relativeFrom="column">
                  <wp:posOffset>1434465</wp:posOffset>
                </wp:positionH>
                <wp:positionV relativeFrom="paragraph">
                  <wp:posOffset>9210040</wp:posOffset>
                </wp:positionV>
                <wp:extent cx="1619250" cy="485775"/>
                <wp:effectExtent l="0" t="0" r="0" b="9525"/>
                <wp:wrapNone/>
                <wp:docPr id="32"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A302D9" id="Prostokąt 4" o:spid="_x0000_s1026" style="position:absolute;margin-left:112.95pt;margin-top:725.2pt;width:127.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" fillcolor="white [3212]" stroked="f" strokeweight="1pt">
                <v:path arrowok="t"/>
              </v:rect>
            </w:pict>
          </mc:Fallback>
        </mc:AlternateContent>
      </w:r>
      <w:r w:rsidRPr="000A6485">
        <w:rPr>
          <w:noProof/>
        </w:rPr>
        <mc:AlternateContent>
          <mc:Choice Requires="wps">
            <w:drawing>
              <wp:anchor distT="0" distB="0" distL="114300" distR="114300" simplePos="0" relativeHeight="251718656" behindDoc="0" locked="0" layoutInCell="1" allowOverlap="1" wp14:anchorId="554440B4" wp14:editId="3673201E">
                <wp:simplePos x="0" y="0"/>
                <wp:positionH relativeFrom="column">
                  <wp:posOffset>3266440</wp:posOffset>
                </wp:positionH>
                <wp:positionV relativeFrom="paragraph">
                  <wp:posOffset>9105380</wp:posOffset>
                </wp:positionV>
                <wp:extent cx="1880870" cy="914400"/>
                <wp:effectExtent l="0" t="0" r="24130" b="1905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914400"/>
                        </a:xfrm>
                        <a:prstGeom prst="rect">
                          <a:avLst/>
                        </a:prstGeom>
                        <a:solidFill>
                          <a:srgbClr val="FFFFFF"/>
                        </a:solidFill>
                        <a:ln w="9525">
                          <a:solidFill>
                            <a:schemeClr val="bg1">
                              <a:lumMod val="100000"/>
                              <a:lumOff val="0"/>
                            </a:schemeClr>
                          </a:solidFill>
                          <a:miter lim="800000"/>
                          <a:headEnd/>
                          <a:tailEnd/>
                        </a:ln>
                      </wps:spPr>
                      <wps:txbx>
                        <w:txbxContent>
                          <w:p w:rsidR="00067F5A" w:rsidRDefault="00067F5A" w:rsidP="00CA3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40B4" id="Text Box 37" o:spid="_x0000_s1028" type="#_x0000_t202" style="position:absolute;left:0;text-align:left;margin-left:257.2pt;margin-top:716.95pt;width:148.1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" strokecolor="white [3212]">
                <v:textbox>
                  <w:txbxContent>
                    <w:p w:rsidR="00067F5A" w:rsidRDefault="00067F5A" w:rsidP="00CA374E"/>
                  </w:txbxContent>
                </v:textbox>
              </v:shape>
            </w:pict>
          </mc:Fallback>
        </mc:AlternateContent>
      </w:r>
      <w:r w:rsidRPr="000A6485">
        <w:rPr>
          <w:noProof/>
        </w:rPr>
        <mc:AlternateContent>
          <mc:Choice Requires="wps">
            <w:drawing>
              <wp:anchor distT="0" distB="0" distL="114300" distR="114300" simplePos="0" relativeHeight="251716608" behindDoc="0" locked="0" layoutInCell="1" allowOverlap="1" wp14:anchorId="79A3F9DC" wp14:editId="22B55A65">
                <wp:simplePos x="0" y="0"/>
                <wp:positionH relativeFrom="column">
                  <wp:posOffset>3126105</wp:posOffset>
                </wp:positionH>
                <wp:positionV relativeFrom="paragraph">
                  <wp:posOffset>8864600</wp:posOffset>
                </wp:positionV>
                <wp:extent cx="1857375" cy="790575"/>
                <wp:effectExtent l="0" t="0" r="9525" b="952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C1A16" id="Prostokąt 36" o:spid="_x0000_s1026" style="position:absolute;margin-left:246.15pt;margin-top:698pt;width:146.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" stroked="f"/>
            </w:pict>
          </mc:Fallback>
        </mc:AlternateContent>
      </w:r>
      <w:r w:rsidRPr="00EC2C54">
        <w:rPr>
          <w:noProof/>
        </w:rPr>
        <w:drawing>
          <wp:inline distT="0" distB="0" distL="0" distR="0" wp14:anchorId="225996B5" wp14:editId="61F75234">
            <wp:extent cx="5761152" cy="842098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1619"/>
                    <a:stretch/>
                  </pic:blipFill>
                  <pic:spPr bwMode="auto">
                    <a:xfrm>
                      <a:off x="0" y="0"/>
                      <a:ext cx="5781221" cy="84503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bCs/>
          <w:sz w:val="22"/>
          <w:szCs w:val="22"/>
        </w:rPr>
        <w:br w:type="page"/>
      </w:r>
    </w:p>
    <w:p w:rsidR="00CA374E" w:rsidRPr="000A6485" w:rsidRDefault="00CA374E" w:rsidP="00CA374E">
      <w:pPr>
        <w:spacing w:before="240" w:after="240" w:line="240" w:lineRule="auto"/>
        <w:ind w:left="425" w:hanging="425"/>
        <w:rPr>
          <w:rFonts w:ascii="Verdana" w:hAnsi="Verdana"/>
          <w:b/>
          <w:bCs/>
          <w:sz w:val="22"/>
          <w:szCs w:val="22"/>
        </w:rPr>
      </w:pPr>
      <w:r w:rsidRPr="000A6485">
        <w:rPr>
          <w:rFonts w:ascii="Verdana" w:hAnsi="Verdana"/>
          <w:b/>
          <w:bCs/>
          <w:sz w:val="22"/>
          <w:szCs w:val="22"/>
        </w:rPr>
        <w:lastRenderedPageBreak/>
        <w:t xml:space="preserve">7.  Założenia Wieloletniej Prognozy Finansowej m.st. Warszawy </w:t>
      </w:r>
      <w:r w:rsidRPr="000A6485">
        <w:rPr>
          <w:rFonts w:ascii="Verdana" w:hAnsi="Verdana"/>
          <w:b/>
          <w:bCs/>
          <w:sz w:val="22"/>
          <w:szCs w:val="22"/>
        </w:rPr>
        <w:br/>
      </w:r>
      <w:r>
        <w:rPr>
          <w:rFonts w:ascii="Verdana" w:hAnsi="Verdana"/>
          <w:b/>
          <w:bCs/>
          <w:sz w:val="22"/>
          <w:szCs w:val="22"/>
        </w:rPr>
        <w:t xml:space="preserve">na lata </w:t>
      </w:r>
      <w:r w:rsidRPr="008F3935">
        <w:rPr>
          <w:rFonts w:ascii="Verdana" w:hAnsi="Verdana"/>
          <w:b/>
          <w:bCs/>
          <w:sz w:val="20"/>
          <w:szCs w:val="20"/>
        </w:rPr>
        <w:t>2024</w:t>
      </w:r>
      <w:r w:rsidRPr="000A6485">
        <w:rPr>
          <w:rFonts w:ascii="Verdana" w:hAnsi="Verdana"/>
          <w:b/>
          <w:bCs/>
          <w:sz w:val="22"/>
          <w:szCs w:val="22"/>
        </w:rPr>
        <w:t>-2050</w:t>
      </w:r>
    </w:p>
    <w:p w:rsidR="00CA374E" w:rsidRPr="002B7679" w:rsidRDefault="00CA374E" w:rsidP="00CA374E">
      <w:pPr>
        <w:spacing w:before="60" w:after="60"/>
        <w:ind w:firstLine="567"/>
        <w:jc w:val="both"/>
        <w:rPr>
          <w:rFonts w:ascii="Verdana" w:hAnsi="Verdana" w:cs="Arial"/>
          <w:sz w:val="16"/>
          <w:szCs w:val="16"/>
        </w:rPr>
      </w:pPr>
      <w:r>
        <w:rPr>
          <w:rFonts w:ascii="Verdana" w:hAnsi="Verdana" w:cs="Arial"/>
          <w:iCs/>
          <w:sz w:val="16"/>
          <w:szCs w:val="16"/>
        </w:rPr>
        <w:t xml:space="preserve">Wieloletnia Prognoza Finansowa </w:t>
      </w:r>
      <w:r w:rsidRPr="00DD26A6">
        <w:rPr>
          <w:rFonts w:ascii="Verdana" w:hAnsi="Verdana" w:cs="Arial"/>
          <w:iCs/>
          <w:sz w:val="16"/>
          <w:szCs w:val="16"/>
        </w:rPr>
        <w:t xml:space="preserve">m.st. Warszawy na lata </w:t>
      </w:r>
      <w:r w:rsidRPr="008F3935">
        <w:rPr>
          <w:rFonts w:ascii="Verdana" w:eastAsiaTheme="minorEastAsia" w:hAnsi="Verdana" w:cs="Verdana"/>
          <w:color w:val="000000"/>
          <w:sz w:val="16"/>
          <w:szCs w:val="16"/>
        </w:rPr>
        <w:t>2024</w:t>
      </w:r>
      <w:r w:rsidRPr="00DD26A6">
        <w:rPr>
          <w:rFonts w:ascii="Verdana" w:hAnsi="Verdana" w:cs="Arial"/>
          <w:iCs/>
          <w:sz w:val="16"/>
          <w:szCs w:val="16"/>
        </w:rPr>
        <w:t>-2050</w:t>
      </w:r>
      <w:r>
        <w:rPr>
          <w:rFonts w:ascii="Verdana" w:hAnsi="Verdana"/>
          <w:sz w:val="16"/>
          <w:szCs w:val="16"/>
        </w:rPr>
        <w:t xml:space="preserve"> została opracowana</w:t>
      </w:r>
      <w:r w:rsidRPr="00AC083A">
        <w:rPr>
          <w:rFonts w:ascii="Verdana" w:hAnsi="Verdana"/>
          <w:sz w:val="16"/>
          <w:szCs w:val="16"/>
        </w:rPr>
        <w:t xml:space="preserve"> </w:t>
      </w:r>
      <w:r w:rsidRPr="000A6485">
        <w:rPr>
          <w:rFonts w:ascii="Verdana" w:hAnsi="Verdana"/>
          <w:sz w:val="16"/>
          <w:szCs w:val="16"/>
        </w:rPr>
        <w:t>na bazie poprzedniej edycji WPF, tj. obejmującej</w:t>
      </w:r>
      <w:r>
        <w:rPr>
          <w:rFonts w:ascii="Verdana" w:hAnsi="Verdana"/>
          <w:sz w:val="16"/>
          <w:szCs w:val="16"/>
        </w:rPr>
        <w:t xml:space="preserve"> lata </w:t>
      </w:r>
      <w:r w:rsidRPr="008F3935">
        <w:rPr>
          <w:rFonts w:ascii="Verdana" w:eastAsiaTheme="minorEastAsia" w:hAnsi="Verdana" w:cs="Verdana"/>
          <w:color w:val="000000"/>
          <w:sz w:val="16"/>
          <w:szCs w:val="16"/>
        </w:rPr>
        <w:t>2023</w:t>
      </w:r>
      <w:r>
        <w:rPr>
          <w:rFonts w:ascii="Verdana" w:hAnsi="Verdana"/>
          <w:sz w:val="16"/>
          <w:szCs w:val="16"/>
        </w:rPr>
        <w:t xml:space="preserve">-2050, </w:t>
      </w:r>
      <w:r w:rsidRPr="00AC083A">
        <w:rPr>
          <w:rFonts w:ascii="Verdana" w:hAnsi="Verdana"/>
          <w:sz w:val="16"/>
          <w:szCs w:val="16"/>
        </w:rPr>
        <w:t xml:space="preserve">z uwzględnieniem planowanych </w:t>
      </w:r>
      <w:r>
        <w:rPr>
          <w:rFonts w:ascii="Verdana" w:hAnsi="Verdana"/>
          <w:sz w:val="16"/>
          <w:szCs w:val="16"/>
        </w:rPr>
        <w:t xml:space="preserve">na </w:t>
      </w:r>
      <w:r w:rsidRPr="008F3935">
        <w:rPr>
          <w:rFonts w:ascii="Verdana" w:eastAsiaTheme="minorEastAsia" w:hAnsi="Verdana" w:cs="Verdana"/>
          <w:color w:val="000000"/>
          <w:sz w:val="16"/>
          <w:szCs w:val="16"/>
        </w:rPr>
        <w:t>2024</w:t>
      </w:r>
      <w:r>
        <w:rPr>
          <w:rFonts w:ascii="Verdana" w:hAnsi="Verdana"/>
          <w:sz w:val="16"/>
          <w:szCs w:val="16"/>
        </w:rPr>
        <w:t xml:space="preserve"> r. </w:t>
      </w:r>
      <w:r w:rsidRPr="00AC083A">
        <w:rPr>
          <w:rFonts w:ascii="Verdana" w:hAnsi="Verdana"/>
          <w:sz w:val="16"/>
          <w:szCs w:val="16"/>
        </w:rPr>
        <w:t xml:space="preserve">dochodów </w:t>
      </w:r>
      <w:r>
        <w:rPr>
          <w:rFonts w:ascii="Verdana" w:hAnsi="Verdana"/>
          <w:sz w:val="16"/>
          <w:szCs w:val="16"/>
        </w:rPr>
        <w:br/>
      </w:r>
      <w:r w:rsidRPr="00AC083A">
        <w:rPr>
          <w:rFonts w:ascii="Verdana" w:hAnsi="Verdana"/>
          <w:sz w:val="16"/>
          <w:szCs w:val="16"/>
        </w:rPr>
        <w:t xml:space="preserve">z podatków dochodowych od osób fizycznych (PIT) i osób prawnych (CIT) </w:t>
      </w:r>
      <w:r>
        <w:rPr>
          <w:rFonts w:ascii="Verdana" w:hAnsi="Verdana"/>
          <w:sz w:val="16"/>
          <w:szCs w:val="16"/>
        </w:rPr>
        <w:t xml:space="preserve">oraz dochodów z subwencji ogólnej, </w:t>
      </w:r>
      <w:r>
        <w:rPr>
          <w:rFonts w:ascii="Verdana" w:hAnsi="Verdana"/>
          <w:sz w:val="16"/>
          <w:szCs w:val="16"/>
        </w:rPr>
        <w:br/>
        <w:t>a także</w:t>
      </w:r>
      <w:r w:rsidRPr="00AC083A">
        <w:rPr>
          <w:rFonts w:ascii="Verdana" w:hAnsi="Verdana"/>
          <w:sz w:val="16"/>
          <w:szCs w:val="16"/>
        </w:rPr>
        <w:t xml:space="preserve"> </w:t>
      </w:r>
      <w:r>
        <w:rPr>
          <w:rFonts w:ascii="Verdana" w:hAnsi="Verdana"/>
          <w:sz w:val="16"/>
          <w:szCs w:val="16"/>
        </w:rPr>
        <w:t xml:space="preserve">wysokości </w:t>
      </w:r>
      <w:r w:rsidRPr="00AC083A">
        <w:rPr>
          <w:rFonts w:ascii="Verdana" w:hAnsi="Verdana"/>
          <w:sz w:val="16"/>
          <w:szCs w:val="16"/>
        </w:rPr>
        <w:t xml:space="preserve">wpłaty do budżetu państwa na rzecz subwencji ogólnej w części równoważącej </w:t>
      </w:r>
      <w:r>
        <w:rPr>
          <w:rFonts w:ascii="Verdana" w:hAnsi="Verdana"/>
          <w:sz w:val="16"/>
          <w:szCs w:val="16"/>
        </w:rPr>
        <w:br/>
      </w:r>
      <w:r w:rsidRPr="00AC083A">
        <w:rPr>
          <w:rFonts w:ascii="Verdana" w:hAnsi="Verdana"/>
          <w:sz w:val="16"/>
          <w:szCs w:val="16"/>
        </w:rPr>
        <w:t xml:space="preserve">(tzw. Janosikowe) na poziomie zgodnym z kwotami podanymi przez Ministerstwo </w:t>
      </w:r>
      <w:r>
        <w:rPr>
          <w:rFonts w:ascii="Verdana" w:hAnsi="Verdana"/>
          <w:sz w:val="16"/>
          <w:szCs w:val="16"/>
        </w:rPr>
        <w:t xml:space="preserve">Finansów </w:t>
      </w:r>
      <w:r w:rsidRPr="00AC083A">
        <w:rPr>
          <w:rFonts w:ascii="Verdana" w:hAnsi="Verdana"/>
          <w:sz w:val="16"/>
          <w:szCs w:val="16"/>
        </w:rPr>
        <w:t xml:space="preserve">w pismach </w:t>
      </w:r>
      <w:r>
        <w:rPr>
          <w:rFonts w:ascii="Verdana" w:hAnsi="Verdana"/>
          <w:sz w:val="16"/>
          <w:szCs w:val="16"/>
        </w:rPr>
        <w:br/>
        <w:t xml:space="preserve">z 13 października </w:t>
      </w:r>
      <w:r w:rsidRPr="003567C6">
        <w:rPr>
          <w:rFonts w:ascii="Verdana" w:eastAsiaTheme="minorEastAsia" w:hAnsi="Verdana" w:cs="Verdana"/>
          <w:color w:val="000000"/>
          <w:sz w:val="16"/>
          <w:szCs w:val="16"/>
        </w:rPr>
        <w:t>2023</w:t>
      </w:r>
      <w:r w:rsidRPr="00AC083A">
        <w:rPr>
          <w:rFonts w:ascii="Verdana" w:hAnsi="Verdana"/>
          <w:sz w:val="16"/>
          <w:szCs w:val="16"/>
        </w:rPr>
        <w:t xml:space="preserve"> r. znak: ST3.4750.</w:t>
      </w:r>
      <w:r>
        <w:rPr>
          <w:rFonts w:ascii="Verdana" w:hAnsi="Verdana"/>
          <w:sz w:val="16"/>
          <w:szCs w:val="16"/>
        </w:rPr>
        <w:t>19</w:t>
      </w:r>
      <w:r w:rsidRPr="00AC083A">
        <w:rPr>
          <w:rFonts w:ascii="Verdana" w:hAnsi="Verdana"/>
          <w:sz w:val="16"/>
          <w:szCs w:val="16"/>
        </w:rPr>
        <w:t>.</w:t>
      </w:r>
      <w:r w:rsidRPr="003567C6">
        <w:rPr>
          <w:rFonts w:ascii="Verdana" w:eastAsiaTheme="minorEastAsia" w:hAnsi="Verdana" w:cs="Verdana"/>
          <w:color w:val="000000"/>
          <w:sz w:val="16"/>
          <w:szCs w:val="16"/>
        </w:rPr>
        <w:t>2023</w:t>
      </w:r>
      <w:r w:rsidRPr="00AC083A">
        <w:rPr>
          <w:rFonts w:ascii="Verdana" w:hAnsi="Verdana"/>
          <w:sz w:val="16"/>
          <w:szCs w:val="16"/>
        </w:rPr>
        <w:t xml:space="preserve"> i ST</w:t>
      </w:r>
      <w:r>
        <w:rPr>
          <w:rFonts w:ascii="Verdana" w:hAnsi="Verdana"/>
          <w:sz w:val="16"/>
          <w:szCs w:val="16"/>
        </w:rPr>
        <w:t>3</w:t>
      </w:r>
      <w:r w:rsidRPr="00AC083A">
        <w:rPr>
          <w:rFonts w:ascii="Verdana" w:hAnsi="Verdana"/>
          <w:sz w:val="16"/>
          <w:szCs w:val="16"/>
        </w:rPr>
        <w:t>.4750.</w:t>
      </w:r>
      <w:r>
        <w:rPr>
          <w:rFonts w:ascii="Verdana" w:hAnsi="Verdana"/>
          <w:sz w:val="16"/>
          <w:szCs w:val="16"/>
        </w:rPr>
        <w:t>20.</w:t>
      </w:r>
      <w:r w:rsidRPr="003567C6">
        <w:rPr>
          <w:rFonts w:ascii="Verdana" w:eastAsiaTheme="minorEastAsia" w:hAnsi="Verdana" w:cs="Verdana"/>
          <w:color w:val="000000"/>
          <w:sz w:val="16"/>
          <w:szCs w:val="16"/>
        </w:rPr>
        <w:t>2023</w:t>
      </w:r>
      <w:r w:rsidRPr="00AC083A">
        <w:rPr>
          <w:rFonts w:ascii="Verdana" w:hAnsi="Verdana"/>
          <w:sz w:val="16"/>
          <w:szCs w:val="16"/>
        </w:rPr>
        <w:t>.</w:t>
      </w:r>
      <w:r>
        <w:rPr>
          <w:rFonts w:ascii="Verdana" w:hAnsi="Verdana"/>
          <w:sz w:val="16"/>
          <w:szCs w:val="16"/>
        </w:rPr>
        <w:t xml:space="preserve"> Zgodnie z informacją </w:t>
      </w:r>
      <w:r w:rsidRPr="004B78EB">
        <w:rPr>
          <w:rFonts w:ascii="Verdana" w:hAnsi="Verdana"/>
          <w:sz w:val="16"/>
          <w:szCs w:val="16"/>
        </w:rPr>
        <w:t>przedstawioną przez Ministerstwo Finansów</w:t>
      </w:r>
      <w:r>
        <w:rPr>
          <w:rFonts w:ascii="Verdana" w:hAnsi="Verdana"/>
          <w:sz w:val="16"/>
          <w:szCs w:val="16"/>
        </w:rPr>
        <w:t xml:space="preserve"> w powyższych pismach, </w:t>
      </w:r>
      <w:r w:rsidRPr="004B78EB">
        <w:rPr>
          <w:rFonts w:ascii="Verdana" w:hAnsi="Verdana"/>
          <w:sz w:val="16"/>
          <w:szCs w:val="16"/>
        </w:rPr>
        <w:t>w związku z przepisami projektu tzw. ustawy okołobudżetowej na 2024 r.</w:t>
      </w:r>
      <w:r>
        <w:rPr>
          <w:rFonts w:ascii="Verdana" w:hAnsi="Verdana"/>
          <w:sz w:val="16"/>
          <w:szCs w:val="16"/>
        </w:rPr>
        <w:t xml:space="preserve">, </w:t>
      </w:r>
      <w:r w:rsidRPr="004B78EB">
        <w:rPr>
          <w:rFonts w:ascii="Verdana" w:hAnsi="Verdana"/>
          <w:sz w:val="16"/>
          <w:szCs w:val="16"/>
        </w:rPr>
        <w:t xml:space="preserve">samorządy w 2024 r. nie otrzymają </w:t>
      </w:r>
      <w:r>
        <w:rPr>
          <w:rFonts w:ascii="Verdana" w:hAnsi="Verdana"/>
          <w:sz w:val="16"/>
          <w:szCs w:val="16"/>
        </w:rPr>
        <w:t>części</w:t>
      </w:r>
      <w:r w:rsidRPr="004B78EB">
        <w:rPr>
          <w:rFonts w:ascii="Verdana" w:hAnsi="Verdana"/>
          <w:sz w:val="16"/>
          <w:szCs w:val="16"/>
        </w:rPr>
        <w:t xml:space="preserve"> rozwojowej</w:t>
      </w:r>
      <w:r>
        <w:rPr>
          <w:rFonts w:ascii="Verdana" w:hAnsi="Verdana"/>
          <w:sz w:val="16"/>
          <w:szCs w:val="16"/>
        </w:rPr>
        <w:t xml:space="preserve"> subwencji ogólnej stanowiącej rekompensatę </w:t>
      </w:r>
      <w:r w:rsidRPr="004B78EB">
        <w:rPr>
          <w:rFonts w:ascii="Verdana" w:hAnsi="Verdana"/>
          <w:sz w:val="16"/>
          <w:szCs w:val="16"/>
        </w:rPr>
        <w:t xml:space="preserve">ograniczenia dochodów </w:t>
      </w:r>
      <w:r>
        <w:rPr>
          <w:rFonts w:ascii="Verdana" w:hAnsi="Verdana"/>
          <w:sz w:val="16"/>
          <w:szCs w:val="16"/>
        </w:rPr>
        <w:t xml:space="preserve">samorządów </w:t>
      </w:r>
      <w:r w:rsidRPr="004B78EB">
        <w:rPr>
          <w:rFonts w:ascii="Verdana" w:hAnsi="Verdana"/>
          <w:sz w:val="16"/>
          <w:szCs w:val="16"/>
        </w:rPr>
        <w:t>z PIT</w:t>
      </w:r>
      <w:r>
        <w:rPr>
          <w:rFonts w:ascii="Verdana" w:hAnsi="Verdana"/>
          <w:sz w:val="16"/>
          <w:szCs w:val="16"/>
        </w:rPr>
        <w:t xml:space="preserve"> na skutek rozwiązań prawnych objętych pakietem ustaw tzw. Polskiego Ładu obowiązujących od 2022 r.</w:t>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t>7.1 Kształtowanie się podstawowych parametrów budżetowych</w:t>
      </w:r>
      <w:r w:rsidRPr="000A6485">
        <w:rPr>
          <w:rStyle w:val="Odwoanieprzypisudolnego"/>
          <w:rFonts w:ascii="Verdana" w:hAnsi="Verdana"/>
          <w:sz w:val="20"/>
          <w:szCs w:val="20"/>
        </w:rPr>
        <w:footnoteReference w:id="10"/>
      </w:r>
    </w:p>
    <w:p w:rsidR="00CA374E" w:rsidRPr="000A6485" w:rsidRDefault="00CA374E" w:rsidP="00CA374E">
      <w:pPr>
        <w:spacing w:before="120" w:after="120"/>
        <w:jc w:val="both"/>
        <w:rPr>
          <w:rFonts w:ascii="Verdana" w:hAnsi="Verdana"/>
          <w:bCs/>
          <w:sz w:val="18"/>
          <w:szCs w:val="18"/>
        </w:rPr>
      </w:pPr>
      <w:r w:rsidRPr="000A6485">
        <w:rPr>
          <w:rFonts w:ascii="Verdana" w:hAnsi="Verdana"/>
          <w:b/>
          <w:bCs/>
          <w:sz w:val="18"/>
          <w:szCs w:val="18"/>
        </w:rPr>
        <w:t>7.1.1 Dochody, wydatki, wynik budżetu</w:t>
      </w:r>
    </w:p>
    <w:p w:rsidR="00CA374E" w:rsidRPr="000A6485" w:rsidRDefault="00CA374E" w:rsidP="00CA374E">
      <w:pPr>
        <w:spacing w:before="120" w:after="120"/>
        <w:jc w:val="both"/>
        <w:rPr>
          <w:rFonts w:ascii="Verdana" w:hAnsi="Verdana"/>
          <w:bCs/>
          <w:sz w:val="16"/>
          <w:szCs w:val="16"/>
        </w:rPr>
      </w:pPr>
      <w:r w:rsidRPr="000A6485">
        <w:rPr>
          <w:rFonts w:ascii="Verdana" w:hAnsi="Verdana"/>
          <w:bCs/>
          <w:sz w:val="16"/>
          <w:szCs w:val="16"/>
        </w:rPr>
        <w:t xml:space="preserve">W perspektywie </w:t>
      </w:r>
      <w:r>
        <w:rPr>
          <w:rFonts w:ascii="Verdana" w:hAnsi="Verdana"/>
          <w:bCs/>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bCs/>
          <w:sz w:val="16"/>
          <w:szCs w:val="16"/>
        </w:rPr>
        <w:t xml:space="preserve">-2050 dla pierwszych </w:t>
      </w:r>
      <w:r>
        <w:rPr>
          <w:rFonts w:ascii="Verdana" w:hAnsi="Verdana"/>
          <w:bCs/>
          <w:sz w:val="16"/>
          <w:szCs w:val="16"/>
        </w:rPr>
        <w:t>czterech</w:t>
      </w:r>
      <w:r w:rsidRPr="000A6485">
        <w:rPr>
          <w:rFonts w:ascii="Verdana" w:hAnsi="Verdana"/>
          <w:bCs/>
          <w:sz w:val="16"/>
          <w:szCs w:val="16"/>
        </w:rPr>
        <w:t xml:space="preserve"> lat prognozy, tj. lat </w:t>
      </w:r>
      <w:r w:rsidRPr="008F3935">
        <w:rPr>
          <w:rFonts w:ascii="Verdana" w:eastAsiaTheme="minorEastAsia" w:hAnsi="Verdana" w:cs="Verdana"/>
          <w:color w:val="000000"/>
          <w:sz w:val="16"/>
          <w:szCs w:val="16"/>
        </w:rPr>
        <w:t>2024</w:t>
      </w:r>
      <w:r w:rsidRPr="000A6485">
        <w:rPr>
          <w:rFonts w:ascii="Verdana" w:hAnsi="Verdana"/>
          <w:bCs/>
          <w:sz w:val="16"/>
          <w:szCs w:val="16"/>
        </w:rPr>
        <w:t>-202</w:t>
      </w:r>
      <w:r>
        <w:rPr>
          <w:rFonts w:ascii="Verdana" w:hAnsi="Verdana"/>
          <w:bCs/>
          <w:sz w:val="16"/>
          <w:szCs w:val="16"/>
        </w:rPr>
        <w:t>7</w:t>
      </w:r>
      <w:r w:rsidRPr="000A6485">
        <w:rPr>
          <w:rFonts w:ascii="Verdana" w:hAnsi="Verdana"/>
          <w:bCs/>
          <w:sz w:val="16"/>
          <w:szCs w:val="16"/>
        </w:rPr>
        <w:t>, zakłada się wystąpienie ujemnego wyniku budżetowego,</w:t>
      </w:r>
      <w:r>
        <w:rPr>
          <w:rFonts w:ascii="Verdana" w:hAnsi="Verdana"/>
          <w:bCs/>
          <w:sz w:val="16"/>
          <w:szCs w:val="16"/>
        </w:rPr>
        <w:t xml:space="preserve"> związanego głównie z wysokimi nakładami inwestycyjnymi oraz okresem adaptacji do negatywnych dla dochodów Miasta skutków programu Polski Ład, </w:t>
      </w:r>
      <w:r w:rsidRPr="000A6485">
        <w:rPr>
          <w:rFonts w:ascii="Verdana" w:hAnsi="Verdana"/>
          <w:bCs/>
          <w:sz w:val="16"/>
          <w:szCs w:val="16"/>
        </w:rPr>
        <w:t>natomiast począwszy od 202</w:t>
      </w:r>
      <w:r>
        <w:rPr>
          <w:rFonts w:ascii="Verdana" w:hAnsi="Verdana"/>
          <w:bCs/>
          <w:sz w:val="16"/>
          <w:szCs w:val="16"/>
        </w:rPr>
        <w:t>8</w:t>
      </w:r>
      <w:r w:rsidRPr="000A6485">
        <w:rPr>
          <w:rFonts w:ascii="Verdana" w:hAnsi="Verdana"/>
          <w:bCs/>
          <w:sz w:val="16"/>
          <w:szCs w:val="16"/>
        </w:rPr>
        <w:t xml:space="preserve"> r. </w:t>
      </w:r>
      <w:r>
        <w:rPr>
          <w:rFonts w:ascii="Verdana" w:hAnsi="Verdana"/>
          <w:bCs/>
          <w:sz w:val="16"/>
          <w:szCs w:val="16"/>
        </w:rPr>
        <w:t xml:space="preserve">przewiduje się </w:t>
      </w:r>
      <w:r w:rsidRPr="000A6485">
        <w:rPr>
          <w:rFonts w:ascii="Verdana" w:hAnsi="Verdana"/>
          <w:bCs/>
          <w:sz w:val="16"/>
          <w:szCs w:val="16"/>
        </w:rPr>
        <w:t>uzyskiwanie nadwyżek dochodów nad wydatkami</w:t>
      </w:r>
      <w:r>
        <w:rPr>
          <w:rFonts w:ascii="Verdana" w:hAnsi="Verdana"/>
          <w:bCs/>
          <w:sz w:val="16"/>
          <w:szCs w:val="16"/>
        </w:rPr>
        <w:t xml:space="preserve"> </w:t>
      </w:r>
      <w:r w:rsidRPr="000A6485">
        <w:rPr>
          <w:rFonts w:ascii="Verdana" w:hAnsi="Verdana"/>
          <w:bCs/>
          <w:sz w:val="16"/>
          <w:szCs w:val="16"/>
        </w:rPr>
        <w:t xml:space="preserve">służących spłacie długu </w:t>
      </w:r>
      <w:r>
        <w:rPr>
          <w:rFonts w:ascii="Verdana" w:hAnsi="Verdana"/>
          <w:bCs/>
          <w:sz w:val="16"/>
          <w:szCs w:val="16"/>
        </w:rPr>
        <w:t>zaciągniętego do roku 2014 i w latach 2020-2021 oraz planowanego do zaciągnięcia w latach 2023-2027</w:t>
      </w:r>
      <w:r w:rsidRPr="000A6485">
        <w:rPr>
          <w:rFonts w:ascii="Verdana" w:hAnsi="Verdana"/>
          <w:bCs/>
          <w:sz w:val="16"/>
          <w:szCs w:val="16"/>
        </w:rPr>
        <w:t>.</w:t>
      </w:r>
    </w:p>
    <w:p w:rsidR="00CA374E" w:rsidRPr="000A6485" w:rsidRDefault="00CA374E" w:rsidP="00CA374E">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w:t>
      </w:r>
      <w:r w:rsidRPr="008F3935">
        <w:rPr>
          <w:rFonts w:ascii="Verdana" w:hAnsi="Verdana" w:cs="Arial"/>
          <w:b/>
          <w:bCs/>
          <w:sz w:val="14"/>
          <w:szCs w:val="14"/>
        </w:rPr>
        <w:t>2024</w:t>
      </w:r>
      <w:r>
        <w:rPr>
          <w:rFonts w:ascii="Verdana" w:hAnsi="Verdana" w:cs="Arial"/>
          <w:b/>
          <w:bCs/>
          <w:sz w:val="14"/>
          <w:szCs w:val="14"/>
        </w:rPr>
        <w:t>-2028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Default="00AF0B51" w:rsidP="00CA374E">
      <w:pPr>
        <w:tabs>
          <w:tab w:val="left" w:pos="709"/>
        </w:tabs>
        <w:spacing w:before="60" w:after="60"/>
        <w:ind w:left="709" w:hanging="709"/>
        <w:rPr>
          <w:noProof/>
        </w:rPr>
      </w:pPr>
      <w:r>
        <w:rPr>
          <w:noProof/>
        </w:rPr>
        <w:pict>
          <v:shape id="_x0000_i1031" type="#_x0000_t75" style="width:207.9pt;height:211.8pt">
            <v:imagedata r:id="rId24" o:title=""/>
          </v:shape>
        </w:pict>
      </w:r>
    </w:p>
    <w:p w:rsidR="00CA374E" w:rsidRDefault="00CA374E" w:rsidP="00CA374E">
      <w:pPr>
        <w:tabs>
          <w:tab w:val="left" w:pos="540"/>
        </w:tabs>
        <w:spacing w:before="120" w:after="60"/>
        <w:ind w:left="720" w:hanging="720"/>
        <w:rPr>
          <w:rFonts w:ascii="Verdana" w:hAnsi="Verdana" w:cs="Arial"/>
          <w:b/>
          <w:bCs/>
          <w:sz w:val="14"/>
          <w:szCs w:val="14"/>
        </w:rPr>
      </w:pPr>
      <w:r>
        <w:rPr>
          <w:rFonts w:ascii="Verdana" w:hAnsi="Verdana" w:cs="Arial"/>
          <w:b/>
          <w:bCs/>
          <w:sz w:val="14"/>
          <w:szCs w:val="14"/>
        </w:rPr>
        <w:br w:type="page"/>
      </w:r>
    </w:p>
    <w:p w:rsidR="00CA374E" w:rsidRPr="000A6485" w:rsidRDefault="00CA374E" w:rsidP="00CA374E">
      <w:pPr>
        <w:tabs>
          <w:tab w:val="left" w:pos="540"/>
        </w:tabs>
        <w:spacing w:before="120" w:after="60"/>
        <w:ind w:left="720" w:hanging="720"/>
        <w:rPr>
          <w:rFonts w:ascii="Verdana" w:hAnsi="Verdana" w:cs="Arial"/>
          <w:bCs/>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I </w:t>
      </w:r>
      <w:r>
        <w:rPr>
          <w:rFonts w:ascii="Verdana" w:hAnsi="Verdana" w:cs="Arial"/>
          <w:b/>
          <w:bCs/>
          <w:sz w:val="14"/>
          <w:szCs w:val="14"/>
        </w:rPr>
        <w:t>WYDATKÓW M.ST. WARSZAWY</w:t>
      </w:r>
      <w:r w:rsidRPr="000A6485">
        <w:rPr>
          <w:rFonts w:ascii="Verdana" w:hAnsi="Verdana" w:cs="Arial"/>
          <w:b/>
          <w:bCs/>
          <w:sz w:val="14"/>
          <w:szCs w:val="14"/>
        </w:rPr>
        <w:t xml:space="preserve"> NA</w:t>
      </w:r>
      <w:r>
        <w:rPr>
          <w:rFonts w:ascii="Verdana" w:hAnsi="Verdana" w:cs="Arial"/>
          <w:b/>
          <w:bCs/>
          <w:sz w:val="14"/>
          <w:szCs w:val="14"/>
        </w:rPr>
        <w:t xml:space="preserve"> LATA 2029-2050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542AAD" w:rsidRDefault="00AF0B51" w:rsidP="00CA374E">
      <w:pPr>
        <w:tabs>
          <w:tab w:val="left" w:pos="709"/>
        </w:tabs>
        <w:spacing w:before="60" w:after="60"/>
        <w:ind w:left="709" w:hanging="709"/>
        <w:rPr>
          <w:rFonts w:ascii="Verdana" w:hAnsi="Verdana" w:cs="Arial"/>
          <w:b/>
          <w:bCs/>
          <w:sz w:val="16"/>
          <w:szCs w:val="16"/>
        </w:rPr>
      </w:pPr>
      <w:r>
        <w:rPr>
          <w:noProof/>
        </w:rPr>
        <w:pict>
          <v:shape id="_x0000_i1032" type="#_x0000_t75" style="width:412.8pt;height:232.2pt">
            <v:imagedata r:id="rId25" o:title=""/>
          </v:shape>
        </w:pict>
      </w:r>
      <w:r w:rsidR="00CA374E" w:rsidRPr="000A6485">
        <w:rPr>
          <w:rFonts w:ascii="Verdana" w:hAnsi="Verdana" w:cs="Arial"/>
          <w:b/>
          <w:bCs/>
          <w:sz w:val="16"/>
          <w:szCs w:val="16"/>
        </w:rPr>
        <w:br/>
      </w:r>
    </w:p>
    <w:p w:rsidR="00CA374E" w:rsidRPr="000A6485" w:rsidRDefault="00CA374E" w:rsidP="00CA374E">
      <w:pPr>
        <w:tabs>
          <w:tab w:val="left" w:pos="709"/>
        </w:tabs>
        <w:spacing w:after="6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WYNIKU BUDŻETU </w:t>
      </w:r>
      <w:r>
        <w:rPr>
          <w:rFonts w:ascii="Verdana" w:hAnsi="Verdana" w:cs="Arial"/>
          <w:b/>
          <w:bCs/>
          <w:sz w:val="14"/>
          <w:szCs w:val="14"/>
        </w:rPr>
        <w:t xml:space="preserve">(DOCHODY – WYDATKI) </w:t>
      </w:r>
      <w:r w:rsidRPr="000A6485">
        <w:rPr>
          <w:rFonts w:ascii="Verdana" w:hAnsi="Verdana" w:cs="Arial"/>
          <w:b/>
          <w:bCs/>
          <w:sz w:val="14"/>
          <w:szCs w:val="14"/>
        </w:rPr>
        <w:t>M.ST. WAR</w:t>
      </w:r>
      <w:r>
        <w:rPr>
          <w:rFonts w:ascii="Verdana" w:hAnsi="Verdana" w:cs="Arial"/>
          <w:b/>
          <w:bCs/>
          <w:sz w:val="14"/>
          <w:szCs w:val="14"/>
        </w:rPr>
        <w:t xml:space="preserve">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
          <w:bCs/>
          <w:sz w:val="14"/>
          <w:szCs w:val="14"/>
        </w:rPr>
        <w:br/>
      </w:r>
      <w:r>
        <w:rPr>
          <w:rFonts w:ascii="Verdana" w:hAnsi="Verdana" w:cs="Arial"/>
          <w:bCs/>
          <w:sz w:val="14"/>
          <w:szCs w:val="14"/>
        </w:rPr>
        <w:t xml:space="preserve"> [w </w:t>
      </w:r>
      <w:r w:rsidRPr="000A6485">
        <w:rPr>
          <w:rFonts w:ascii="Verdana" w:hAnsi="Verdana" w:cs="Arial"/>
          <w:bCs/>
          <w:sz w:val="14"/>
          <w:szCs w:val="14"/>
        </w:rPr>
        <w:t>mln zł]</w:t>
      </w:r>
    </w:p>
    <w:p w:rsidR="00CA374E" w:rsidRPr="000A6485" w:rsidRDefault="00AF0B51" w:rsidP="00CA374E">
      <w:pPr>
        <w:tabs>
          <w:tab w:val="left" w:pos="709"/>
        </w:tabs>
        <w:spacing w:before="60" w:after="60"/>
        <w:ind w:left="709" w:hanging="709"/>
        <w:rPr>
          <w:noProof/>
        </w:rPr>
      </w:pPr>
      <w:r>
        <w:rPr>
          <w:noProof/>
        </w:rPr>
        <w:pict>
          <v:shape id="_x0000_i1033" type="#_x0000_t75" style="width:462pt;height:241.8pt">
            <v:imagedata r:id="rId26" o:title=""/>
          </v:shape>
        </w:pict>
      </w:r>
    </w:p>
    <w:p w:rsidR="00CA374E" w:rsidRDefault="00CA374E" w:rsidP="00CA374E">
      <w:pPr>
        <w:spacing w:before="120" w:after="120"/>
        <w:jc w:val="both"/>
        <w:rPr>
          <w:rFonts w:ascii="Verdana" w:hAnsi="Verdana"/>
          <w:b/>
          <w:bCs/>
          <w:sz w:val="18"/>
          <w:szCs w:val="18"/>
        </w:rPr>
      </w:pPr>
    </w:p>
    <w:p w:rsidR="00CA374E" w:rsidRPr="000A6485" w:rsidRDefault="00CA374E" w:rsidP="00CA374E">
      <w:pPr>
        <w:spacing w:before="120" w:after="120"/>
        <w:jc w:val="both"/>
        <w:rPr>
          <w:rFonts w:ascii="Verdana" w:hAnsi="Verdana"/>
          <w:bCs/>
          <w:sz w:val="16"/>
          <w:szCs w:val="16"/>
        </w:rPr>
      </w:pPr>
      <w:r w:rsidRPr="000A6485">
        <w:rPr>
          <w:rFonts w:ascii="Verdana" w:hAnsi="Verdana"/>
          <w:b/>
          <w:bCs/>
          <w:sz w:val="18"/>
          <w:szCs w:val="18"/>
        </w:rPr>
        <w:t>7.1.2 Program kredytowy</w:t>
      </w:r>
    </w:p>
    <w:p w:rsidR="00CA374E" w:rsidRDefault="00CA374E" w:rsidP="00CA374E">
      <w:pPr>
        <w:spacing w:before="60" w:after="60"/>
        <w:jc w:val="both"/>
        <w:rPr>
          <w:rFonts w:ascii="Verdana" w:hAnsi="Verdana"/>
          <w:bCs/>
          <w:sz w:val="16"/>
          <w:szCs w:val="16"/>
        </w:rPr>
      </w:pPr>
      <w:r>
        <w:rPr>
          <w:rFonts w:ascii="Verdana" w:hAnsi="Verdana" w:cs="Verdana"/>
          <w:sz w:val="16"/>
          <w:szCs w:val="16"/>
        </w:rPr>
        <w:t>Negatywne konsekwencje dla budżetu m.st. Warszawy osłabienia aktywności gospodarczej, nałożone na niekorzystane dla dochodów Miasta następstwa zmian legislacyjnych w zakresie podatku PIT i użytkowania wieczystego, wobec konieczności zapewnienia</w:t>
      </w:r>
      <w:r w:rsidRPr="00A61201">
        <w:rPr>
          <w:rFonts w:ascii="Verdana" w:hAnsi="Verdana"/>
          <w:bCs/>
          <w:sz w:val="16"/>
          <w:szCs w:val="16"/>
        </w:rPr>
        <w:t xml:space="preserve"> </w:t>
      </w:r>
      <w:r>
        <w:rPr>
          <w:rFonts w:ascii="Verdana" w:hAnsi="Verdana"/>
          <w:bCs/>
          <w:sz w:val="16"/>
          <w:szCs w:val="16"/>
        </w:rPr>
        <w:t>finansowania</w:t>
      </w:r>
      <w:r w:rsidRPr="00A61201">
        <w:rPr>
          <w:rFonts w:ascii="Verdana" w:hAnsi="Verdana"/>
          <w:bCs/>
          <w:sz w:val="16"/>
          <w:szCs w:val="16"/>
        </w:rPr>
        <w:t xml:space="preserve"> usług na rzecz mieszkańców, wymagają czasowego zwiększenia finansowania w postaci zwrotnych środków dłużnych.</w:t>
      </w:r>
      <w:r>
        <w:rPr>
          <w:rFonts w:ascii="Verdana" w:hAnsi="Verdana"/>
          <w:bCs/>
          <w:sz w:val="16"/>
          <w:szCs w:val="16"/>
        </w:rPr>
        <w:br w:type="page"/>
      </w:r>
    </w:p>
    <w:p w:rsidR="00CA374E" w:rsidRDefault="00CA374E" w:rsidP="00CA374E">
      <w:pPr>
        <w:spacing w:before="60" w:after="60"/>
        <w:jc w:val="both"/>
        <w:rPr>
          <w:rFonts w:ascii="Verdana" w:hAnsi="Verdana" w:cs="Verdana"/>
          <w:sz w:val="16"/>
          <w:szCs w:val="16"/>
        </w:rPr>
      </w:pPr>
      <w:r w:rsidRPr="00A61201">
        <w:rPr>
          <w:rFonts w:ascii="Verdana" w:hAnsi="Verdana" w:cs="Verdana"/>
          <w:sz w:val="16"/>
          <w:szCs w:val="16"/>
        </w:rPr>
        <w:lastRenderedPageBreak/>
        <w:t>WPF</w:t>
      </w:r>
      <w:r>
        <w:rPr>
          <w:rFonts w:ascii="Verdana" w:hAnsi="Verdana" w:cs="Verdana"/>
          <w:sz w:val="16"/>
          <w:szCs w:val="16"/>
        </w:rPr>
        <w:t xml:space="preserve"> edycji </w:t>
      </w:r>
      <w:r w:rsidRPr="008F3935">
        <w:rPr>
          <w:rFonts w:ascii="Verdana" w:eastAsiaTheme="minorEastAsia" w:hAnsi="Verdana" w:cs="Verdana"/>
          <w:color w:val="000000"/>
          <w:sz w:val="16"/>
          <w:szCs w:val="16"/>
        </w:rPr>
        <w:t>2024</w:t>
      </w:r>
      <w:r>
        <w:rPr>
          <w:rFonts w:ascii="Verdana" w:hAnsi="Verdana" w:cs="Verdana"/>
          <w:sz w:val="16"/>
          <w:szCs w:val="16"/>
        </w:rPr>
        <w:t>-2050 m.st. Warszawy</w:t>
      </w:r>
      <w:r w:rsidRPr="00A61201">
        <w:rPr>
          <w:rFonts w:ascii="Verdana" w:hAnsi="Verdana" w:cs="Verdana"/>
          <w:sz w:val="16"/>
          <w:szCs w:val="16"/>
        </w:rPr>
        <w:t xml:space="preserve"> w perspek</w:t>
      </w:r>
      <w:r>
        <w:rPr>
          <w:rFonts w:ascii="Verdana" w:hAnsi="Verdana" w:cs="Verdana"/>
          <w:sz w:val="16"/>
          <w:szCs w:val="16"/>
        </w:rPr>
        <w:t xml:space="preserve">tywie 2027 r. zakłada pozyskanie w formie środków dłużnych kwoty </w:t>
      </w:r>
      <w:r>
        <w:rPr>
          <w:rFonts w:ascii="Verdana" w:hAnsi="Verdana" w:cs="Verdana"/>
          <w:b/>
          <w:sz w:val="16"/>
          <w:szCs w:val="16"/>
        </w:rPr>
        <w:t>7,207</w:t>
      </w:r>
      <w:r w:rsidRPr="007E7D66">
        <w:rPr>
          <w:rFonts w:ascii="Verdana" w:hAnsi="Verdana" w:cs="Verdana"/>
          <w:b/>
          <w:sz w:val="16"/>
          <w:szCs w:val="16"/>
        </w:rPr>
        <w:t xml:space="preserve"> mld zł</w:t>
      </w:r>
      <w:r>
        <w:rPr>
          <w:rFonts w:ascii="Verdana" w:hAnsi="Verdana" w:cs="Verdana"/>
          <w:sz w:val="16"/>
          <w:szCs w:val="16"/>
        </w:rPr>
        <w:t xml:space="preserve">, z rozkładem w latach zaprezentowanym na wykresie nr 13. Jednocześnie do </w:t>
      </w:r>
      <w:r>
        <w:rPr>
          <w:rFonts w:ascii="Verdana" w:hAnsi="Verdana" w:cs="Verdana"/>
          <w:sz w:val="16"/>
          <w:szCs w:val="16"/>
        </w:rPr>
        <w:br/>
        <w:t xml:space="preserve">2027 r. planowana jest spłata długu w łącznej kwocie </w:t>
      </w:r>
      <w:r>
        <w:rPr>
          <w:rFonts w:ascii="Verdana" w:hAnsi="Verdana" w:cs="Verdana"/>
          <w:b/>
          <w:sz w:val="16"/>
          <w:szCs w:val="16"/>
        </w:rPr>
        <w:t>1,551 mld zł</w:t>
      </w:r>
      <w:r>
        <w:rPr>
          <w:rFonts w:ascii="Verdana" w:hAnsi="Verdana" w:cs="Verdana"/>
          <w:sz w:val="16"/>
          <w:szCs w:val="16"/>
        </w:rPr>
        <w:t xml:space="preserve">. Tym samym dług w ujęciu netto w całym okresie programu kredytowego, tj. do 2027 r., przyrośnie o </w:t>
      </w:r>
      <w:r>
        <w:rPr>
          <w:rFonts w:ascii="Verdana" w:hAnsi="Verdana" w:cs="Verdana"/>
          <w:b/>
          <w:sz w:val="16"/>
          <w:szCs w:val="16"/>
        </w:rPr>
        <w:t xml:space="preserve">5,656 mld </w:t>
      </w:r>
      <w:r w:rsidRPr="00667710">
        <w:rPr>
          <w:rFonts w:ascii="Verdana" w:hAnsi="Verdana" w:cs="Verdana"/>
          <w:b/>
          <w:sz w:val="16"/>
          <w:szCs w:val="16"/>
        </w:rPr>
        <w:t>zł</w:t>
      </w:r>
      <w:r>
        <w:rPr>
          <w:rFonts w:ascii="Verdana" w:hAnsi="Verdana" w:cs="Verdana"/>
          <w:sz w:val="16"/>
          <w:szCs w:val="16"/>
        </w:rPr>
        <w:t xml:space="preserve"> (nowy dług w kwocie 7,207 mld zł pomniejszony o spłatę długu w kwocie 1,551 mld zł).</w:t>
      </w:r>
    </w:p>
    <w:p w:rsidR="00CA374E" w:rsidRDefault="00CA374E" w:rsidP="00CA374E">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programu kredytowego uwzględniono dofinansowanie w formie </w:t>
      </w:r>
      <w:r>
        <w:rPr>
          <w:rFonts w:ascii="Verdana" w:hAnsi="Verdana" w:cs="Verdana"/>
          <w:sz w:val="16"/>
          <w:szCs w:val="16"/>
        </w:rPr>
        <w:t>pożyczek:</w:t>
      </w:r>
    </w:p>
    <w:p w:rsidR="00CA374E" w:rsidRPr="003F6E37" w:rsidRDefault="00CA374E" w:rsidP="00CA374E">
      <w:pPr>
        <w:pStyle w:val="Akapitzlist"/>
        <w:numPr>
          <w:ilvl w:val="0"/>
          <w:numId w:val="54"/>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Narodowego Funduszu Ochrony Środowiska i Gospodarki Wodnej do zadania</w:t>
      </w:r>
      <w:r>
        <w:rPr>
          <w:rFonts w:ascii="Verdana" w:hAnsi="Verdana" w:cs="Verdana"/>
          <w:sz w:val="16"/>
          <w:szCs w:val="16"/>
        </w:rPr>
        <w:t xml:space="preserve"> </w:t>
      </w:r>
      <w:r w:rsidRPr="003F6E37">
        <w:rPr>
          <w:rFonts w:ascii="Verdana" w:hAnsi="Verdana" w:cs="Verdana"/>
          <w:sz w:val="16"/>
          <w:szCs w:val="16"/>
        </w:rPr>
        <w:t>"Zakup 12 autobusów niskoemisyjnych dla m.st. Warszawy" - pożyczka w kwocie 24.960.000 zł w latach 2024-2025 z planowaną spłatą w latach 2026-2036;</w:t>
      </w:r>
    </w:p>
    <w:p w:rsidR="00CA374E" w:rsidRPr="003F6E37" w:rsidRDefault="00CA374E" w:rsidP="00CA374E">
      <w:pPr>
        <w:pStyle w:val="Akapitzlist"/>
        <w:numPr>
          <w:ilvl w:val="0"/>
          <w:numId w:val="54"/>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Wojewódzkiego Funduszu Ochrony Środowiska i Gospodarki Wodnej w Warszawie do zadania</w:t>
      </w:r>
      <w:r>
        <w:rPr>
          <w:rFonts w:ascii="Verdana" w:hAnsi="Verdana" w:cs="Verdana"/>
          <w:sz w:val="16"/>
          <w:szCs w:val="16"/>
        </w:rPr>
        <w:t xml:space="preserve"> </w:t>
      </w:r>
      <w:r w:rsidRPr="003F6E37">
        <w:rPr>
          <w:rFonts w:ascii="Verdana" w:hAnsi="Verdana" w:cs="Verdana"/>
          <w:sz w:val="16"/>
          <w:szCs w:val="16"/>
        </w:rPr>
        <w:t>modernizacja Węzła Komunikacyjnego Młociny w ramach Programu pn. "Zadania z zakresu ochrony powietrza" - pożyczka w kwocie 8.205.000 zł w latach 2024-2025 z planowaną spłatą w latach 2025-2039.</w:t>
      </w:r>
    </w:p>
    <w:p w:rsidR="00CA374E" w:rsidRDefault="00CA374E" w:rsidP="00CA374E">
      <w:pPr>
        <w:tabs>
          <w:tab w:val="left" w:pos="540"/>
        </w:tabs>
        <w:spacing w:before="120" w:after="120" w:line="240" w:lineRule="auto"/>
        <w:ind w:left="720" w:hanging="720"/>
        <w:rPr>
          <w:rFonts w:ascii="Verdana" w:hAnsi="Verdana" w:cs="Arial"/>
          <w:b/>
          <w:bCs/>
          <w:sz w:val="14"/>
          <w:szCs w:val="14"/>
        </w:rPr>
      </w:pPr>
    </w:p>
    <w:p w:rsidR="00CA374E" w:rsidRPr="000A6485" w:rsidRDefault="00CA374E" w:rsidP="00CA374E">
      <w:pPr>
        <w:tabs>
          <w:tab w:val="left" w:pos="540"/>
        </w:tabs>
        <w:spacing w:before="120" w:after="120" w:line="240" w:lineRule="auto"/>
        <w:ind w:left="720" w:hanging="720"/>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13</w:t>
      </w:r>
      <w:r w:rsidRPr="000A6485">
        <w:rPr>
          <w:rFonts w:ascii="Verdana" w:hAnsi="Verdana" w:cs="Arial"/>
          <w:b/>
          <w:bCs/>
          <w:sz w:val="14"/>
          <w:szCs w:val="14"/>
        </w:rPr>
        <w:fldChar w:fldCharType="end"/>
      </w:r>
      <w:r w:rsidRPr="000A6485">
        <w:rPr>
          <w:rFonts w:ascii="Verdana" w:hAnsi="Verdana" w:cs="Arial"/>
          <w:b/>
          <w:bCs/>
          <w:sz w:val="14"/>
          <w:szCs w:val="14"/>
        </w:rPr>
        <w:t xml:space="preserve">  PROGNOZA NOWEGO DŁUGU I SPŁATY DŁUGU W M.ST. WARSZAWA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AF0B51" w:rsidP="00CA374E">
      <w:pPr>
        <w:spacing w:before="120" w:after="120"/>
        <w:jc w:val="both"/>
        <w:rPr>
          <w:rFonts w:ascii="Verdana" w:hAnsi="Verdana" w:cs="Arial"/>
          <w:b/>
          <w:bCs/>
          <w:noProof/>
          <w:sz w:val="16"/>
          <w:szCs w:val="16"/>
        </w:rPr>
      </w:pPr>
      <w:r>
        <w:rPr>
          <w:noProof/>
        </w:rPr>
        <w:pict>
          <v:shape id="_x0000_i1034" type="#_x0000_t75" style="width:473.7pt;height:249pt">
            <v:imagedata r:id="rId27" o:title=""/>
          </v:shape>
        </w:pict>
      </w:r>
    </w:p>
    <w:p w:rsidR="00CA374E" w:rsidRPr="000A6485" w:rsidRDefault="00CA374E" w:rsidP="00CA374E">
      <w:pPr>
        <w:spacing w:before="360" w:after="240"/>
        <w:jc w:val="both"/>
        <w:rPr>
          <w:rFonts w:ascii="Verdana" w:hAnsi="Verdana"/>
          <w:bCs/>
          <w:sz w:val="16"/>
          <w:szCs w:val="16"/>
        </w:rPr>
      </w:pPr>
      <w:r w:rsidRPr="000A6485">
        <w:rPr>
          <w:rFonts w:ascii="Verdana" w:hAnsi="Verdana"/>
          <w:b/>
          <w:bCs/>
          <w:sz w:val="18"/>
          <w:szCs w:val="18"/>
        </w:rPr>
        <w:t>7.1.3 Zadłużenie</w:t>
      </w:r>
    </w:p>
    <w:p w:rsidR="00CA374E" w:rsidRPr="000A6485" w:rsidRDefault="00CA374E" w:rsidP="00CA374E">
      <w:pPr>
        <w:spacing w:before="60" w:after="60"/>
        <w:jc w:val="both"/>
        <w:rPr>
          <w:rFonts w:ascii="Verdana" w:hAnsi="Verdana"/>
          <w:bCs/>
          <w:sz w:val="16"/>
          <w:szCs w:val="16"/>
        </w:rPr>
      </w:pPr>
      <w:r>
        <w:rPr>
          <w:rFonts w:ascii="Verdana" w:hAnsi="Verdana"/>
          <w:bCs/>
          <w:sz w:val="16"/>
          <w:szCs w:val="16"/>
        </w:rPr>
        <w:t>W</w:t>
      </w:r>
      <w:r w:rsidRPr="000A6485">
        <w:rPr>
          <w:rFonts w:ascii="Verdana" w:hAnsi="Verdana"/>
          <w:bCs/>
          <w:sz w:val="16"/>
          <w:szCs w:val="16"/>
        </w:rPr>
        <w:t xml:space="preserve"> latach 20</w:t>
      </w:r>
      <w:r>
        <w:rPr>
          <w:rFonts w:ascii="Verdana" w:hAnsi="Verdana"/>
          <w:bCs/>
          <w:sz w:val="16"/>
          <w:szCs w:val="16"/>
        </w:rPr>
        <w:t>24-2027</w:t>
      </w:r>
      <w:r w:rsidRPr="000A6485">
        <w:rPr>
          <w:rFonts w:ascii="Verdana" w:hAnsi="Verdana"/>
          <w:bCs/>
          <w:sz w:val="16"/>
          <w:szCs w:val="16"/>
        </w:rPr>
        <w:t xml:space="preserve"> w formie kredytów, pożyczek lub obligacji planuje się pozyskać finansowanie zwrotne </w:t>
      </w:r>
      <w:r>
        <w:rPr>
          <w:rFonts w:ascii="Verdana" w:hAnsi="Verdana"/>
          <w:bCs/>
          <w:sz w:val="16"/>
          <w:szCs w:val="16"/>
        </w:rPr>
        <w:br/>
      </w:r>
      <w:r w:rsidRPr="000A6485">
        <w:rPr>
          <w:rFonts w:ascii="Verdana" w:hAnsi="Verdana"/>
          <w:bCs/>
          <w:sz w:val="16"/>
          <w:szCs w:val="16"/>
        </w:rPr>
        <w:t xml:space="preserve">w łącznej wysokości </w:t>
      </w:r>
      <w:r w:rsidRPr="00897A8C">
        <w:rPr>
          <w:rFonts w:ascii="Verdana" w:hAnsi="Verdana"/>
          <w:b/>
          <w:bCs/>
          <w:sz w:val="16"/>
          <w:szCs w:val="16"/>
        </w:rPr>
        <w:t>7,207</w:t>
      </w:r>
      <w:r w:rsidRPr="000A6485">
        <w:rPr>
          <w:rFonts w:ascii="Verdana" w:hAnsi="Verdana"/>
          <w:b/>
          <w:bCs/>
          <w:sz w:val="16"/>
          <w:szCs w:val="16"/>
        </w:rPr>
        <w:t xml:space="preserve"> mld zł</w:t>
      </w:r>
      <w:r w:rsidRPr="000A6485">
        <w:rPr>
          <w:rFonts w:ascii="Verdana" w:hAnsi="Verdana"/>
          <w:bCs/>
          <w:sz w:val="16"/>
          <w:szCs w:val="16"/>
        </w:rPr>
        <w:t>. Przewiduje się, że wsparcie programu inwestycyjnego instrumentami dłużnymi zwiększy maksymalny poziom zadłużenia m.st. Warszawy do</w:t>
      </w:r>
      <w:r>
        <w:rPr>
          <w:rFonts w:ascii="Verdana" w:hAnsi="Verdana"/>
          <w:bCs/>
          <w:sz w:val="16"/>
          <w:szCs w:val="16"/>
        </w:rPr>
        <w:t xml:space="preserve"> wartości</w:t>
      </w:r>
      <w:r w:rsidRPr="000A6485">
        <w:rPr>
          <w:rFonts w:ascii="Verdana" w:hAnsi="Verdana"/>
          <w:bCs/>
          <w:sz w:val="16"/>
          <w:szCs w:val="16"/>
        </w:rPr>
        <w:t xml:space="preserve"> </w:t>
      </w:r>
      <w:r>
        <w:rPr>
          <w:rFonts w:ascii="Verdana" w:hAnsi="Verdana"/>
          <w:b/>
          <w:bCs/>
          <w:sz w:val="16"/>
          <w:szCs w:val="16"/>
        </w:rPr>
        <w:t>11,321</w:t>
      </w:r>
      <w:r w:rsidRPr="000A6485">
        <w:rPr>
          <w:rFonts w:ascii="Verdana" w:hAnsi="Verdana"/>
          <w:b/>
          <w:bCs/>
          <w:sz w:val="16"/>
          <w:szCs w:val="16"/>
        </w:rPr>
        <w:t xml:space="preserve"> mld zł</w:t>
      </w:r>
      <w:r w:rsidRPr="000A6485">
        <w:rPr>
          <w:rFonts w:ascii="Verdana" w:hAnsi="Verdana"/>
          <w:bCs/>
          <w:sz w:val="16"/>
          <w:szCs w:val="16"/>
        </w:rPr>
        <w:t xml:space="preserve"> w 202</w:t>
      </w:r>
      <w:r>
        <w:rPr>
          <w:rFonts w:ascii="Verdana" w:hAnsi="Verdana"/>
          <w:bCs/>
          <w:sz w:val="16"/>
          <w:szCs w:val="16"/>
        </w:rPr>
        <w:t>7</w:t>
      </w:r>
      <w:r w:rsidRPr="000A6485">
        <w:rPr>
          <w:rFonts w:ascii="Verdana" w:hAnsi="Verdana"/>
          <w:bCs/>
          <w:sz w:val="16"/>
          <w:szCs w:val="16"/>
        </w:rPr>
        <w:t xml:space="preserve"> r.</w:t>
      </w:r>
    </w:p>
    <w:p w:rsidR="00CA374E" w:rsidRDefault="00CA374E" w:rsidP="00CA374E">
      <w:pPr>
        <w:spacing w:before="60" w:after="60"/>
        <w:jc w:val="both"/>
        <w:rPr>
          <w:rFonts w:ascii="Verdana" w:hAnsi="Verdana"/>
          <w:bCs/>
          <w:sz w:val="16"/>
          <w:szCs w:val="16"/>
        </w:rPr>
      </w:pPr>
      <w:r w:rsidRPr="000A6485">
        <w:rPr>
          <w:rFonts w:ascii="Verdana" w:hAnsi="Verdana"/>
          <w:bCs/>
          <w:sz w:val="16"/>
          <w:szCs w:val="16"/>
        </w:rPr>
        <w:t>Zakłada się sukcesywną spłatę dotychczasowego i przewidywanego</w:t>
      </w:r>
      <w:r>
        <w:rPr>
          <w:rFonts w:ascii="Verdana" w:hAnsi="Verdana"/>
          <w:bCs/>
          <w:sz w:val="16"/>
          <w:szCs w:val="16"/>
        </w:rPr>
        <w:t xml:space="preserve"> do zaciągnięcia</w:t>
      </w:r>
      <w:r w:rsidRPr="000A6485">
        <w:rPr>
          <w:rFonts w:ascii="Verdana" w:hAnsi="Verdana"/>
          <w:bCs/>
          <w:sz w:val="16"/>
          <w:szCs w:val="16"/>
        </w:rPr>
        <w:t xml:space="preserve"> długu, aż do jego całkowitej redukcji w perspektywie 2050 r., co prezentuje wykres nr </w:t>
      </w:r>
      <w:r>
        <w:rPr>
          <w:rFonts w:ascii="Verdana" w:hAnsi="Verdana"/>
          <w:bCs/>
          <w:sz w:val="16"/>
          <w:szCs w:val="16"/>
        </w:rPr>
        <w:t>14.</w:t>
      </w:r>
      <w:r>
        <w:rPr>
          <w:rFonts w:ascii="Verdana" w:hAnsi="Verdana"/>
          <w:bCs/>
          <w:sz w:val="16"/>
          <w:szCs w:val="16"/>
        </w:rPr>
        <w:br w:type="page"/>
      </w:r>
    </w:p>
    <w:p w:rsidR="00CA374E" w:rsidRPr="000A6485" w:rsidRDefault="00CA374E" w:rsidP="00CA374E">
      <w:pPr>
        <w:tabs>
          <w:tab w:val="left" w:pos="540"/>
        </w:tabs>
        <w:spacing w:before="60" w:after="60" w:line="240" w:lineRule="auto"/>
        <w:ind w:left="720" w:hanging="720"/>
        <w:rPr>
          <w:rFonts w:ascii="Verdana" w:hAnsi="Verdana" w:cs="Arial"/>
          <w:b/>
          <w:bCs/>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14</w:t>
      </w:r>
      <w:r w:rsidRPr="000A6485">
        <w:rPr>
          <w:rFonts w:ascii="Verdana" w:hAnsi="Verdana" w:cs="Arial"/>
          <w:b/>
          <w:bCs/>
          <w:sz w:val="14"/>
          <w:szCs w:val="14"/>
        </w:rPr>
        <w:fldChar w:fldCharType="end"/>
      </w:r>
      <w:r w:rsidRPr="000A6485">
        <w:rPr>
          <w:rFonts w:ascii="Verdana" w:hAnsi="Verdana" w:cs="Arial"/>
          <w:b/>
          <w:bCs/>
          <w:sz w:val="14"/>
          <w:szCs w:val="14"/>
        </w:rPr>
        <w:t xml:space="preserve">  PROGNOZA STANU ZADŁUŻEN</w:t>
      </w:r>
      <w:r>
        <w:rPr>
          <w:rFonts w:ascii="Verdana" w:hAnsi="Verdana" w:cs="Arial"/>
          <w:b/>
          <w:bCs/>
          <w:sz w:val="14"/>
          <w:szCs w:val="14"/>
        </w:rPr>
        <w:t xml:space="preserve">IA NA KONIEC ROKU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Default="00AF0B51" w:rsidP="00CA374E">
      <w:pPr>
        <w:spacing w:before="120" w:after="120"/>
        <w:jc w:val="both"/>
        <w:rPr>
          <w:rFonts w:ascii="Verdana" w:hAnsi="Verdana"/>
          <w:bCs/>
          <w:sz w:val="16"/>
          <w:szCs w:val="16"/>
        </w:rPr>
      </w:pPr>
      <w:r>
        <w:rPr>
          <w:rFonts w:ascii="Verdana" w:hAnsi="Verdana" w:cs="Arial"/>
          <w:b/>
          <w:bCs/>
          <w:noProof/>
          <w:sz w:val="16"/>
          <w:szCs w:val="16"/>
        </w:rPr>
        <w:pict>
          <v:shape id="_x0000_i1035" type="#_x0000_t75" style="width:447pt;height:231pt">
            <v:imagedata r:id="rId28" o:title=""/>
          </v:shape>
        </w:pict>
      </w:r>
    </w:p>
    <w:p w:rsidR="00CA374E" w:rsidRDefault="00CA374E" w:rsidP="00CA374E">
      <w:pPr>
        <w:spacing w:before="120" w:after="120"/>
        <w:jc w:val="both"/>
        <w:rPr>
          <w:rFonts w:ascii="Verdana" w:hAnsi="Verdana"/>
          <w:bCs/>
          <w:sz w:val="16"/>
          <w:szCs w:val="16"/>
        </w:rPr>
      </w:pPr>
    </w:p>
    <w:p w:rsidR="00CA374E" w:rsidRDefault="00CA374E" w:rsidP="00CA374E">
      <w:pPr>
        <w:spacing w:before="120" w:after="120"/>
        <w:jc w:val="both"/>
        <w:rPr>
          <w:rFonts w:ascii="Verdana" w:hAnsi="Verdana"/>
          <w:bCs/>
          <w:sz w:val="16"/>
          <w:szCs w:val="16"/>
        </w:rPr>
      </w:pPr>
      <w:r w:rsidRPr="000A6485">
        <w:rPr>
          <w:rFonts w:ascii="Verdana" w:hAnsi="Verdana"/>
          <w:bCs/>
          <w:sz w:val="16"/>
          <w:szCs w:val="16"/>
        </w:rPr>
        <w:t xml:space="preserve">Przewiduje się, że najwyższa wartość relacji obsługi długu </w:t>
      </w:r>
      <w:r>
        <w:rPr>
          <w:rFonts w:ascii="Verdana" w:hAnsi="Verdana"/>
          <w:bCs/>
          <w:sz w:val="16"/>
          <w:szCs w:val="16"/>
        </w:rPr>
        <w:t xml:space="preserve">wraz </w:t>
      </w:r>
      <w:r w:rsidRPr="000A6485">
        <w:rPr>
          <w:rFonts w:ascii="Verdana" w:hAnsi="Verdana"/>
          <w:bCs/>
          <w:sz w:val="16"/>
          <w:szCs w:val="16"/>
        </w:rPr>
        <w:t xml:space="preserve">z odsetkami do dochodów </w:t>
      </w:r>
      <w:r>
        <w:rPr>
          <w:rFonts w:ascii="Verdana" w:hAnsi="Verdana"/>
          <w:bCs/>
          <w:sz w:val="16"/>
          <w:szCs w:val="16"/>
        </w:rPr>
        <w:t xml:space="preserve">ogółem wystąpi </w:t>
      </w:r>
      <w:r>
        <w:rPr>
          <w:rFonts w:ascii="Verdana" w:hAnsi="Verdana"/>
          <w:bCs/>
          <w:sz w:val="16"/>
          <w:szCs w:val="16"/>
        </w:rPr>
        <w:br/>
        <w:t xml:space="preserve">w latach 2028 i 2030 wynosząc </w:t>
      </w:r>
      <w:r>
        <w:rPr>
          <w:rFonts w:ascii="Verdana" w:hAnsi="Verdana"/>
          <w:b/>
          <w:bCs/>
          <w:sz w:val="16"/>
          <w:szCs w:val="16"/>
        </w:rPr>
        <w:t>4,8%</w:t>
      </w:r>
      <w:r>
        <w:rPr>
          <w:rFonts w:ascii="Verdana" w:hAnsi="Verdana"/>
          <w:bCs/>
          <w:sz w:val="16"/>
          <w:szCs w:val="16"/>
        </w:rPr>
        <w:t>, co prezentuje wykres nr 15</w:t>
      </w:r>
      <w:r w:rsidRPr="000A6485">
        <w:rPr>
          <w:rFonts w:ascii="Verdana" w:hAnsi="Verdana"/>
          <w:bCs/>
          <w:sz w:val="16"/>
          <w:szCs w:val="16"/>
        </w:rPr>
        <w:t>.</w:t>
      </w:r>
    </w:p>
    <w:p w:rsidR="00CA374E" w:rsidRPr="000A6485" w:rsidRDefault="00CA374E" w:rsidP="00CA374E">
      <w:pPr>
        <w:spacing w:before="120" w:after="120"/>
        <w:jc w:val="both"/>
        <w:rPr>
          <w:rFonts w:ascii="Verdana" w:hAnsi="Verdana"/>
          <w:bCs/>
          <w:sz w:val="16"/>
          <w:szCs w:val="16"/>
        </w:rPr>
      </w:pPr>
    </w:p>
    <w:p w:rsidR="00CA374E" w:rsidRPr="000A6485" w:rsidRDefault="00CA374E" w:rsidP="00CA374E">
      <w:pPr>
        <w:tabs>
          <w:tab w:val="left" w:pos="426"/>
        </w:tabs>
        <w:spacing w:before="120" w:after="60" w:line="240" w:lineRule="auto"/>
        <w:ind w:left="425" w:hanging="425"/>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15</w:t>
      </w:r>
      <w:r w:rsidRPr="000A6485">
        <w:rPr>
          <w:rFonts w:ascii="Verdana" w:hAnsi="Verdana" w:cs="Arial"/>
          <w:b/>
          <w:bCs/>
          <w:sz w:val="14"/>
          <w:szCs w:val="14"/>
        </w:rPr>
        <w:fldChar w:fldCharType="end"/>
      </w:r>
      <w:r w:rsidRPr="000A6485">
        <w:rPr>
          <w:rFonts w:ascii="Verdana" w:hAnsi="Verdana" w:cs="Arial"/>
          <w:b/>
          <w:bCs/>
          <w:sz w:val="14"/>
          <w:szCs w:val="14"/>
        </w:rPr>
        <w:t xml:space="preserve">  PROGNOZA RELACJI OBCIĄŻEŃ BUDŻETU ZWIĄZANYCH Z OBSŁUGĄ DŁUGU (SPŁATA KAPITAŁU </w:t>
      </w:r>
      <w:r w:rsidRPr="000A6485">
        <w:rPr>
          <w:rFonts w:ascii="Verdana" w:hAnsi="Verdana" w:cs="Arial"/>
          <w:b/>
          <w:bCs/>
          <w:sz w:val="14"/>
          <w:szCs w:val="14"/>
        </w:rPr>
        <w:br/>
        <w:t xml:space="preserve">    </w:t>
      </w:r>
      <w:r>
        <w:rPr>
          <w:rFonts w:ascii="Verdana" w:hAnsi="Verdana" w:cs="Arial"/>
          <w:b/>
          <w:bCs/>
          <w:sz w:val="14"/>
          <w:szCs w:val="14"/>
        </w:rPr>
        <w:t xml:space="preserve">   </w:t>
      </w:r>
      <w:r w:rsidRPr="000A6485">
        <w:rPr>
          <w:rFonts w:ascii="Verdana" w:hAnsi="Verdana" w:cs="Arial"/>
          <w:b/>
          <w:bCs/>
          <w:sz w:val="14"/>
          <w:szCs w:val="14"/>
        </w:rPr>
        <w:t xml:space="preserve">I ODSETEK) DO DOCHODÓW </w:t>
      </w:r>
      <w:r>
        <w:rPr>
          <w:rFonts w:ascii="Verdana" w:hAnsi="Verdana" w:cs="Arial"/>
          <w:b/>
          <w:bCs/>
          <w:sz w:val="14"/>
          <w:szCs w:val="14"/>
        </w:rPr>
        <w:t xml:space="preserve">OGÓŁEM W M.ST. WARSZAWA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AF0B51" w:rsidP="00CA374E">
      <w:pPr>
        <w:spacing w:before="120" w:after="120"/>
        <w:jc w:val="both"/>
        <w:rPr>
          <w:rFonts w:ascii="Verdana" w:hAnsi="Verdana" w:cs="Arial"/>
          <w:b/>
          <w:bCs/>
          <w:noProof/>
          <w:sz w:val="16"/>
          <w:szCs w:val="16"/>
        </w:rPr>
      </w:pPr>
      <w:r>
        <w:rPr>
          <w:rFonts w:ascii="Verdana" w:hAnsi="Verdana" w:cs="Arial"/>
          <w:b/>
          <w:bCs/>
          <w:noProof/>
          <w:sz w:val="16"/>
          <w:szCs w:val="16"/>
        </w:rPr>
        <w:pict>
          <v:shape id="_x0000_i1036" type="#_x0000_t75" style="width:443.4pt;height:231pt">
            <v:imagedata r:id="rId29" o:title=""/>
          </v:shape>
        </w:pict>
      </w:r>
    </w:p>
    <w:p w:rsidR="00CA374E" w:rsidRDefault="00CA374E" w:rsidP="00CA374E">
      <w:pPr>
        <w:spacing w:before="240" w:after="240"/>
        <w:rPr>
          <w:rFonts w:ascii="Verdana" w:hAnsi="Verdana"/>
          <w:b/>
          <w:bCs/>
          <w:sz w:val="20"/>
          <w:szCs w:val="20"/>
        </w:rPr>
      </w:pPr>
      <w:r>
        <w:rPr>
          <w:rFonts w:ascii="Verdana" w:hAnsi="Verdana"/>
          <w:b/>
          <w:bCs/>
          <w:sz w:val="20"/>
          <w:szCs w:val="20"/>
        </w:rPr>
        <w:br w:type="page"/>
      </w:r>
    </w:p>
    <w:p w:rsidR="00CA374E" w:rsidRPr="000A6485" w:rsidRDefault="00CA374E" w:rsidP="00CA374E">
      <w:pPr>
        <w:spacing w:before="240" w:after="240"/>
        <w:rPr>
          <w:rFonts w:ascii="Verdana" w:hAnsi="Verdana"/>
          <w:b/>
          <w:bCs/>
          <w:sz w:val="20"/>
          <w:szCs w:val="20"/>
        </w:rPr>
      </w:pPr>
      <w:r w:rsidRPr="00BE5182">
        <w:rPr>
          <w:rFonts w:ascii="Verdana" w:hAnsi="Verdana"/>
          <w:b/>
          <w:bCs/>
          <w:sz w:val="20"/>
          <w:szCs w:val="20"/>
        </w:rPr>
        <w:lastRenderedPageBreak/>
        <w:t>7.2 Prognoza dochodów</w:t>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t>7.2.1 Metodologia prognozy dochodów</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Zakres źródeł dochodów m.st. Warszawy wykorzystany dla celów opracowania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cs="Verdana"/>
          <w:sz w:val="16"/>
          <w:szCs w:val="16"/>
        </w:rPr>
        <w:t xml:space="preserve">-2050 </w:t>
      </w:r>
      <w:r>
        <w:rPr>
          <w:rFonts w:ascii="Verdana" w:hAnsi="Verdana" w:cs="Verdana"/>
          <w:sz w:val="16"/>
          <w:szCs w:val="16"/>
        </w:rPr>
        <w:br/>
        <w:t>m.st. Warszawy</w:t>
      </w:r>
      <w:r w:rsidRPr="000A6485">
        <w:rPr>
          <w:rFonts w:ascii="Verdana" w:hAnsi="Verdana"/>
          <w:sz w:val="16"/>
          <w:szCs w:val="16"/>
        </w:rPr>
        <w:t xml:space="preserve"> odpowiada katalogowi d</w:t>
      </w:r>
      <w:r>
        <w:rPr>
          <w:rFonts w:ascii="Verdana" w:hAnsi="Verdana"/>
          <w:sz w:val="16"/>
          <w:szCs w:val="16"/>
        </w:rPr>
        <w:t xml:space="preserve">ochodów określonemu w ustawie o </w:t>
      </w:r>
      <w:r w:rsidRPr="000A6485">
        <w:rPr>
          <w:rFonts w:ascii="Verdana" w:hAnsi="Verdana"/>
          <w:sz w:val="16"/>
          <w:szCs w:val="16"/>
        </w:rPr>
        <w:t xml:space="preserve">dochodach jednostek samorządu terytorialnego. Prognoza dochodów m.st. Warszawy została sporządzona według ewidencji źródeł określonej dla budżetu </w:t>
      </w:r>
      <w:r>
        <w:rPr>
          <w:rFonts w:ascii="Verdana" w:hAnsi="Verdana"/>
          <w:sz w:val="16"/>
          <w:szCs w:val="16"/>
        </w:rPr>
        <w:t xml:space="preserve">Miasta </w:t>
      </w:r>
      <w:r w:rsidRPr="000A6485">
        <w:rPr>
          <w:rFonts w:ascii="Verdana" w:hAnsi="Verdana"/>
          <w:sz w:val="16"/>
          <w:szCs w:val="16"/>
        </w:rPr>
        <w:t xml:space="preserve">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 xml:space="preserve"> r., odrębnie dla każdej jednostki organizacyjnej Miasta</w:t>
      </w:r>
      <w:r>
        <w:rPr>
          <w:rFonts w:ascii="Verdana" w:hAnsi="Verdana"/>
          <w:sz w:val="16"/>
          <w:szCs w:val="16"/>
        </w:rPr>
        <w:t xml:space="preserve">. W konsekwencji wyniki </w:t>
      </w:r>
      <w:r w:rsidRPr="00A61201">
        <w:rPr>
          <w:rFonts w:ascii="Verdana" w:hAnsi="Verdana" w:cs="Verdana"/>
          <w:sz w:val="16"/>
          <w:szCs w:val="16"/>
        </w:rPr>
        <w:t>WPF</w:t>
      </w:r>
      <w:r>
        <w:rPr>
          <w:rFonts w:ascii="Verdana" w:hAnsi="Verdana" w:cs="Verdana"/>
          <w:sz w:val="16"/>
          <w:szCs w:val="16"/>
        </w:rPr>
        <w:t xml:space="preserve"> edycji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cs="Verdana"/>
          <w:sz w:val="16"/>
          <w:szCs w:val="16"/>
        </w:rPr>
        <w:t>-2050</w:t>
      </w:r>
      <w:r>
        <w:rPr>
          <w:rFonts w:ascii="Verdana" w:hAnsi="Verdana"/>
          <w:sz w:val="16"/>
          <w:szCs w:val="16"/>
        </w:rPr>
        <w:t xml:space="preserve"> w </w:t>
      </w:r>
      <w:r w:rsidRPr="000A6485">
        <w:rPr>
          <w:rFonts w:ascii="Verdana" w:hAnsi="Verdana"/>
          <w:sz w:val="16"/>
          <w:szCs w:val="16"/>
        </w:rPr>
        <w:t xml:space="preserve">zakresie dochodów są porównywalne pod każdym względem z dochodami uzyskiwanymi </w:t>
      </w:r>
      <w:r>
        <w:rPr>
          <w:rFonts w:ascii="Verdana" w:hAnsi="Verdana"/>
          <w:sz w:val="16"/>
          <w:szCs w:val="16"/>
        </w:rPr>
        <w:br/>
      </w:r>
      <w:r w:rsidRPr="000A6485">
        <w:rPr>
          <w:rFonts w:ascii="Verdana" w:hAnsi="Verdana"/>
          <w:sz w:val="16"/>
          <w:szCs w:val="16"/>
        </w:rPr>
        <w:t>w latach poprzednich, jak i z </w:t>
      </w:r>
      <w:r>
        <w:rPr>
          <w:rFonts w:ascii="Verdana" w:hAnsi="Verdana"/>
          <w:sz w:val="16"/>
          <w:szCs w:val="16"/>
        </w:rPr>
        <w:t>budżetem</w:t>
      </w:r>
      <w:r w:rsidRPr="000A6485">
        <w:rPr>
          <w:rFonts w:ascii="Verdana" w:hAnsi="Verdana"/>
          <w:sz w:val="16"/>
          <w:szCs w:val="16"/>
        </w:rPr>
        <w:t xml:space="preserve"> 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sz w:val="16"/>
          <w:szCs w:val="16"/>
        </w:rPr>
        <w:t> r.</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Prognoza dochodów została opracowana na bazie Wieloletniej Prognozy Finansowej na lata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3</w:t>
      </w:r>
      <w:r w:rsidRPr="000A6485">
        <w:rPr>
          <w:rFonts w:ascii="Verdana" w:hAnsi="Verdana"/>
          <w:sz w:val="16"/>
          <w:szCs w:val="16"/>
        </w:rPr>
        <w:t xml:space="preserve">-2050. Zastosowana metodologia ustalania prognozy dochodów polega przede wszystkim na wyodrębnieniu krótkiej </w:t>
      </w:r>
      <w:r w:rsidRPr="000A6485">
        <w:rPr>
          <w:rFonts w:ascii="Verdana" w:hAnsi="Verdana"/>
          <w:sz w:val="16"/>
          <w:szCs w:val="16"/>
        </w:rPr>
        <w:br/>
        <w:t>i dłuższej perspektywy prognozowania.</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Jednocześnie podjęto szereg działań w celu optymalizacji Wieloletniej Prognozy Finansowej. Przeprowadzon</w:t>
      </w:r>
      <w:r>
        <w:rPr>
          <w:rFonts w:ascii="Verdana" w:hAnsi="Verdana"/>
          <w:sz w:val="16"/>
          <w:szCs w:val="16"/>
        </w:rPr>
        <w:t xml:space="preserve">o analizę realizacji dochodów w </w:t>
      </w:r>
      <w:r w:rsidRPr="000A6485">
        <w:rPr>
          <w:rFonts w:ascii="Verdana" w:hAnsi="Verdana"/>
          <w:sz w:val="16"/>
          <w:szCs w:val="16"/>
        </w:rPr>
        <w:t>latach poprzedzających rok budżetowy, dla każdego źródła dochodów budżetowych i jednostki organizacyjnej odrębnie, wykorzystują</w:t>
      </w:r>
      <w:r>
        <w:rPr>
          <w:rFonts w:ascii="Verdana" w:hAnsi="Verdana"/>
          <w:sz w:val="16"/>
          <w:szCs w:val="16"/>
        </w:rPr>
        <w:t xml:space="preserve">c dane z </w:t>
      </w:r>
      <w:r w:rsidRPr="000A6485">
        <w:rPr>
          <w:rFonts w:ascii="Verdana" w:hAnsi="Verdana"/>
          <w:sz w:val="16"/>
          <w:szCs w:val="16"/>
        </w:rPr>
        <w:t xml:space="preserve">wykonania budżetu </w:t>
      </w:r>
      <w:r w:rsidRPr="000A6485">
        <w:rPr>
          <w:rFonts w:ascii="Verdana" w:hAnsi="Verdana"/>
          <w:sz w:val="16"/>
          <w:szCs w:val="16"/>
        </w:rPr>
        <w:br/>
        <w:t xml:space="preserve">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2</w:t>
      </w:r>
      <w:r w:rsidRPr="000A6485">
        <w:rPr>
          <w:rFonts w:ascii="Verdana" w:hAnsi="Verdana"/>
          <w:sz w:val="16"/>
          <w:szCs w:val="16"/>
        </w:rPr>
        <w:t xml:space="preserve"> r. oraz przewidywaną realizację w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3</w:t>
      </w:r>
      <w:r w:rsidRPr="000A6485">
        <w:rPr>
          <w:rFonts w:ascii="Verdana" w:hAnsi="Verdana"/>
          <w:sz w:val="16"/>
          <w:szCs w:val="16"/>
        </w:rPr>
        <w:t xml:space="preserve"> r. Ponadto dysponenci przeprowadzili szczegółową analizę oczekiwanych wpływów w najb</w:t>
      </w:r>
      <w:r>
        <w:rPr>
          <w:rFonts w:ascii="Verdana" w:hAnsi="Verdana"/>
          <w:sz w:val="16"/>
          <w:szCs w:val="16"/>
        </w:rPr>
        <w:t xml:space="preserve">liższych trzech latach, tj.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Pr>
          <w:rFonts w:ascii="Verdana" w:hAnsi="Verdana"/>
          <w:sz w:val="16"/>
          <w:szCs w:val="16"/>
        </w:rPr>
        <w:t>-2026</w:t>
      </w:r>
      <w:r w:rsidRPr="000A6485">
        <w:rPr>
          <w:rFonts w:ascii="Verdana" w:hAnsi="Verdana"/>
          <w:sz w:val="16"/>
          <w:szCs w:val="16"/>
        </w:rPr>
        <w:t xml:space="preserve"> i dokonali weryfikacji prognoz dochodów </w:t>
      </w:r>
      <w:r w:rsidRPr="000A6485">
        <w:rPr>
          <w:rFonts w:ascii="Verdana" w:hAnsi="Verdana"/>
          <w:sz w:val="16"/>
          <w:szCs w:val="16"/>
        </w:rPr>
        <w:br/>
        <w:t xml:space="preserve">w poszczególnych źródłach. Skala zmian w krótkim okresie spowodowała konieczność weryfikacji źródeł również w perspektywie obejmującej </w:t>
      </w:r>
      <w:r>
        <w:rPr>
          <w:rFonts w:ascii="Verdana" w:hAnsi="Verdana"/>
          <w:sz w:val="16"/>
          <w:szCs w:val="16"/>
        </w:rPr>
        <w:t xml:space="preserve">rok </w:t>
      </w: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i lata następne.</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Powyższe działanie podjęto w celu zapewnienia metodyce sporządzania WPF w zakresie dochodów, transparentności, jawności i przejrzystości. </w:t>
      </w:r>
    </w:p>
    <w:p w:rsidR="00CA374E"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W dalszej części opracowania przedstawiono założenia prognoz w zakresie kategorii dochodów ujętych we wzorze WPF zgodnym z rozporządzeniem Ministra Finansów z dnia 10 stycznia 2013 r. </w:t>
      </w:r>
      <w:r w:rsidRPr="00D14800">
        <w:rPr>
          <w:rFonts w:ascii="Verdana" w:hAnsi="Verdana"/>
          <w:i/>
          <w:sz w:val="16"/>
          <w:szCs w:val="16"/>
        </w:rPr>
        <w:t>w sprawie wieloletniej prognozy finansowej jednostki samorządu terytorialnego</w:t>
      </w:r>
      <w:r w:rsidRPr="000A6485">
        <w:rPr>
          <w:rFonts w:ascii="Verdana" w:hAnsi="Verdana"/>
          <w:sz w:val="16"/>
          <w:szCs w:val="16"/>
        </w:rPr>
        <w:t xml:space="preserve"> (</w:t>
      </w:r>
      <w:r>
        <w:rPr>
          <w:rFonts w:ascii="Verdana" w:hAnsi="Verdana"/>
          <w:sz w:val="16"/>
          <w:szCs w:val="16"/>
        </w:rPr>
        <w:t>Dz.U.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w:t>
      </w:r>
      <w:r>
        <w:rPr>
          <w:rFonts w:ascii="Verdana" w:hAnsi="Verdana"/>
          <w:sz w:val="16"/>
          <w:szCs w:val="16"/>
        </w:rPr>
        <w:br w:type="page"/>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lastRenderedPageBreak/>
        <w:t>7.2.2 Założenia do prognozy dochodów</w:t>
      </w:r>
    </w:p>
    <w:p w:rsidR="00CA374E" w:rsidRPr="000A6485" w:rsidRDefault="00CA374E" w:rsidP="00CA374E">
      <w:pPr>
        <w:spacing w:before="240" w:after="240"/>
        <w:ind w:left="1077" w:hanging="1077"/>
        <w:rPr>
          <w:rFonts w:ascii="Verdana" w:hAnsi="Verdana"/>
          <w:b/>
          <w:bCs/>
          <w:sz w:val="18"/>
          <w:szCs w:val="18"/>
        </w:rPr>
      </w:pPr>
      <w:r w:rsidRPr="000A6485">
        <w:rPr>
          <w:rFonts w:ascii="Verdana" w:hAnsi="Verdana"/>
          <w:b/>
          <w:bCs/>
          <w:sz w:val="18"/>
          <w:szCs w:val="18"/>
        </w:rPr>
        <w:t>7.2</w:t>
      </w:r>
      <w:r>
        <w:rPr>
          <w:rFonts w:ascii="Verdana" w:hAnsi="Verdana"/>
          <w:b/>
          <w:bCs/>
          <w:sz w:val="18"/>
          <w:szCs w:val="18"/>
        </w:rPr>
        <w:t>.2.1</w:t>
      </w:r>
      <w:r w:rsidRPr="000A6485">
        <w:rPr>
          <w:rFonts w:ascii="Verdana" w:hAnsi="Verdana"/>
          <w:b/>
          <w:bCs/>
          <w:sz w:val="18"/>
          <w:szCs w:val="18"/>
        </w:rPr>
        <w:t xml:space="preserve"> Prognozy makroekonomiczne</w:t>
      </w:r>
    </w:p>
    <w:p w:rsidR="00CA374E" w:rsidRDefault="00CA374E" w:rsidP="00CA374E">
      <w:pPr>
        <w:spacing w:before="120" w:after="120"/>
        <w:ind w:firstLine="540"/>
        <w:jc w:val="both"/>
        <w:rPr>
          <w:rFonts w:ascii="Verdana" w:hAnsi="Verdana"/>
          <w:sz w:val="16"/>
          <w:szCs w:val="16"/>
        </w:rPr>
      </w:pPr>
      <w:r w:rsidRPr="000A6485">
        <w:rPr>
          <w:rFonts w:ascii="Verdana" w:hAnsi="Verdana"/>
          <w:sz w:val="16"/>
          <w:szCs w:val="16"/>
        </w:rPr>
        <w:t>W niniejszej prognozie dochodów zachowano zgodność ze scenariuszem wzrostu gospodarczego kraju nakreślonym na najbliższe lata w projekc</w:t>
      </w:r>
      <w:r>
        <w:rPr>
          <w:rFonts w:ascii="Verdana" w:hAnsi="Verdana"/>
          <w:sz w:val="16"/>
          <w:szCs w:val="16"/>
        </w:rPr>
        <w:t xml:space="preserve">ie ustawy budżetowej na rok </w:t>
      </w:r>
      <w:r w:rsidRPr="008F3935">
        <w:rPr>
          <w:rFonts w:ascii="Verdana" w:eastAsiaTheme="minorEastAsia" w:hAnsi="Verdana" w:cs="Verdana"/>
          <w:color w:val="000000"/>
          <w:sz w:val="16"/>
          <w:szCs w:val="16"/>
        </w:rPr>
        <w:t>2024</w:t>
      </w:r>
      <w:r w:rsidRPr="000A6485">
        <w:rPr>
          <w:rFonts w:ascii="Verdana" w:hAnsi="Verdana"/>
          <w:sz w:val="16"/>
          <w:szCs w:val="16"/>
        </w:rPr>
        <w:t>. Przyjęte do prognozowania wskaźniki makroekonomiczn</w:t>
      </w:r>
      <w:r>
        <w:rPr>
          <w:rFonts w:ascii="Verdana" w:hAnsi="Verdana"/>
          <w:sz w:val="16"/>
          <w:szCs w:val="16"/>
        </w:rPr>
        <w:t>e opublikowane w ww. dokumencie</w:t>
      </w:r>
      <w:r w:rsidRPr="000A6485">
        <w:rPr>
          <w:rFonts w:ascii="Verdana" w:hAnsi="Verdana"/>
          <w:sz w:val="16"/>
          <w:szCs w:val="16"/>
        </w:rPr>
        <w:t xml:space="preserve"> rzutują na parametry projekcji dochodów. Wskaźniki makroekonomiczne prezentuje tab. nr 1 zamieszczona w pkt. 4.2.</w:t>
      </w:r>
    </w:p>
    <w:p w:rsidR="00CA374E" w:rsidRPr="000A6485" w:rsidRDefault="00CA374E" w:rsidP="00CA374E">
      <w:pPr>
        <w:spacing w:before="240" w:after="240"/>
        <w:jc w:val="both"/>
        <w:rPr>
          <w:rFonts w:ascii="Verdana" w:hAnsi="Verdana"/>
          <w:b/>
          <w:bCs/>
          <w:sz w:val="18"/>
          <w:szCs w:val="18"/>
        </w:rPr>
      </w:pPr>
      <w:r w:rsidRPr="000A6485">
        <w:rPr>
          <w:rFonts w:ascii="Verdana" w:hAnsi="Verdana"/>
          <w:b/>
          <w:bCs/>
          <w:sz w:val="18"/>
          <w:szCs w:val="18"/>
        </w:rPr>
        <w:t>7.2</w:t>
      </w:r>
      <w:r>
        <w:rPr>
          <w:rFonts w:ascii="Verdana" w:hAnsi="Verdana"/>
          <w:b/>
          <w:bCs/>
          <w:sz w:val="18"/>
          <w:szCs w:val="18"/>
        </w:rPr>
        <w:t>.2.2</w:t>
      </w:r>
      <w:r w:rsidRPr="000A6485">
        <w:rPr>
          <w:rFonts w:ascii="Verdana" w:hAnsi="Verdana"/>
          <w:b/>
          <w:bCs/>
          <w:sz w:val="18"/>
          <w:szCs w:val="18"/>
        </w:rPr>
        <w:t xml:space="preserve"> Pozostałe założenia</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t xml:space="preserve">Pozostałe założenia w zakresie prognozy dochodów na lata </w:t>
      </w:r>
      <w:r>
        <w:rPr>
          <w:rFonts w:ascii="Verdana" w:hAnsi="Verdana"/>
          <w:sz w:val="16"/>
          <w:szCs w:val="16"/>
        </w:rPr>
        <w:t>2024</w:t>
      </w:r>
      <w:r w:rsidRPr="000A6485">
        <w:rPr>
          <w:rFonts w:ascii="Verdana" w:hAnsi="Verdana"/>
          <w:sz w:val="16"/>
          <w:szCs w:val="16"/>
        </w:rPr>
        <w:t>-2050 określają w istotny sposób wysokość dochodów, dynamikę, rozkład w poszczególnych latach oraz strukturę źródeł. Przyjęto następujące założenia:</w:t>
      </w:r>
    </w:p>
    <w:p w:rsidR="00CA374E" w:rsidRPr="00834A56" w:rsidRDefault="00CA374E" w:rsidP="00CA374E">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sidRPr="00834A56">
        <w:rPr>
          <w:rFonts w:ascii="Verdana" w:hAnsi="Verdana"/>
          <w:sz w:val="16"/>
          <w:szCs w:val="16"/>
        </w:rPr>
        <w:t xml:space="preserve">Planowane na </w:t>
      </w:r>
      <w:r w:rsidRPr="00834A56">
        <w:rPr>
          <w:rFonts w:ascii="Verdana" w:eastAsiaTheme="minorEastAsia" w:hAnsi="Verdana" w:cs="Verdana"/>
          <w:color w:val="000000"/>
          <w:sz w:val="16"/>
          <w:szCs w:val="16"/>
        </w:rPr>
        <w:t>2024</w:t>
      </w:r>
      <w:r w:rsidRPr="00834A56">
        <w:rPr>
          <w:rFonts w:ascii="Verdana" w:hAnsi="Verdana"/>
          <w:sz w:val="16"/>
          <w:szCs w:val="16"/>
        </w:rPr>
        <w:t xml:space="preserve"> r. dochody z podatków dochodowych od osób fizycznych (PIT) i osób prawnych (CIT) oraz z </w:t>
      </w:r>
      <w:r>
        <w:rPr>
          <w:rFonts w:ascii="Verdana" w:hAnsi="Verdana"/>
          <w:sz w:val="16"/>
          <w:szCs w:val="16"/>
        </w:rPr>
        <w:t xml:space="preserve">części równoważącej </w:t>
      </w:r>
      <w:r w:rsidRPr="00834A56">
        <w:rPr>
          <w:rFonts w:ascii="Verdana" w:hAnsi="Verdana"/>
          <w:sz w:val="16"/>
          <w:szCs w:val="16"/>
        </w:rPr>
        <w:t xml:space="preserve">subwencji ogólnej, a także wysokość wpłaty do budżetu państwa na rzecz </w:t>
      </w:r>
      <w:r>
        <w:rPr>
          <w:rFonts w:ascii="Verdana" w:hAnsi="Verdana"/>
          <w:sz w:val="16"/>
          <w:szCs w:val="16"/>
        </w:rPr>
        <w:t>tej części subwencji</w:t>
      </w:r>
      <w:r w:rsidRPr="00834A56">
        <w:rPr>
          <w:rFonts w:ascii="Verdana" w:hAnsi="Verdana"/>
          <w:sz w:val="16"/>
          <w:szCs w:val="16"/>
        </w:rPr>
        <w:t xml:space="preserve"> (tzw. Janosikowe) przyjęto na poziomie zgodnym z kwotami podanymi przez Ministerstwo Finansów w pismach z 13 października </w:t>
      </w:r>
      <w:r w:rsidRPr="00834A56">
        <w:rPr>
          <w:rFonts w:ascii="Verdana" w:eastAsiaTheme="minorEastAsia" w:hAnsi="Verdana" w:cs="Verdana"/>
          <w:color w:val="000000"/>
          <w:sz w:val="16"/>
          <w:szCs w:val="16"/>
        </w:rPr>
        <w:t>2023</w:t>
      </w:r>
      <w:r w:rsidRPr="00834A56">
        <w:rPr>
          <w:rFonts w:ascii="Verdana" w:hAnsi="Verdana"/>
          <w:sz w:val="16"/>
          <w:szCs w:val="16"/>
        </w:rPr>
        <w:t xml:space="preserve"> r. znak: </w:t>
      </w:r>
      <w:r w:rsidRPr="00834A56">
        <w:rPr>
          <w:rFonts w:ascii="Verdana" w:hAnsi="Verdana" w:cs="Verdana"/>
          <w:sz w:val="16"/>
          <w:szCs w:val="16"/>
          <w:lang w:eastAsia="ko-KR"/>
        </w:rPr>
        <w:t xml:space="preserve">ST3.4750.19.2023 </w:t>
      </w:r>
      <w:r>
        <w:rPr>
          <w:rFonts w:ascii="Verdana" w:hAnsi="Verdana" w:cs="Verdana"/>
          <w:sz w:val="16"/>
          <w:szCs w:val="16"/>
          <w:lang w:eastAsia="ko-KR"/>
        </w:rPr>
        <w:br/>
      </w:r>
      <w:r w:rsidRPr="00834A56">
        <w:rPr>
          <w:rFonts w:ascii="Verdana" w:hAnsi="Verdana" w:cs="Verdana"/>
          <w:sz w:val="16"/>
          <w:szCs w:val="16"/>
          <w:lang w:eastAsia="ko-KR"/>
        </w:rPr>
        <w:t>i ST3.4750.20.2023</w:t>
      </w:r>
      <w:r w:rsidRPr="00834A56">
        <w:rPr>
          <w:rFonts w:ascii="Verdana" w:hAnsi="Verdana"/>
          <w:sz w:val="16"/>
          <w:szCs w:val="16"/>
        </w:rPr>
        <w:t xml:space="preserve">. </w:t>
      </w:r>
    </w:p>
    <w:p w:rsidR="00CA374E" w:rsidRPr="00834A56" w:rsidRDefault="00CA374E" w:rsidP="00CA374E">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Pr>
          <w:rFonts w:ascii="Verdana" w:hAnsi="Verdana"/>
          <w:iCs/>
          <w:sz w:val="16"/>
          <w:szCs w:val="16"/>
        </w:rPr>
        <w:t>P</w:t>
      </w:r>
      <w:r w:rsidRPr="000A6485">
        <w:rPr>
          <w:rFonts w:ascii="Verdana" w:hAnsi="Verdana"/>
          <w:iCs/>
          <w:sz w:val="16"/>
          <w:szCs w:val="16"/>
        </w:rPr>
        <w:t xml:space="preserve">lanowane dochody z </w:t>
      </w:r>
      <w:r>
        <w:rPr>
          <w:rFonts w:ascii="Verdana" w:hAnsi="Verdana"/>
          <w:iCs/>
          <w:sz w:val="16"/>
          <w:szCs w:val="16"/>
        </w:rPr>
        <w:t xml:space="preserve">części </w:t>
      </w:r>
      <w:r w:rsidRPr="000A6485">
        <w:rPr>
          <w:rFonts w:ascii="Verdana" w:hAnsi="Verdana"/>
          <w:iCs/>
          <w:sz w:val="16"/>
          <w:szCs w:val="16"/>
        </w:rPr>
        <w:t>oświatowej</w:t>
      </w:r>
      <w:r>
        <w:rPr>
          <w:rFonts w:ascii="Verdana" w:hAnsi="Verdana"/>
          <w:iCs/>
          <w:sz w:val="16"/>
          <w:szCs w:val="16"/>
        </w:rPr>
        <w:t xml:space="preserve"> </w:t>
      </w:r>
      <w:r w:rsidRPr="000A6485">
        <w:rPr>
          <w:rFonts w:ascii="Verdana" w:hAnsi="Verdana"/>
          <w:iCs/>
          <w:sz w:val="16"/>
          <w:szCs w:val="16"/>
        </w:rPr>
        <w:t>subwencji</w:t>
      </w:r>
      <w:r>
        <w:rPr>
          <w:rFonts w:ascii="Verdana" w:hAnsi="Verdana"/>
          <w:iCs/>
          <w:sz w:val="16"/>
          <w:szCs w:val="16"/>
        </w:rPr>
        <w:t xml:space="preserve"> ogólnej </w:t>
      </w:r>
      <w:r w:rsidRPr="000A6485">
        <w:rPr>
          <w:rFonts w:ascii="Verdana" w:hAnsi="Verdana"/>
          <w:iCs/>
          <w:sz w:val="16"/>
          <w:szCs w:val="16"/>
        </w:rPr>
        <w:t xml:space="preserve">na </w:t>
      </w:r>
      <w:r w:rsidRPr="00932633">
        <w:rPr>
          <w:rFonts w:ascii="Verdana" w:eastAsiaTheme="minorEastAsia" w:hAnsi="Verdana" w:cs="Verdana"/>
          <w:color w:val="000000"/>
          <w:sz w:val="16"/>
          <w:szCs w:val="16"/>
        </w:rPr>
        <w:t>202</w:t>
      </w:r>
      <w:r>
        <w:rPr>
          <w:rFonts w:ascii="Verdana" w:eastAsiaTheme="minorEastAsia" w:hAnsi="Verdana" w:cs="Verdana"/>
          <w:color w:val="000000"/>
          <w:sz w:val="16"/>
          <w:szCs w:val="16"/>
        </w:rPr>
        <w:t>4</w:t>
      </w:r>
      <w:r w:rsidRPr="000A6485">
        <w:rPr>
          <w:rFonts w:ascii="Verdana" w:hAnsi="Verdana"/>
          <w:iCs/>
          <w:sz w:val="16"/>
          <w:szCs w:val="16"/>
        </w:rPr>
        <w:t xml:space="preserve"> r. </w:t>
      </w:r>
      <w:r>
        <w:rPr>
          <w:rFonts w:ascii="Verdana" w:hAnsi="Verdana"/>
          <w:iCs/>
          <w:sz w:val="16"/>
          <w:szCs w:val="16"/>
        </w:rPr>
        <w:t xml:space="preserve">także </w:t>
      </w:r>
      <w:r w:rsidRPr="000A6485">
        <w:rPr>
          <w:rFonts w:ascii="Verdana" w:hAnsi="Verdana"/>
          <w:iCs/>
          <w:sz w:val="16"/>
          <w:szCs w:val="16"/>
        </w:rPr>
        <w:t xml:space="preserve">uwzględniono w kwocie podanej przez Ministerstwo Finansów </w:t>
      </w:r>
      <w:r>
        <w:rPr>
          <w:rFonts w:ascii="Verdana" w:hAnsi="Verdana"/>
          <w:iCs/>
          <w:sz w:val="16"/>
          <w:szCs w:val="16"/>
        </w:rPr>
        <w:t>z</w:t>
      </w:r>
      <w:r>
        <w:rPr>
          <w:rFonts w:ascii="Verdana" w:hAnsi="Verdana"/>
          <w:sz w:val="16"/>
          <w:szCs w:val="16"/>
        </w:rPr>
        <w:t>godnie z ww. pismami</w:t>
      </w:r>
      <w:r w:rsidRPr="000A6485">
        <w:rPr>
          <w:rFonts w:ascii="Verdana" w:hAnsi="Verdana"/>
          <w:iCs/>
          <w:sz w:val="16"/>
          <w:szCs w:val="16"/>
        </w:rPr>
        <w:t>, co stanowiło podstawę do oszacowania dochodów w tym zakresie w perspektywie</w:t>
      </w:r>
      <w:r>
        <w:rPr>
          <w:rFonts w:ascii="Verdana" w:hAnsi="Verdana"/>
          <w:iCs/>
          <w:sz w:val="16"/>
          <w:szCs w:val="16"/>
        </w:rPr>
        <w:t xml:space="preserve"> do</w:t>
      </w:r>
      <w:r w:rsidRPr="000A6485">
        <w:rPr>
          <w:rFonts w:ascii="Verdana" w:hAnsi="Verdana"/>
          <w:iCs/>
          <w:sz w:val="16"/>
          <w:szCs w:val="16"/>
        </w:rPr>
        <w:t xml:space="preserve"> 2050 r.</w:t>
      </w:r>
      <w:r>
        <w:rPr>
          <w:rFonts w:ascii="Verdana" w:hAnsi="Verdana"/>
          <w:iCs/>
          <w:sz w:val="16"/>
          <w:szCs w:val="16"/>
        </w:rPr>
        <w:t>,</w:t>
      </w:r>
    </w:p>
    <w:p w:rsidR="00CA374E" w:rsidRPr="00834A56" w:rsidRDefault="00CA374E" w:rsidP="00CA374E">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Pr>
          <w:rFonts w:ascii="Verdana" w:hAnsi="Verdana"/>
          <w:sz w:val="16"/>
          <w:szCs w:val="16"/>
        </w:rPr>
        <w:t>Zgodnie z ww. pismami w prognozie dochodów na 2024</w:t>
      </w:r>
      <w:r w:rsidRPr="00834A56">
        <w:rPr>
          <w:rFonts w:ascii="Verdana" w:hAnsi="Verdana"/>
          <w:sz w:val="16"/>
          <w:szCs w:val="16"/>
        </w:rPr>
        <w:t xml:space="preserve"> r. nie uwzględniono wpływów z subwencji ogólnej w</w:t>
      </w:r>
      <w:r>
        <w:rPr>
          <w:rFonts w:ascii="Verdana" w:hAnsi="Verdana"/>
          <w:sz w:val="16"/>
          <w:szCs w:val="16"/>
        </w:rPr>
        <w:t> </w:t>
      </w:r>
      <w:r w:rsidRPr="00834A56">
        <w:rPr>
          <w:rFonts w:ascii="Verdana" w:hAnsi="Verdana"/>
          <w:sz w:val="16"/>
          <w:szCs w:val="16"/>
        </w:rPr>
        <w:t xml:space="preserve">części rozwojowej </w:t>
      </w:r>
      <w:r>
        <w:rPr>
          <w:rFonts w:ascii="Verdana" w:hAnsi="Verdana"/>
          <w:sz w:val="16"/>
          <w:szCs w:val="16"/>
        </w:rPr>
        <w:t xml:space="preserve">w konsekwencji założeń </w:t>
      </w:r>
      <w:r w:rsidRPr="00834A56">
        <w:rPr>
          <w:rFonts w:ascii="Verdana" w:hAnsi="Verdana"/>
          <w:sz w:val="16"/>
          <w:szCs w:val="16"/>
        </w:rPr>
        <w:t xml:space="preserve">projektu ustawy </w:t>
      </w:r>
      <w:r w:rsidRPr="00834A56">
        <w:rPr>
          <w:rFonts w:ascii="Verdana" w:hAnsi="Verdana"/>
          <w:i/>
          <w:sz w:val="16"/>
          <w:szCs w:val="16"/>
        </w:rPr>
        <w:t>o szczególnych rozwiązaniach służących realizacji ustawy budżetowej na rok 2024</w:t>
      </w:r>
      <w:r w:rsidRPr="00834A56">
        <w:rPr>
          <w:rFonts w:ascii="Verdana" w:hAnsi="Verdana"/>
          <w:sz w:val="16"/>
          <w:szCs w:val="16"/>
        </w:rPr>
        <w:t>.</w:t>
      </w:r>
    </w:p>
    <w:p w:rsidR="00CA374E" w:rsidRPr="00834A56" w:rsidRDefault="00CA374E" w:rsidP="00CA374E">
      <w:pPr>
        <w:pStyle w:val="Akapitzlist"/>
        <w:numPr>
          <w:ilvl w:val="0"/>
          <w:numId w:val="5"/>
        </w:numPr>
        <w:tabs>
          <w:tab w:val="clear" w:pos="1080"/>
          <w:tab w:val="num" w:pos="851"/>
        </w:tabs>
        <w:spacing w:before="120" w:after="120"/>
        <w:ind w:left="851" w:hanging="284"/>
        <w:contextualSpacing w:val="0"/>
        <w:jc w:val="both"/>
        <w:rPr>
          <w:rFonts w:ascii="Verdana" w:hAnsi="Verdana"/>
          <w:bCs/>
          <w:sz w:val="16"/>
          <w:szCs w:val="16"/>
        </w:rPr>
      </w:pPr>
      <w:r w:rsidRPr="00834A56">
        <w:rPr>
          <w:rFonts w:ascii="Verdana" w:hAnsi="Verdana"/>
          <w:iCs/>
          <w:sz w:val="16"/>
          <w:szCs w:val="16"/>
        </w:rPr>
        <w:t xml:space="preserve">Dla kolejnych lat </w:t>
      </w:r>
      <w:r>
        <w:rPr>
          <w:rFonts w:ascii="Verdana" w:hAnsi="Verdana"/>
          <w:iCs/>
          <w:sz w:val="16"/>
          <w:szCs w:val="16"/>
        </w:rPr>
        <w:t>przyjęto s</w:t>
      </w:r>
      <w:r w:rsidRPr="00834A56">
        <w:rPr>
          <w:rFonts w:ascii="Verdana" w:hAnsi="Verdana"/>
          <w:iCs/>
          <w:sz w:val="16"/>
          <w:szCs w:val="16"/>
        </w:rPr>
        <w:t>zacunki własne oparte o prognozę wskaźników makroekonomicznych przedstawioną przez Ministerstwo Finansów w projekcie ustawy budżetowej na 2024 r.</w:t>
      </w:r>
      <w:r w:rsidRPr="00834A56">
        <w:rPr>
          <w:rFonts w:ascii="Verdana" w:hAnsi="Verdana"/>
          <w:bCs/>
          <w:sz w:val="16"/>
          <w:szCs w:val="16"/>
        </w:rPr>
        <w:t xml:space="preserve"> </w:t>
      </w:r>
      <w:r>
        <w:rPr>
          <w:rFonts w:ascii="Verdana" w:hAnsi="Verdana"/>
          <w:bCs/>
          <w:sz w:val="16"/>
          <w:szCs w:val="16"/>
        </w:rPr>
        <w:t xml:space="preserve">zatwierdzonym </w:t>
      </w:r>
      <w:r w:rsidRPr="00834A56">
        <w:rPr>
          <w:rFonts w:ascii="Verdana" w:hAnsi="Verdana"/>
          <w:bCs/>
          <w:sz w:val="16"/>
          <w:szCs w:val="16"/>
        </w:rPr>
        <w:t xml:space="preserve">przez Radę Ministrów w dniu 26 września 2023 r. </w:t>
      </w:r>
      <w:r w:rsidRPr="00834A56">
        <w:rPr>
          <w:rFonts w:ascii="Verdana" w:hAnsi="Verdana"/>
          <w:iCs/>
          <w:sz w:val="16"/>
          <w:szCs w:val="16"/>
        </w:rPr>
        <w:t xml:space="preserve">oraz w dokumencie pt. </w:t>
      </w:r>
      <w:r w:rsidRPr="00834A56">
        <w:rPr>
          <w:rFonts w:ascii="Verdana" w:hAnsi="Verdana"/>
          <w:i/>
          <w:sz w:val="16"/>
          <w:szCs w:val="16"/>
        </w:rPr>
        <w:t>Wytyczne dotyczące stosowania jednolitych wskaźników makroekonomicznych będących podstawą oszacowania skutków finansowych projektowanych ustaw – aktualizacja październik 2023 r</w:t>
      </w:r>
      <w:r w:rsidRPr="00834A56">
        <w:rPr>
          <w:rFonts w:ascii="Verdana" w:hAnsi="Verdana"/>
          <w:iCs/>
          <w:sz w:val="16"/>
          <w:szCs w:val="16"/>
        </w:rPr>
        <w:t>;</w:t>
      </w:r>
    </w:p>
    <w:p w:rsidR="00CA374E" w:rsidRDefault="00CA374E" w:rsidP="00CA374E">
      <w:pPr>
        <w:numPr>
          <w:ilvl w:val="0"/>
          <w:numId w:val="5"/>
        </w:numPr>
        <w:tabs>
          <w:tab w:val="clear" w:pos="1080"/>
          <w:tab w:val="num" w:pos="851"/>
        </w:tabs>
        <w:spacing w:before="120" w:after="120"/>
        <w:ind w:left="851" w:hanging="284"/>
        <w:jc w:val="both"/>
        <w:rPr>
          <w:rFonts w:ascii="Verdana" w:hAnsi="Verdana"/>
          <w:sz w:val="16"/>
          <w:szCs w:val="16"/>
        </w:rPr>
      </w:pPr>
      <w:r w:rsidRPr="00492AD1">
        <w:rPr>
          <w:rFonts w:ascii="Verdana" w:hAnsi="Verdana"/>
          <w:sz w:val="16"/>
          <w:szCs w:val="16"/>
        </w:rPr>
        <w:t>Szacowanie wszelkich pozostałych dochodów objętych niniejszą Prognozą w opa</w:t>
      </w:r>
      <w:r>
        <w:rPr>
          <w:rFonts w:ascii="Verdana" w:hAnsi="Verdana"/>
          <w:sz w:val="16"/>
          <w:szCs w:val="16"/>
        </w:rPr>
        <w:t>rciu o obowiązujący stan prawny.</w:t>
      </w:r>
      <w:r>
        <w:rPr>
          <w:rFonts w:ascii="Verdana" w:hAnsi="Verdana"/>
          <w:sz w:val="16"/>
          <w:szCs w:val="16"/>
        </w:rPr>
        <w:br w:type="page"/>
      </w:r>
    </w:p>
    <w:p w:rsidR="00CA374E" w:rsidRPr="000A6485" w:rsidRDefault="00CA374E" w:rsidP="00CA374E">
      <w:pPr>
        <w:spacing w:before="240" w:after="240"/>
        <w:jc w:val="both"/>
        <w:rPr>
          <w:rFonts w:ascii="Verdana" w:hAnsi="Verdana"/>
          <w:b/>
          <w:bCs/>
          <w:sz w:val="18"/>
          <w:szCs w:val="18"/>
        </w:rPr>
      </w:pPr>
      <w:r w:rsidRPr="000A6485">
        <w:rPr>
          <w:rFonts w:ascii="Verdana" w:hAnsi="Verdana"/>
          <w:b/>
          <w:bCs/>
          <w:sz w:val="18"/>
          <w:szCs w:val="18"/>
        </w:rPr>
        <w:lastRenderedPageBreak/>
        <w:t>7.2.3 Wynik zbiorczy prognozy dochodów</w:t>
      </w:r>
    </w:p>
    <w:p w:rsidR="00CA374E" w:rsidRPr="000A6485" w:rsidRDefault="00CA374E" w:rsidP="00CA374E">
      <w:pPr>
        <w:pStyle w:val="Akapitzlist"/>
        <w:spacing w:before="120" w:after="120"/>
        <w:ind w:left="0" w:firstLine="567"/>
        <w:jc w:val="both"/>
        <w:rPr>
          <w:rFonts w:ascii="Verdana" w:hAnsi="Verdana"/>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nr 1</w:t>
      </w:r>
      <w:r>
        <w:rPr>
          <w:rFonts w:ascii="Verdana" w:hAnsi="Verdana"/>
          <w:sz w:val="16"/>
          <w:szCs w:val="16"/>
        </w:rPr>
        <w:t>6 i 17 prezentują</w:t>
      </w:r>
      <w:r w:rsidRPr="000A6485">
        <w:rPr>
          <w:rFonts w:ascii="Verdana" w:hAnsi="Verdana"/>
          <w:sz w:val="16"/>
          <w:szCs w:val="16"/>
        </w:rPr>
        <w:t xml:space="preserve"> prognozowane dochody ogółem w poszczególnych latach objętych Prognozą</w:t>
      </w:r>
      <w:r w:rsidRPr="000A6485">
        <w:rPr>
          <w:rStyle w:val="Odwoanieprzypisudolnego"/>
          <w:rFonts w:ascii="Verdana" w:hAnsi="Verdana"/>
          <w:sz w:val="16"/>
          <w:szCs w:val="16"/>
        </w:rPr>
        <w:footnoteReference w:id="11"/>
      </w:r>
      <w:r>
        <w:rPr>
          <w:rFonts w:ascii="Verdana" w:hAnsi="Verdana"/>
          <w:sz w:val="16"/>
          <w:szCs w:val="16"/>
        </w:rPr>
        <w:t>.</w:t>
      </w:r>
    </w:p>
    <w:p w:rsidR="00CA374E" w:rsidRPr="000A6485" w:rsidRDefault="00CA374E" w:rsidP="00CA374E">
      <w:pPr>
        <w:tabs>
          <w:tab w:val="left" w:pos="567"/>
        </w:tabs>
        <w:spacing w:before="6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16</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sidRPr="008F3935">
        <w:rPr>
          <w:rFonts w:ascii="Verdana" w:hAnsi="Verdana" w:cs="Arial"/>
          <w:b/>
          <w:bCs/>
          <w:sz w:val="14"/>
          <w:szCs w:val="14"/>
        </w:rPr>
        <w:t>2024</w:t>
      </w:r>
      <w:r>
        <w:rPr>
          <w:rFonts w:ascii="Verdana" w:hAnsi="Verdana" w:cs="Arial"/>
          <w:b/>
          <w:bCs/>
          <w:sz w:val="14"/>
          <w:szCs w:val="14"/>
        </w:rPr>
        <w:t>-2028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AF0B51" w:rsidP="00CA374E">
      <w:pPr>
        <w:spacing w:before="120" w:after="120"/>
        <w:jc w:val="both"/>
        <w:rPr>
          <w:rFonts w:ascii="Verdana" w:hAnsi="Verdana"/>
          <w:sz w:val="18"/>
          <w:szCs w:val="18"/>
        </w:rPr>
      </w:pPr>
      <w:r>
        <w:rPr>
          <w:noProof/>
        </w:rPr>
        <w:pict>
          <v:shape id="_x0000_i1037" type="#_x0000_t75" style="width:150.9pt;height:218.7pt">
            <v:imagedata r:id="rId30" o:title=""/>
          </v:shape>
        </w:pict>
      </w:r>
    </w:p>
    <w:p w:rsidR="00CA374E" w:rsidRDefault="00CA374E" w:rsidP="00CA374E">
      <w:pPr>
        <w:spacing w:before="120" w:after="120"/>
        <w:jc w:val="both"/>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OGÓŁEM M.ST. WARSZAWY NA LATA </w:t>
      </w:r>
      <w:r>
        <w:rPr>
          <w:rFonts w:ascii="Verdana" w:hAnsi="Verdana" w:cs="Arial"/>
          <w:b/>
          <w:bCs/>
          <w:sz w:val="14"/>
          <w:szCs w:val="14"/>
        </w:rPr>
        <w:t>2029-2050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Default="00AF0B51" w:rsidP="00CA374E">
      <w:pPr>
        <w:spacing w:before="120" w:after="120"/>
        <w:jc w:val="both"/>
        <w:rPr>
          <w:rFonts w:ascii="Verdana" w:hAnsi="Verdana"/>
          <w:sz w:val="16"/>
          <w:szCs w:val="16"/>
        </w:rPr>
      </w:pPr>
      <w:r>
        <w:rPr>
          <w:rFonts w:ascii="Verdana" w:hAnsi="Verdana" w:cs="Arial"/>
          <w:bCs/>
          <w:sz w:val="14"/>
          <w:szCs w:val="14"/>
        </w:rPr>
        <w:pict>
          <v:shape id="_x0000_i1038" type="#_x0000_t75" style="width:468.6pt;height:218.7pt">
            <v:imagedata r:id="rId31" o:title=""/>
          </v:shape>
        </w:pict>
      </w:r>
    </w:p>
    <w:p w:rsidR="00CA374E" w:rsidRDefault="00CA374E" w:rsidP="00CA374E">
      <w:pPr>
        <w:spacing w:before="120" w:after="120"/>
        <w:ind w:firstLine="567"/>
        <w:jc w:val="both"/>
        <w:rPr>
          <w:rFonts w:ascii="Verdana" w:hAnsi="Verdana"/>
          <w:sz w:val="16"/>
          <w:szCs w:val="16"/>
        </w:rPr>
      </w:pPr>
      <w:r>
        <w:rPr>
          <w:rFonts w:ascii="Verdana" w:hAnsi="Verdana"/>
          <w:sz w:val="16"/>
          <w:szCs w:val="16"/>
        </w:rPr>
        <w:br w:type="page"/>
      </w:r>
    </w:p>
    <w:p w:rsidR="00CA374E" w:rsidRPr="000A6485" w:rsidRDefault="00CA374E" w:rsidP="00CA374E">
      <w:pPr>
        <w:spacing w:before="120" w:after="120"/>
        <w:ind w:firstLine="567"/>
        <w:jc w:val="both"/>
        <w:rPr>
          <w:rFonts w:ascii="Verdana" w:hAnsi="Verdana"/>
          <w:sz w:val="16"/>
          <w:szCs w:val="16"/>
        </w:rPr>
      </w:pPr>
      <w:r w:rsidRPr="000A6485">
        <w:rPr>
          <w:rFonts w:ascii="Verdana" w:hAnsi="Verdana"/>
          <w:sz w:val="16"/>
          <w:szCs w:val="16"/>
        </w:rPr>
        <w:lastRenderedPageBreak/>
        <w:t>Wykres nr 1</w:t>
      </w:r>
      <w:r>
        <w:rPr>
          <w:rFonts w:ascii="Verdana" w:hAnsi="Verdana"/>
          <w:sz w:val="16"/>
          <w:szCs w:val="16"/>
        </w:rPr>
        <w:t>8</w:t>
      </w:r>
      <w:r w:rsidRPr="000A6485">
        <w:rPr>
          <w:rFonts w:ascii="Verdana" w:hAnsi="Verdana"/>
          <w:sz w:val="16"/>
          <w:szCs w:val="16"/>
        </w:rPr>
        <w:t xml:space="preserve"> prezentuje procentową zmianę rok do roku wysokości dochodów ogółem w poszczególnych latach objętych Prognozą.</w:t>
      </w:r>
    </w:p>
    <w:p w:rsidR="00CA374E" w:rsidRPr="00790B03" w:rsidRDefault="00CA374E" w:rsidP="00CA374E">
      <w:pPr>
        <w:spacing w:before="120" w:after="120" w:line="240" w:lineRule="auto"/>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Default="00AF0B51" w:rsidP="00CA374E">
      <w:pPr>
        <w:spacing w:before="120" w:after="120"/>
        <w:jc w:val="both"/>
        <w:rPr>
          <w:rFonts w:ascii="Verdana" w:hAnsi="Verdana"/>
          <w:noProof/>
          <w:sz w:val="18"/>
          <w:szCs w:val="18"/>
        </w:rPr>
      </w:pPr>
      <w:r>
        <w:rPr>
          <w:rFonts w:ascii="Verdana" w:hAnsi="Verdana"/>
          <w:noProof/>
          <w:sz w:val="18"/>
          <w:szCs w:val="18"/>
        </w:rPr>
        <w:pict>
          <v:shape id="_x0000_i1039" type="#_x0000_t75" style="width:409.2pt;height:193.5pt">
            <v:imagedata r:id="rId32" o:title=""/>
          </v:shape>
        </w:pict>
      </w:r>
    </w:p>
    <w:p w:rsidR="00CA374E" w:rsidRDefault="00CA374E" w:rsidP="00CA374E">
      <w:pPr>
        <w:spacing w:before="120" w:after="120"/>
        <w:ind w:firstLine="540"/>
        <w:jc w:val="both"/>
        <w:rPr>
          <w:rFonts w:ascii="Verdana" w:hAnsi="Verdana"/>
          <w:sz w:val="16"/>
          <w:szCs w:val="16"/>
        </w:rPr>
      </w:pPr>
      <w:r w:rsidRPr="000A6485">
        <w:rPr>
          <w:rFonts w:ascii="Verdana" w:hAnsi="Verdana"/>
          <w:sz w:val="16"/>
          <w:szCs w:val="16"/>
        </w:rPr>
        <w:t>Dalsza część opracowania zawiera uszczegółowienie zbiorczej prognozy dochodów poprzez omówienie pozycji dochodowych wyszczególnionych we wzorze WPF określonym rozporządzeniem Ministra Finansów.</w:t>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t>7.2.3.1 Prognoza dochodów z podatku dochodowego od osób fizycznych PIT</w:t>
      </w:r>
    </w:p>
    <w:p w:rsidR="00CA374E" w:rsidRPr="000A6485" w:rsidRDefault="00CA374E" w:rsidP="00CA374E">
      <w:pPr>
        <w:tabs>
          <w:tab w:val="left" w:pos="0"/>
        </w:tabs>
        <w:spacing w:before="120" w:after="120"/>
        <w:ind w:firstLine="567"/>
        <w:jc w:val="both"/>
        <w:rPr>
          <w:rFonts w:ascii="Verdana" w:hAnsi="Verdana"/>
          <w:sz w:val="16"/>
          <w:szCs w:val="16"/>
        </w:rPr>
      </w:pPr>
      <w:r w:rsidRPr="000A6485">
        <w:rPr>
          <w:rFonts w:ascii="Verdana" w:hAnsi="Verdana"/>
          <w:sz w:val="16"/>
          <w:szCs w:val="16"/>
        </w:rPr>
        <w:t>Wykres nr 1</w:t>
      </w:r>
      <w:r>
        <w:rPr>
          <w:rFonts w:ascii="Verdana" w:hAnsi="Verdana"/>
          <w:sz w:val="16"/>
          <w:szCs w:val="16"/>
        </w:rPr>
        <w:t>9</w:t>
      </w:r>
      <w:r w:rsidRPr="000A6485">
        <w:rPr>
          <w:rFonts w:ascii="Verdana" w:hAnsi="Verdana"/>
          <w:sz w:val="16"/>
          <w:szCs w:val="16"/>
        </w:rPr>
        <w:t xml:space="preserve"> prezentuje prognozowane dochody z udziału w PIT w poszczególnych latach objętych Prognozą.</w: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19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PIT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AF0B51" w:rsidP="00CA374E">
      <w:pPr>
        <w:spacing w:before="120" w:after="120"/>
        <w:jc w:val="both"/>
      </w:pPr>
      <w:r>
        <w:rPr>
          <w:noProof/>
        </w:rPr>
        <w:pict>
          <v:shape id="_x0000_i1040" type="#_x0000_t75" style="width:438.6pt;height:207.9pt">
            <v:imagedata r:id="rId33" o:title=""/>
          </v:shape>
        </w:pict>
      </w:r>
    </w:p>
    <w:p w:rsidR="00CA374E" w:rsidRDefault="00CA374E" w:rsidP="00CA374E">
      <w:pPr>
        <w:spacing w:before="120" w:after="120"/>
        <w:ind w:firstLine="539"/>
        <w:jc w:val="both"/>
        <w:rPr>
          <w:rFonts w:ascii="Verdana" w:hAnsi="Verdana"/>
          <w:sz w:val="16"/>
          <w:szCs w:val="16"/>
        </w:rPr>
      </w:pPr>
      <w:r>
        <w:rPr>
          <w:rFonts w:ascii="Verdana" w:hAnsi="Verdana" w:cs="Arial"/>
          <w:iCs/>
          <w:noProof/>
          <w:sz w:val="16"/>
          <w:szCs w:val="16"/>
        </w:rPr>
        <mc:AlternateContent>
          <mc:Choice Requires="wps">
            <w:drawing>
              <wp:anchor distT="0" distB="0" distL="114300" distR="114300" simplePos="0" relativeHeight="251720704" behindDoc="0" locked="0" layoutInCell="1" allowOverlap="1" wp14:anchorId="6819746C" wp14:editId="339443C7">
                <wp:simplePos x="0" y="0"/>
                <wp:positionH relativeFrom="margin">
                  <wp:align>left</wp:align>
                </wp:positionH>
                <wp:positionV relativeFrom="paragraph">
                  <wp:posOffset>6350</wp:posOffset>
                </wp:positionV>
                <wp:extent cx="5764377" cy="490118"/>
                <wp:effectExtent l="0" t="0" r="0" b="5715"/>
                <wp:wrapNone/>
                <wp:docPr id="11" name="Pole tekstowe 11"/>
                <wp:cNvGraphicFramePr/>
                <a:graphic xmlns:a="http://schemas.openxmlformats.org/drawingml/2006/main">
                  <a:graphicData uri="http://schemas.microsoft.com/office/word/2010/wordprocessingShape">
                    <wps:wsp>
                      <wps:cNvSpPr txBox="1"/>
                      <wps:spPr>
                        <a:xfrm>
                          <a:off x="0" y="0"/>
                          <a:ext cx="5764377" cy="490118"/>
                        </a:xfrm>
                        <a:prstGeom prst="rect">
                          <a:avLst/>
                        </a:prstGeom>
                        <a:noFill/>
                        <a:ln w="6350">
                          <a:noFill/>
                        </a:ln>
                      </wps:spPr>
                      <wps:txbx>
                        <w:txbxContent>
                          <w:p w:rsidR="00067F5A" w:rsidRDefault="00067F5A" w:rsidP="00CA374E">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Pr>
                                <w:rFonts w:ascii="Verdana" w:hAnsi="Verdana" w:cs="Verdana"/>
                                <w:sz w:val="12"/>
                                <w:szCs w:val="12"/>
                                <w:lang w:eastAsia="ko-KR"/>
                              </w:rPr>
                              <w:t>Dochody z udziału w PIT w 2022 r. ujmują</w:t>
                            </w:r>
                            <w:r w:rsidRPr="00854670">
                              <w:rPr>
                                <w:rFonts w:ascii="Verdana" w:hAnsi="Verdana" w:cs="Verdana"/>
                                <w:sz w:val="12"/>
                                <w:szCs w:val="12"/>
                                <w:lang w:eastAsia="ko-KR"/>
                              </w:rPr>
                              <w:t xml:space="preserv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746C" id="Pole tekstowe 11" o:spid="_x0000_s1029" type="#_x0000_t202" style="position:absolute;left:0;text-align:left;margin-left:0;margin-top:.5pt;width:453.9pt;height:38.6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" filled="f" stroked="f" strokeweight=".5pt">
                <v:textbox>
                  <w:txbxContent>
                    <w:p w:rsidR="00067F5A" w:rsidRDefault="00067F5A" w:rsidP="00CA374E">
                      <w:pPr>
                        <w:spacing w:line="240" w:lineRule="auto"/>
                      </w:pPr>
                      <w:r w:rsidRPr="00095FA7">
                        <w:rPr>
                          <w:rFonts w:ascii="Verdana" w:hAnsi="Verdana" w:cs="Verdana"/>
                          <w:sz w:val="14"/>
                          <w:szCs w:val="14"/>
                          <w:lang w:eastAsia="ko-KR"/>
                        </w:rPr>
                        <w:t>*</w:t>
                      </w:r>
                      <w:r w:rsidRPr="00095FA7">
                        <w:rPr>
                          <w:rFonts w:ascii="Verdana" w:hAnsi="Verdana" w:cs="Verdana"/>
                          <w:sz w:val="16"/>
                          <w:szCs w:val="16"/>
                          <w:lang w:eastAsia="ko-KR"/>
                        </w:rPr>
                        <w:t xml:space="preserve"> </w:t>
                      </w:r>
                      <w:r>
                        <w:rPr>
                          <w:rFonts w:ascii="Verdana" w:hAnsi="Verdana" w:cs="Verdana"/>
                          <w:sz w:val="12"/>
                          <w:szCs w:val="12"/>
                          <w:lang w:eastAsia="ko-KR"/>
                        </w:rPr>
                        <w:t>Dochody z udziału w PIT w 2022 r. ujmują</w:t>
                      </w:r>
                      <w:r w:rsidRPr="00854670">
                        <w:rPr>
                          <w:rFonts w:ascii="Verdana" w:hAnsi="Verdana" w:cs="Verdana"/>
                          <w:sz w:val="12"/>
                          <w:szCs w:val="12"/>
                          <w:lang w:eastAsia="ko-KR"/>
                        </w:rPr>
                        <w:t xml:space="preserve"> kwotę 851.903.975,39 zł, stanowiącą przesunięcie z 2023 r. na 2022 r. przekazania subwencji rozwojowej należnej w 2023 r. z jednoczesną zmianą kwalifikacji źródła dochodów z subwencji rozwojowej na udział w PIT i brakiem przekazania subwencji rozwojowej w 2023 r., zgodnie z ustawą z 15.09.2022 r. o zmianie ustawy o dochodach jednostek samorządu terytorialnego oraz niektórych innych ustaw (Dz. U. poz. 1964).</w:t>
                      </w:r>
                    </w:p>
                  </w:txbxContent>
                </v:textbox>
                <w10:wrap anchorx="margin"/>
              </v:shape>
            </w:pict>
          </mc:Fallback>
        </mc:AlternateContent>
      </w:r>
    </w:p>
    <w:p w:rsidR="00CA374E" w:rsidRDefault="00CA374E" w:rsidP="00CA374E">
      <w:pPr>
        <w:spacing w:before="120" w:after="120"/>
        <w:ind w:firstLine="539"/>
        <w:jc w:val="both"/>
        <w:rPr>
          <w:rFonts w:ascii="Verdana" w:hAnsi="Verdana"/>
          <w:sz w:val="16"/>
          <w:szCs w:val="16"/>
        </w:rPr>
      </w:pPr>
    </w:p>
    <w:p w:rsidR="00CA374E" w:rsidRDefault="00CA374E" w:rsidP="00CA374E">
      <w:pPr>
        <w:spacing w:before="240" w:after="120"/>
        <w:ind w:firstLine="539"/>
        <w:jc w:val="both"/>
        <w:rPr>
          <w:rFonts w:ascii="Verdana" w:hAnsi="Verdana"/>
          <w:sz w:val="16"/>
          <w:szCs w:val="16"/>
        </w:rPr>
      </w:pPr>
      <w:r w:rsidRPr="000A6485">
        <w:rPr>
          <w:rFonts w:ascii="Verdana" w:hAnsi="Verdana"/>
          <w:sz w:val="16"/>
          <w:szCs w:val="16"/>
        </w:rPr>
        <w:t>Prognozuje się, że wpływy m.st. Warszawy z PIT w okresie pierwszych pięciu lat prognozy tj. od 202</w:t>
      </w:r>
      <w:r>
        <w:rPr>
          <w:rFonts w:ascii="Verdana" w:hAnsi="Verdana"/>
          <w:sz w:val="16"/>
          <w:szCs w:val="16"/>
        </w:rPr>
        <w:t>4</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50,2</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38,7</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r>
        <w:rPr>
          <w:rFonts w:ascii="Verdana" w:hAnsi="Verdana"/>
          <w:sz w:val="16"/>
          <w:szCs w:val="16"/>
        </w:rPr>
        <w:br w:type="page"/>
      </w:r>
    </w:p>
    <w:p w:rsidR="00CA374E" w:rsidRDefault="00CA374E" w:rsidP="00CA374E">
      <w:pPr>
        <w:spacing w:before="120" w:after="120"/>
        <w:ind w:firstLine="567"/>
        <w:jc w:val="both"/>
        <w:rPr>
          <w:rFonts w:ascii="Verdana" w:hAnsi="Verdana" w:cs="Arial"/>
          <w:b/>
          <w:bCs/>
          <w:sz w:val="14"/>
          <w:szCs w:val="14"/>
        </w:rPr>
      </w:pPr>
      <w:r w:rsidRPr="000A6485">
        <w:rPr>
          <w:rFonts w:ascii="Verdana" w:hAnsi="Verdana"/>
          <w:sz w:val="16"/>
          <w:szCs w:val="16"/>
        </w:rPr>
        <w:lastRenderedPageBreak/>
        <w:t xml:space="preserve">Wykres nr </w:t>
      </w:r>
      <w:r>
        <w:rPr>
          <w:rFonts w:ascii="Verdana" w:hAnsi="Verdana"/>
          <w:sz w:val="16"/>
          <w:szCs w:val="16"/>
        </w:rPr>
        <w:t>20</w:t>
      </w:r>
      <w:r w:rsidRPr="000A6485">
        <w:rPr>
          <w:rFonts w:ascii="Verdana" w:hAnsi="Verdana"/>
          <w:sz w:val="16"/>
          <w:szCs w:val="16"/>
        </w:rPr>
        <w:t xml:space="preserve"> prezentuje procentową zmianę rok do roku wysokości dochodów z udziału w PIT </w:t>
      </w:r>
      <w:r w:rsidRPr="000A6485">
        <w:rPr>
          <w:rFonts w:ascii="Verdana" w:hAnsi="Verdana"/>
          <w:sz w:val="16"/>
          <w:szCs w:val="16"/>
        </w:rPr>
        <w:br/>
        <w:t>w poszczególnych latach objętych Prognozą.</w:t>
      </w:r>
    </w:p>
    <w:p w:rsidR="00CA374E" w:rsidRPr="000A6485" w:rsidRDefault="00CA374E" w:rsidP="00CA374E">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20</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Default="00AF0B51" w:rsidP="00CA374E">
      <w:pPr>
        <w:spacing w:before="120" w:after="120"/>
        <w:jc w:val="both"/>
        <w:rPr>
          <w:rFonts w:ascii="Verdana" w:hAnsi="Verdana"/>
          <w:noProof/>
          <w:sz w:val="18"/>
          <w:szCs w:val="18"/>
        </w:rPr>
      </w:pPr>
      <w:r>
        <w:rPr>
          <w:rFonts w:ascii="Verdana" w:hAnsi="Verdana"/>
          <w:noProof/>
          <w:sz w:val="18"/>
          <w:szCs w:val="18"/>
        </w:rPr>
        <w:pict>
          <v:shape id="_x0000_i1041" type="#_x0000_t75" style="width:451.2pt;height:214.8pt">
            <v:imagedata r:id="rId34" o:title=""/>
          </v:shape>
        </w:pic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 xml:space="preserve">Wieloletnia Prognoza Finansowa na lata 2024-2050 w zakresie wpływów z </w:t>
      </w:r>
      <w:r w:rsidRPr="00EC2B78">
        <w:rPr>
          <w:rFonts w:ascii="Verdana" w:hAnsi="Verdana" w:cs="Verdana"/>
          <w:sz w:val="16"/>
          <w:szCs w:val="16"/>
          <w:lang w:eastAsia="ko-KR"/>
        </w:rPr>
        <w:t>podatku dochodowego od osób fizycznych PIT</w:t>
      </w:r>
      <w:r>
        <w:rPr>
          <w:rFonts w:ascii="Verdana" w:hAnsi="Verdana" w:cs="Verdana"/>
          <w:sz w:val="16"/>
          <w:szCs w:val="16"/>
          <w:lang w:eastAsia="ko-KR"/>
        </w:rPr>
        <w:t xml:space="preserve"> została przygotowana wg zasad ustalania dochodów z PIT określonych w ustawie</w:t>
      </w:r>
      <w:r w:rsidRPr="005B7485">
        <w:rPr>
          <w:rFonts w:ascii="Verdana" w:hAnsi="Verdana" w:cs="Verdana"/>
          <w:sz w:val="16"/>
          <w:szCs w:val="16"/>
          <w:lang w:eastAsia="ko-KR"/>
        </w:rPr>
        <w:t xml:space="preserve"> o dochodach jednostek samorządu terytorialnego</w:t>
      </w:r>
      <w:r>
        <w:rPr>
          <w:rFonts w:ascii="Verdana" w:hAnsi="Verdana" w:cs="Verdana"/>
          <w:sz w:val="16"/>
          <w:szCs w:val="16"/>
          <w:lang w:eastAsia="ko-KR"/>
        </w:rPr>
        <w:t>.</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Ustalanie prognozy dochodów z PIT Miasta na rok budżetowy leży w kompetencjach Ministra Finansów. Ustalona przez MF roczna kwota dochodów będzie przekazywana do budżetu miasta w roku budżetowym w równych 12 miesięcznych ratach.</w:t>
      </w:r>
    </w:p>
    <w:p w:rsidR="00CA374E" w:rsidRDefault="00CA374E" w:rsidP="00CA374E">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4 r. dochody z P</w:t>
      </w:r>
      <w:r w:rsidRPr="000A6485">
        <w:rPr>
          <w:rFonts w:ascii="Verdana" w:hAnsi="Verdana"/>
          <w:sz w:val="16"/>
          <w:szCs w:val="16"/>
        </w:rPr>
        <w:t>IT</w:t>
      </w:r>
      <w:r>
        <w:rPr>
          <w:rFonts w:ascii="Verdana" w:hAnsi="Verdana"/>
          <w:sz w:val="16"/>
          <w:szCs w:val="16"/>
        </w:rPr>
        <w:t xml:space="preserve"> odnotują silny wzrost i wyniosą</w:t>
      </w:r>
      <w:r w:rsidRPr="000A6485">
        <w:rPr>
          <w:rFonts w:ascii="Verdana" w:hAnsi="Verdana"/>
          <w:sz w:val="16"/>
          <w:szCs w:val="16"/>
        </w:rPr>
        <w:t xml:space="preserve"> </w:t>
      </w:r>
      <w:r>
        <w:rPr>
          <w:rFonts w:ascii="Verdana" w:hAnsi="Verdana"/>
          <w:b/>
          <w:sz w:val="16"/>
          <w:szCs w:val="16"/>
        </w:rPr>
        <w:t>8,574 mld</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Ustalona przez Ministra Finansów na rok budżetowy 2024 prognoza dochodów m.st. Warszawy z PIT uwzględnia dwie składowe:</w:t>
      </w:r>
    </w:p>
    <w:p w:rsidR="00CA374E" w:rsidRDefault="00CA374E" w:rsidP="00CA374E">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k</w:t>
      </w:r>
      <w:r w:rsidRPr="000E72C7">
        <w:rPr>
          <w:rFonts w:ascii="Verdana" w:hAnsi="Verdana" w:cs="Verdana"/>
          <w:sz w:val="16"/>
          <w:szCs w:val="16"/>
          <w:lang w:eastAsia="ko-KR"/>
        </w:rPr>
        <w:t>wot</w:t>
      </w:r>
      <w:r>
        <w:rPr>
          <w:rFonts w:ascii="Verdana" w:hAnsi="Verdana" w:cs="Verdana"/>
          <w:sz w:val="16"/>
          <w:szCs w:val="16"/>
          <w:lang w:eastAsia="ko-KR"/>
        </w:rPr>
        <w:t>ę rocznych</w:t>
      </w:r>
      <w:r w:rsidRPr="000E72C7">
        <w:rPr>
          <w:rFonts w:ascii="Verdana" w:hAnsi="Verdana" w:cs="Verdana"/>
          <w:sz w:val="16"/>
          <w:szCs w:val="16"/>
          <w:lang w:eastAsia="ko-KR"/>
        </w:rPr>
        <w:t xml:space="preserve"> dochodów</w:t>
      </w:r>
      <w:r>
        <w:rPr>
          <w:rFonts w:ascii="Verdana" w:hAnsi="Verdana" w:cs="Verdana"/>
          <w:sz w:val="16"/>
          <w:szCs w:val="16"/>
          <w:lang w:eastAsia="ko-KR"/>
        </w:rPr>
        <w:t xml:space="preserve"> Miasta</w:t>
      </w:r>
      <w:r w:rsidRPr="000E72C7">
        <w:rPr>
          <w:rFonts w:ascii="Verdana" w:hAnsi="Verdana" w:cs="Verdana"/>
          <w:sz w:val="16"/>
          <w:szCs w:val="16"/>
          <w:lang w:eastAsia="ko-KR"/>
        </w:rPr>
        <w:t xml:space="preserve"> z tytułu udziału we wpływach z PIT na 2024 r.</w:t>
      </w:r>
      <w:r>
        <w:rPr>
          <w:rFonts w:ascii="Verdana" w:hAnsi="Verdana" w:cs="Verdana"/>
          <w:sz w:val="16"/>
          <w:szCs w:val="16"/>
          <w:lang w:eastAsia="ko-KR"/>
        </w:rPr>
        <w:t xml:space="preserve"> </w:t>
      </w:r>
      <w:r w:rsidRPr="007209B1">
        <w:rPr>
          <w:rFonts w:ascii="Verdana" w:hAnsi="Verdana" w:cs="Verdana"/>
          <w:b/>
          <w:sz w:val="16"/>
          <w:szCs w:val="16"/>
          <w:lang w:eastAsia="ko-KR"/>
        </w:rPr>
        <w:t>– 8,</w:t>
      </w:r>
      <w:r>
        <w:rPr>
          <w:rFonts w:ascii="Verdana" w:hAnsi="Verdana" w:cs="Verdana"/>
          <w:b/>
          <w:sz w:val="16"/>
          <w:szCs w:val="16"/>
          <w:lang w:eastAsia="ko-KR"/>
        </w:rPr>
        <w:t>398</w:t>
      </w:r>
      <w:r w:rsidRPr="007209B1">
        <w:rPr>
          <w:rFonts w:ascii="Verdana" w:hAnsi="Verdana" w:cs="Verdana"/>
          <w:b/>
          <w:sz w:val="16"/>
          <w:szCs w:val="16"/>
          <w:lang w:eastAsia="ko-KR"/>
        </w:rPr>
        <w:t xml:space="preserve"> mld zł</w:t>
      </w:r>
    </w:p>
    <w:p w:rsidR="00CA374E" w:rsidRDefault="00CA374E" w:rsidP="00CA374E">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 xml:space="preserve">kwotę </w:t>
      </w:r>
      <w:r w:rsidRPr="000E72C7">
        <w:rPr>
          <w:rFonts w:ascii="Verdana" w:hAnsi="Verdana" w:cs="Verdana"/>
          <w:sz w:val="16"/>
          <w:szCs w:val="16"/>
          <w:lang w:eastAsia="ko-KR"/>
        </w:rPr>
        <w:t xml:space="preserve">zwiększenia dochodów </w:t>
      </w:r>
      <w:r>
        <w:rPr>
          <w:rFonts w:ascii="Verdana" w:hAnsi="Verdana" w:cs="Verdana"/>
          <w:sz w:val="16"/>
          <w:szCs w:val="16"/>
          <w:lang w:eastAsia="ko-KR"/>
        </w:rPr>
        <w:t>Miasta</w:t>
      </w:r>
      <w:r w:rsidRPr="000E72C7">
        <w:rPr>
          <w:rFonts w:ascii="Verdana" w:hAnsi="Verdana" w:cs="Verdana"/>
          <w:sz w:val="16"/>
          <w:szCs w:val="16"/>
          <w:lang w:eastAsia="ko-KR"/>
        </w:rPr>
        <w:t xml:space="preserve"> z tytułu udziału we wpływach z PIT za 2022</w:t>
      </w:r>
      <w:r>
        <w:rPr>
          <w:rFonts w:ascii="Verdana" w:hAnsi="Verdana" w:cs="Verdana"/>
          <w:sz w:val="16"/>
          <w:szCs w:val="16"/>
          <w:lang w:eastAsia="ko-KR"/>
        </w:rPr>
        <w:t xml:space="preserve"> r. – </w:t>
      </w:r>
      <w:r w:rsidRPr="007209B1">
        <w:rPr>
          <w:rFonts w:ascii="Verdana" w:hAnsi="Verdana" w:cs="Verdana"/>
          <w:b/>
          <w:sz w:val="16"/>
          <w:szCs w:val="16"/>
          <w:lang w:eastAsia="ko-KR"/>
        </w:rPr>
        <w:t>175 mln zł</w:t>
      </w:r>
      <w:r>
        <w:rPr>
          <w:rFonts w:ascii="Verdana" w:hAnsi="Verdana" w:cs="Verdana"/>
          <w:sz w:val="16"/>
          <w:szCs w:val="16"/>
          <w:lang w:eastAsia="ko-KR"/>
        </w:rPr>
        <w:t>.</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PIT Miasta na kolejne lata, w perspektywie określonej w WPF sporządzają samodzielnie JST.</w:t>
      </w:r>
    </w:p>
    <w:p w:rsidR="00CA374E" w:rsidRDefault="00CA374E" w:rsidP="00CA374E">
      <w:pPr>
        <w:spacing w:before="60" w:after="60"/>
        <w:jc w:val="both"/>
        <w:rPr>
          <w:rFonts w:ascii="Verdana" w:hAnsi="Verdana" w:cs="Verdana"/>
          <w:sz w:val="16"/>
          <w:szCs w:val="16"/>
          <w:lang w:eastAsia="ko-KR"/>
        </w:rPr>
      </w:pPr>
    </w:p>
    <w:p w:rsidR="00CA374E" w:rsidRDefault="00CA374E" w:rsidP="00CA374E">
      <w:pPr>
        <w:spacing w:before="60" w:after="60"/>
        <w:jc w:val="both"/>
        <w:rPr>
          <w:rFonts w:ascii="Verdana" w:hAnsi="Verdana" w:cs="Verdana"/>
          <w:sz w:val="16"/>
          <w:szCs w:val="16"/>
        </w:rPr>
      </w:pPr>
      <w:r>
        <w:rPr>
          <w:rFonts w:ascii="Verdana" w:hAnsi="Verdana" w:cs="Verdana"/>
          <w:sz w:val="16"/>
          <w:szCs w:val="16"/>
        </w:rPr>
        <w:t>W 2022 r. w ramach Programu Polski Ład i jego Modyfikacji wprowadzono</w:t>
      </w:r>
      <w:r w:rsidRPr="007209B1">
        <w:rPr>
          <w:rFonts w:ascii="Verdana" w:hAnsi="Verdana" w:cs="Verdana"/>
          <w:sz w:val="16"/>
          <w:szCs w:val="16"/>
        </w:rPr>
        <w:t xml:space="preserve"> zmiany w podatku dochodowym od osób fizycznych</w:t>
      </w:r>
      <w:r>
        <w:rPr>
          <w:rFonts w:ascii="Verdana" w:hAnsi="Verdana" w:cs="Verdana"/>
          <w:sz w:val="16"/>
          <w:szCs w:val="16"/>
        </w:rPr>
        <w:t>, które</w:t>
      </w:r>
      <w:r w:rsidRPr="007209B1">
        <w:rPr>
          <w:rFonts w:ascii="Verdana" w:hAnsi="Verdana" w:cs="Verdana"/>
          <w:sz w:val="16"/>
          <w:szCs w:val="16"/>
        </w:rPr>
        <w:t xml:space="preserve"> </w:t>
      </w:r>
      <w:r>
        <w:rPr>
          <w:rFonts w:ascii="Verdana" w:hAnsi="Verdana" w:cs="Verdana"/>
          <w:sz w:val="16"/>
          <w:szCs w:val="16"/>
        </w:rPr>
        <w:t xml:space="preserve">spowodowały </w:t>
      </w:r>
      <w:r w:rsidRPr="00713165">
        <w:rPr>
          <w:rFonts w:ascii="Verdana" w:hAnsi="Verdana" w:cs="Verdana"/>
          <w:sz w:val="16"/>
          <w:szCs w:val="16"/>
        </w:rPr>
        <w:t>ograniczenie</w:t>
      </w:r>
      <w:r>
        <w:rPr>
          <w:rFonts w:ascii="Verdana" w:hAnsi="Verdana" w:cs="Verdana"/>
          <w:sz w:val="16"/>
          <w:szCs w:val="16"/>
        </w:rPr>
        <w:t xml:space="preserve"> wpływów z </w:t>
      </w:r>
      <w:r w:rsidRPr="00713165">
        <w:rPr>
          <w:rFonts w:ascii="Verdana" w:hAnsi="Verdana" w:cs="Verdana"/>
          <w:sz w:val="16"/>
          <w:szCs w:val="16"/>
        </w:rPr>
        <w:t>PIT do budżetów jednostek samorządu terytorialnego</w:t>
      </w:r>
      <w:r>
        <w:rPr>
          <w:rFonts w:ascii="Verdana" w:hAnsi="Verdana" w:cs="Verdana"/>
          <w:sz w:val="16"/>
          <w:szCs w:val="16"/>
        </w:rPr>
        <w:t xml:space="preserve">. Zostały one ustanowione </w:t>
      </w:r>
      <w:r w:rsidRPr="00713165">
        <w:rPr>
          <w:rFonts w:ascii="Verdana" w:hAnsi="Verdana" w:cs="Verdana"/>
          <w:sz w:val="16"/>
          <w:szCs w:val="16"/>
        </w:rPr>
        <w:t>bez odpowiedniej rekompensaty umożlwiającej realizację zadań na dotychczasowym poziomie</w:t>
      </w:r>
      <w:r>
        <w:rPr>
          <w:rFonts w:ascii="Verdana" w:hAnsi="Verdana" w:cs="Verdana"/>
          <w:sz w:val="16"/>
          <w:szCs w:val="16"/>
        </w:rPr>
        <w:t xml:space="preserve">. </w:t>
      </w:r>
    </w:p>
    <w:p w:rsidR="00CA374E" w:rsidRPr="007A7D75" w:rsidRDefault="00CA374E" w:rsidP="00CA374E">
      <w:pPr>
        <w:spacing w:before="60" w:after="60"/>
        <w:jc w:val="both"/>
        <w:rPr>
          <w:rFonts w:ascii="Verdana" w:hAnsi="Verdana" w:cs="Verdana"/>
          <w:sz w:val="16"/>
          <w:szCs w:val="16"/>
          <w:lang w:eastAsia="ko-KR"/>
        </w:rPr>
      </w:pPr>
      <w:r w:rsidRPr="007A7D75">
        <w:rPr>
          <w:rFonts w:ascii="Verdana" w:hAnsi="Verdana" w:cs="Verdana"/>
          <w:sz w:val="16"/>
          <w:szCs w:val="16"/>
        </w:rPr>
        <w:t>W wyniku tych zmian k</w:t>
      </w:r>
      <w:r w:rsidRPr="007A7D75">
        <w:rPr>
          <w:rFonts w:ascii="Verdana" w:hAnsi="Verdana" w:cs="Verdana"/>
          <w:sz w:val="16"/>
          <w:szCs w:val="16"/>
          <w:lang w:eastAsia="ko-KR"/>
        </w:rPr>
        <w:t>wota rocznych dochodów Miasta z tytułu udziału we wpływach z PIT na 2024 r. jest niższa o:</w:t>
      </w:r>
    </w:p>
    <w:p w:rsidR="00CA374E" w:rsidRPr="007A7D75" w:rsidRDefault="00CA374E" w:rsidP="00CA374E">
      <w:pPr>
        <w:pStyle w:val="Akapitzlist"/>
        <w:numPr>
          <w:ilvl w:val="0"/>
          <w:numId w:val="66"/>
        </w:numPr>
        <w:tabs>
          <w:tab w:val="left" w:pos="709"/>
        </w:tabs>
        <w:spacing w:before="60" w:after="60"/>
        <w:ind w:left="1843" w:hanging="1417"/>
        <w:jc w:val="both"/>
        <w:rPr>
          <w:rFonts w:ascii="Verdana" w:hAnsi="Verdana" w:cs="Verdana"/>
          <w:sz w:val="16"/>
          <w:szCs w:val="16"/>
          <w:lang w:eastAsia="ko-KR"/>
        </w:rPr>
      </w:pPr>
      <w:r w:rsidRPr="007A7D75">
        <w:rPr>
          <w:rFonts w:ascii="Verdana" w:hAnsi="Verdana" w:cs="Verdana"/>
          <w:b/>
          <w:sz w:val="16"/>
          <w:szCs w:val="16"/>
          <w:lang w:eastAsia="ko-KR"/>
        </w:rPr>
        <w:t>1,3 mld zł</w:t>
      </w:r>
      <w:r w:rsidRPr="007A7D75">
        <w:rPr>
          <w:rFonts w:ascii="Verdana" w:hAnsi="Verdana" w:cs="Verdana"/>
          <w:sz w:val="16"/>
          <w:szCs w:val="16"/>
          <w:lang w:eastAsia="ko-KR"/>
        </w:rPr>
        <w:t xml:space="preserve"> – w wyniku Programu Polski Ład i jego Modyfikacji,</w:t>
      </w:r>
    </w:p>
    <w:p w:rsidR="00CA374E" w:rsidRPr="007A7D75" w:rsidRDefault="00CA374E" w:rsidP="00CA374E">
      <w:pPr>
        <w:pStyle w:val="Akapitzlist"/>
        <w:numPr>
          <w:ilvl w:val="0"/>
          <w:numId w:val="66"/>
        </w:numPr>
        <w:tabs>
          <w:tab w:val="left" w:pos="709"/>
        </w:tabs>
        <w:spacing w:before="60" w:after="60"/>
        <w:ind w:left="1843" w:hanging="1417"/>
        <w:jc w:val="both"/>
        <w:rPr>
          <w:rFonts w:ascii="Verdana" w:hAnsi="Verdana" w:cs="Verdana"/>
          <w:sz w:val="16"/>
          <w:szCs w:val="16"/>
          <w:lang w:eastAsia="ko-KR"/>
        </w:rPr>
      </w:pPr>
      <w:r w:rsidRPr="007A7D75">
        <w:rPr>
          <w:rFonts w:ascii="Verdana" w:hAnsi="Verdana" w:cs="Verdana"/>
          <w:b/>
          <w:sz w:val="16"/>
          <w:szCs w:val="16"/>
          <w:lang w:eastAsia="ko-KR"/>
        </w:rPr>
        <w:t>0,9 mld zł</w:t>
      </w:r>
      <w:r w:rsidRPr="007A7D75">
        <w:rPr>
          <w:rFonts w:ascii="Verdana" w:hAnsi="Verdana" w:cs="Verdana"/>
          <w:sz w:val="16"/>
          <w:szCs w:val="16"/>
          <w:lang w:eastAsia="ko-KR"/>
        </w:rPr>
        <w:t xml:space="preserve"> – w wyniku umożliwienia podatnikom prowadzącym pozarolniczą działalność gospodarczą skorzystania z uproszczonej zry</w:t>
      </w:r>
      <w:r>
        <w:rPr>
          <w:rFonts w:ascii="Verdana" w:hAnsi="Verdana" w:cs="Verdana"/>
          <w:sz w:val="16"/>
          <w:szCs w:val="16"/>
          <w:lang w:eastAsia="ko-KR"/>
        </w:rPr>
        <w:t>czałtowanej formy opodatkowania.</w:t>
      </w:r>
    </w:p>
    <w:p w:rsidR="00CA374E" w:rsidRDefault="00CA374E" w:rsidP="00CA374E">
      <w:pPr>
        <w:spacing w:before="60" w:after="60"/>
        <w:jc w:val="both"/>
        <w:rPr>
          <w:rFonts w:ascii="Verdana" w:hAnsi="Verdana" w:cs="Verdana"/>
          <w:sz w:val="16"/>
          <w:szCs w:val="16"/>
        </w:rPr>
      </w:pPr>
      <w:r>
        <w:rPr>
          <w:rFonts w:ascii="Verdana" w:hAnsi="Verdana" w:cs="Verdana"/>
          <w:sz w:val="16"/>
          <w:szCs w:val="16"/>
        </w:rPr>
        <w:t xml:space="preserve">Na ww. skutki </w:t>
      </w:r>
      <w:r w:rsidRPr="00F56EB6">
        <w:rPr>
          <w:rFonts w:ascii="Verdana" w:hAnsi="Verdana" w:cs="Verdana"/>
          <w:sz w:val="16"/>
          <w:szCs w:val="16"/>
        </w:rPr>
        <w:t>nakładają się</w:t>
      </w:r>
      <w:r>
        <w:rPr>
          <w:rFonts w:ascii="Verdana" w:hAnsi="Verdana" w:cs="Verdana"/>
          <w:sz w:val="16"/>
          <w:szCs w:val="16"/>
        </w:rPr>
        <w:t xml:space="preserve"> pozostałe </w:t>
      </w:r>
      <w:r w:rsidRPr="00F56EB6">
        <w:rPr>
          <w:rFonts w:ascii="Verdana" w:hAnsi="Verdana" w:cs="Verdana"/>
          <w:sz w:val="16"/>
          <w:szCs w:val="16"/>
        </w:rPr>
        <w:t>zmian</w:t>
      </w:r>
      <w:r>
        <w:rPr>
          <w:rFonts w:ascii="Verdana" w:hAnsi="Verdana" w:cs="Verdana"/>
          <w:sz w:val="16"/>
          <w:szCs w:val="16"/>
        </w:rPr>
        <w:t>y</w:t>
      </w:r>
      <w:r w:rsidRPr="00F56EB6">
        <w:rPr>
          <w:rFonts w:ascii="Verdana" w:hAnsi="Verdana" w:cs="Verdana"/>
          <w:sz w:val="16"/>
          <w:szCs w:val="16"/>
        </w:rPr>
        <w:t xml:space="preserve"> w PIT wprowadzon</w:t>
      </w:r>
      <w:r>
        <w:rPr>
          <w:rFonts w:ascii="Verdana" w:hAnsi="Verdana" w:cs="Verdana"/>
          <w:sz w:val="16"/>
          <w:szCs w:val="16"/>
        </w:rPr>
        <w:t>e</w:t>
      </w:r>
      <w:r w:rsidRPr="00F56EB6">
        <w:rPr>
          <w:rFonts w:ascii="Verdana" w:hAnsi="Verdana" w:cs="Verdana"/>
          <w:sz w:val="16"/>
          <w:szCs w:val="16"/>
        </w:rPr>
        <w:t xml:space="preserve"> </w:t>
      </w:r>
      <w:r>
        <w:rPr>
          <w:rFonts w:ascii="Verdana" w:hAnsi="Verdana" w:cs="Verdana"/>
          <w:sz w:val="16"/>
          <w:szCs w:val="16"/>
        </w:rPr>
        <w:t>od</w:t>
      </w:r>
      <w:r w:rsidRPr="00F56EB6">
        <w:rPr>
          <w:rFonts w:ascii="Verdana" w:hAnsi="Verdana" w:cs="Verdana"/>
          <w:sz w:val="16"/>
          <w:szCs w:val="16"/>
        </w:rPr>
        <w:t xml:space="preserve"> 2019 roku, które trwale obniż</w:t>
      </w:r>
      <w:r>
        <w:rPr>
          <w:rFonts w:ascii="Verdana" w:hAnsi="Verdana" w:cs="Verdana"/>
          <w:sz w:val="16"/>
          <w:szCs w:val="16"/>
        </w:rPr>
        <w:t>yły</w:t>
      </w:r>
      <w:r w:rsidRPr="00F56EB6">
        <w:rPr>
          <w:rFonts w:ascii="Verdana" w:hAnsi="Verdana" w:cs="Verdana"/>
          <w:sz w:val="16"/>
          <w:szCs w:val="16"/>
        </w:rPr>
        <w:t xml:space="preserve"> dochody samorządów</w:t>
      </w:r>
      <w:r>
        <w:rPr>
          <w:rFonts w:ascii="Verdana" w:hAnsi="Verdana" w:cs="Verdana"/>
          <w:sz w:val="16"/>
          <w:szCs w:val="16"/>
        </w:rPr>
        <w:t xml:space="preserve"> w latach 2020-2023:</w:t>
      </w:r>
    </w:p>
    <w:p w:rsidR="00CA374E" w:rsidRDefault="00CA374E" w:rsidP="00CA374E">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t>zwolnieni</w:t>
      </w:r>
      <w:r>
        <w:rPr>
          <w:rFonts w:ascii="Verdana" w:hAnsi="Verdana" w:cs="Verdana"/>
          <w:sz w:val="16"/>
          <w:szCs w:val="16"/>
        </w:rPr>
        <w:t>a</w:t>
      </w:r>
      <w:r w:rsidRPr="00B32F9D">
        <w:rPr>
          <w:rFonts w:ascii="Verdana" w:hAnsi="Verdana" w:cs="Verdana"/>
          <w:sz w:val="16"/>
          <w:szCs w:val="16"/>
        </w:rPr>
        <w:t xml:space="preserve"> z podatku PIT osób w wieku poniżej 26 roku życia</w:t>
      </w:r>
      <w:r>
        <w:rPr>
          <w:rFonts w:ascii="Verdana" w:hAnsi="Verdana" w:cs="Verdana"/>
          <w:sz w:val="16"/>
          <w:szCs w:val="16"/>
        </w:rPr>
        <w:t>,</w:t>
      </w:r>
      <w:r w:rsidRPr="00B32F9D">
        <w:rPr>
          <w:rFonts w:ascii="Verdana" w:hAnsi="Verdana" w:cs="Verdana"/>
          <w:sz w:val="16"/>
          <w:szCs w:val="16"/>
        </w:rPr>
        <w:t xml:space="preserve"> </w:t>
      </w:r>
    </w:p>
    <w:p w:rsidR="00CA374E" w:rsidRDefault="00CA374E" w:rsidP="00CA374E">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lastRenderedPageBreak/>
        <w:t>obniżeni</w:t>
      </w:r>
      <w:r>
        <w:rPr>
          <w:rFonts w:ascii="Verdana" w:hAnsi="Verdana" w:cs="Verdana"/>
          <w:sz w:val="16"/>
          <w:szCs w:val="16"/>
        </w:rPr>
        <w:t>a</w:t>
      </w:r>
      <w:r w:rsidRPr="00B32F9D">
        <w:rPr>
          <w:rFonts w:ascii="Verdana" w:hAnsi="Verdana" w:cs="Verdana"/>
          <w:sz w:val="16"/>
          <w:szCs w:val="16"/>
        </w:rPr>
        <w:t xml:space="preserve"> s</w:t>
      </w:r>
      <w:r>
        <w:rPr>
          <w:rFonts w:ascii="Verdana" w:hAnsi="Verdana" w:cs="Verdana"/>
          <w:sz w:val="16"/>
          <w:szCs w:val="16"/>
        </w:rPr>
        <w:t>tawki podatku PIT z 18% do 17%,</w:t>
      </w:r>
    </w:p>
    <w:p w:rsidR="00CA374E" w:rsidRPr="00713165" w:rsidRDefault="00CA374E" w:rsidP="00CA374E">
      <w:pPr>
        <w:pStyle w:val="Akapitzlist"/>
        <w:numPr>
          <w:ilvl w:val="0"/>
          <w:numId w:val="48"/>
        </w:numPr>
        <w:spacing w:before="60" w:after="60"/>
        <w:contextualSpacing w:val="0"/>
        <w:jc w:val="both"/>
        <w:rPr>
          <w:rFonts w:ascii="Verdana" w:hAnsi="Verdana" w:cs="Verdana"/>
          <w:sz w:val="16"/>
          <w:szCs w:val="16"/>
        </w:rPr>
      </w:pPr>
      <w:r w:rsidRPr="00B32F9D">
        <w:rPr>
          <w:rFonts w:ascii="Verdana" w:hAnsi="Verdana" w:cs="Verdana"/>
          <w:sz w:val="16"/>
          <w:szCs w:val="16"/>
        </w:rPr>
        <w:t>podwyższe</w:t>
      </w:r>
      <w:r>
        <w:rPr>
          <w:rFonts w:ascii="Verdana" w:hAnsi="Verdana" w:cs="Verdana"/>
          <w:sz w:val="16"/>
          <w:szCs w:val="16"/>
        </w:rPr>
        <w:t>nia</w:t>
      </w:r>
      <w:r w:rsidRPr="00B32F9D">
        <w:rPr>
          <w:rFonts w:ascii="Verdana" w:hAnsi="Verdana" w:cs="Verdana"/>
          <w:sz w:val="16"/>
          <w:szCs w:val="16"/>
        </w:rPr>
        <w:t xml:space="preserve"> kwoty ko</w:t>
      </w:r>
      <w:r>
        <w:rPr>
          <w:rFonts w:ascii="Verdana" w:hAnsi="Verdana" w:cs="Verdana"/>
          <w:sz w:val="16"/>
          <w:szCs w:val="16"/>
        </w:rPr>
        <w:t>sztów uzyskania przychodu w PIT</w:t>
      </w:r>
      <w:r w:rsidRPr="00713165">
        <w:rPr>
          <w:rFonts w:ascii="Verdana" w:hAnsi="Verdana" w:cs="Verdana"/>
          <w:sz w:val="16"/>
          <w:szCs w:val="16"/>
        </w:rPr>
        <w:t>.</w:t>
      </w:r>
    </w:p>
    <w:p w:rsidR="00CA374E" w:rsidRPr="007A7D75" w:rsidRDefault="00CA374E" w:rsidP="00CA374E">
      <w:pPr>
        <w:spacing w:before="60" w:after="60"/>
        <w:jc w:val="both"/>
        <w:rPr>
          <w:rFonts w:ascii="Verdana" w:hAnsi="Verdana" w:cs="Verdana"/>
          <w:sz w:val="16"/>
          <w:szCs w:val="16"/>
          <w:lang w:eastAsia="ko-KR"/>
        </w:rPr>
      </w:pPr>
      <w:r w:rsidRPr="007A7D75">
        <w:rPr>
          <w:rFonts w:ascii="Verdana" w:hAnsi="Verdana"/>
          <w:bCs/>
          <w:sz w:val="16"/>
          <w:szCs w:val="16"/>
        </w:rPr>
        <w:t xml:space="preserve">Łączny skutek zmian wprowadzonych to ubytek dochodów m.st. </w:t>
      </w:r>
      <w:r w:rsidRPr="007A7D75">
        <w:rPr>
          <w:rFonts w:ascii="Verdana" w:hAnsi="Verdana" w:cs="Verdana"/>
          <w:sz w:val="16"/>
          <w:szCs w:val="16"/>
        </w:rPr>
        <w:t>Warszawy</w:t>
      </w:r>
      <w:r w:rsidRPr="007A7D75">
        <w:rPr>
          <w:rFonts w:ascii="Verdana" w:hAnsi="Verdana"/>
          <w:bCs/>
          <w:sz w:val="16"/>
          <w:szCs w:val="16"/>
        </w:rPr>
        <w:t xml:space="preserve"> oszacowany w 2024 r. </w:t>
      </w:r>
      <w:r w:rsidRPr="007A7D75">
        <w:rPr>
          <w:rFonts w:ascii="Verdana" w:hAnsi="Verdana" w:cs="Verdana"/>
          <w:sz w:val="16"/>
          <w:szCs w:val="16"/>
        </w:rPr>
        <w:t xml:space="preserve">na kwotę bliską </w:t>
      </w:r>
      <w:r w:rsidRPr="007A7D75">
        <w:rPr>
          <w:rFonts w:ascii="Verdana" w:hAnsi="Verdana" w:cs="Verdana"/>
          <w:b/>
          <w:sz w:val="16"/>
          <w:szCs w:val="16"/>
        </w:rPr>
        <w:t>2</w:t>
      </w:r>
      <w:r w:rsidRPr="007A7D75">
        <w:rPr>
          <w:rFonts w:ascii="Verdana" w:hAnsi="Verdana" w:cs="Verdana"/>
          <w:b/>
          <w:sz w:val="16"/>
          <w:szCs w:val="16"/>
          <w:lang w:eastAsia="ko-KR"/>
        </w:rPr>
        <w:t>,9 mld zł</w:t>
      </w:r>
      <w:r w:rsidRPr="007A7D75">
        <w:rPr>
          <w:rFonts w:ascii="Verdana" w:hAnsi="Verdana" w:cs="Verdana"/>
          <w:sz w:val="16"/>
          <w:szCs w:val="16"/>
          <w:lang w:eastAsia="ko-KR"/>
        </w:rPr>
        <w:t xml:space="preserve"> w porównaniu z sytuacją niezmienionego stanu prawnego, który będzie także trwale odnotowywany w kolejnych latach </w:t>
      </w:r>
      <w:r w:rsidRPr="007A7D75">
        <w:rPr>
          <w:rFonts w:ascii="Verdana" w:hAnsi="Verdana"/>
          <w:bCs/>
          <w:sz w:val="16"/>
          <w:szCs w:val="16"/>
        </w:rPr>
        <w:t>w całej perspektywie Wieloletniej Prognozy Finansowej.</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Metodologia prognozowania tego źródła dochodów opiera się na określeniu trzech głównych czynników determinujących wysokość uzyskiwanych środków:</w:t>
      </w:r>
    </w:p>
    <w:p w:rsidR="00CA374E" w:rsidRPr="000A6485" w:rsidRDefault="00CA374E" w:rsidP="00CA374E">
      <w:pPr>
        <w:numPr>
          <w:ilvl w:val="0"/>
          <w:numId w:val="6"/>
        </w:numPr>
        <w:tabs>
          <w:tab w:val="clear" w:pos="1080"/>
          <w:tab w:val="num" w:pos="567"/>
        </w:tabs>
        <w:spacing w:before="60" w:after="60"/>
        <w:ind w:left="540" w:hanging="256"/>
        <w:jc w:val="both"/>
        <w:rPr>
          <w:rFonts w:ascii="Verdana" w:hAnsi="Verdana"/>
          <w:sz w:val="16"/>
          <w:szCs w:val="16"/>
        </w:rPr>
      </w:pPr>
      <w:r>
        <w:rPr>
          <w:rFonts w:ascii="Verdana" w:hAnsi="Verdana"/>
          <w:sz w:val="16"/>
          <w:szCs w:val="16"/>
        </w:rPr>
        <w:t xml:space="preserve">puli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w:t>
      </w:r>
    </w:p>
    <w:p w:rsidR="00CA374E" w:rsidRPr="000A6485" w:rsidRDefault="00CA374E" w:rsidP="00CA374E">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t>ustawowego, określonego dla miast na prawach powiatu udziału we wpływach z PIT do budżetu państwa,</w:t>
      </w:r>
    </w:p>
    <w:p w:rsidR="00CA374E" w:rsidRPr="000A6485" w:rsidRDefault="00CA374E" w:rsidP="00CA374E">
      <w:pPr>
        <w:numPr>
          <w:ilvl w:val="0"/>
          <w:numId w:val="6"/>
        </w:numPr>
        <w:tabs>
          <w:tab w:val="clear" w:pos="1080"/>
          <w:tab w:val="num" w:pos="567"/>
        </w:tabs>
        <w:spacing w:before="60" w:after="60"/>
        <w:ind w:left="540" w:hanging="256"/>
        <w:jc w:val="both"/>
        <w:rPr>
          <w:rFonts w:ascii="Verdana" w:hAnsi="Verdana"/>
          <w:sz w:val="16"/>
          <w:szCs w:val="16"/>
        </w:rPr>
      </w:pPr>
      <w:r w:rsidRPr="000A6485">
        <w:rPr>
          <w:rFonts w:ascii="Verdana" w:hAnsi="Verdana"/>
          <w:sz w:val="16"/>
          <w:szCs w:val="16"/>
        </w:rPr>
        <w:t>indywidualnego, wyliczonego dla jednostki samorządu terytorialnego udziału we wpływach z PIT wszystkich jednostek samorządu terytorialnego danego typu.</w:t>
      </w:r>
    </w:p>
    <w:p w:rsidR="00CA374E" w:rsidRDefault="00CA374E" w:rsidP="00CA374E">
      <w:pPr>
        <w:spacing w:before="60" w:after="60"/>
        <w:jc w:val="both"/>
        <w:rPr>
          <w:rFonts w:ascii="Verdana" w:hAnsi="Verdana"/>
          <w:sz w:val="16"/>
          <w:szCs w:val="16"/>
        </w:rPr>
      </w:pPr>
      <w:r>
        <w:rPr>
          <w:rFonts w:ascii="Verdana" w:hAnsi="Verdana"/>
          <w:sz w:val="16"/>
          <w:szCs w:val="16"/>
        </w:rPr>
        <w:t xml:space="preserve">Pula </w:t>
      </w:r>
      <w:r w:rsidRPr="000A6485">
        <w:rPr>
          <w:rFonts w:ascii="Verdana" w:hAnsi="Verdana"/>
          <w:sz w:val="16"/>
          <w:szCs w:val="16"/>
        </w:rPr>
        <w:t>wpływów z PIT do</w:t>
      </w:r>
      <w:r>
        <w:rPr>
          <w:rFonts w:ascii="Verdana" w:hAnsi="Verdana"/>
          <w:sz w:val="16"/>
          <w:szCs w:val="16"/>
        </w:rPr>
        <w:t xml:space="preserve"> poddziału między </w:t>
      </w:r>
      <w:r w:rsidRPr="000A6485">
        <w:rPr>
          <w:rFonts w:ascii="Verdana" w:hAnsi="Verdana"/>
          <w:sz w:val="16"/>
          <w:szCs w:val="16"/>
        </w:rPr>
        <w:t>budżet państwa</w:t>
      </w:r>
      <w:r>
        <w:rPr>
          <w:rFonts w:ascii="Verdana" w:hAnsi="Verdana"/>
          <w:sz w:val="16"/>
          <w:szCs w:val="16"/>
        </w:rPr>
        <w:t xml:space="preserve"> i JST</w:t>
      </w:r>
      <w:r w:rsidRPr="000A6485">
        <w:rPr>
          <w:rFonts w:ascii="Verdana" w:hAnsi="Verdana"/>
          <w:sz w:val="16"/>
          <w:szCs w:val="16"/>
        </w:rPr>
        <w:t xml:space="preserve"> </w:t>
      </w:r>
      <w:r>
        <w:rPr>
          <w:rFonts w:ascii="Verdana" w:hAnsi="Verdana"/>
          <w:sz w:val="16"/>
          <w:szCs w:val="16"/>
        </w:rPr>
        <w:t>jest</w:t>
      </w:r>
      <w:r w:rsidRPr="000A6485">
        <w:rPr>
          <w:rFonts w:ascii="Verdana" w:hAnsi="Verdana"/>
          <w:sz w:val="16"/>
          <w:szCs w:val="16"/>
        </w:rPr>
        <w:t xml:space="preserve"> silnie skorelowan</w:t>
      </w:r>
      <w:r>
        <w:rPr>
          <w:rFonts w:ascii="Verdana" w:hAnsi="Verdana"/>
          <w:sz w:val="16"/>
          <w:szCs w:val="16"/>
        </w:rPr>
        <w:t>a</w:t>
      </w:r>
      <w:r w:rsidRPr="000A6485">
        <w:rPr>
          <w:rFonts w:ascii="Verdana" w:hAnsi="Verdana"/>
          <w:sz w:val="16"/>
          <w:szCs w:val="16"/>
        </w:rPr>
        <w:t xml:space="preserve"> ze zjawiskami obserwowanymi na rynku pracy. W niniejszej prognozie uwzględniono następujące przewidywane przez Ministerstwo Finansów zdarzenia determinujące w skali kraju liczbę podatników PIT oraz wysokość podatków przez nich odprowadzanych. Zakłada się w najbliższych latach:</w:t>
      </w:r>
    </w:p>
    <w:p w:rsidR="00CA374E" w:rsidRPr="000A6485" w:rsidRDefault="00CA374E" w:rsidP="00CA374E">
      <w:pPr>
        <w:pStyle w:val="Akapitzlist"/>
        <w:numPr>
          <w:ilvl w:val="0"/>
          <w:numId w:val="7"/>
        </w:numPr>
        <w:tabs>
          <w:tab w:val="clear" w:pos="1080"/>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PKB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3,0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3,4</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3,1</w:t>
      </w:r>
      <w:r w:rsidRPr="000A6485">
        <w:rPr>
          <w:rFonts w:ascii="Verdana" w:hAnsi="Verdana" w:cs="Verdana"/>
          <w:b/>
          <w:sz w:val="16"/>
          <w:szCs w:val="16"/>
        </w:rPr>
        <w:t>%</w:t>
      </w:r>
      <w:r w:rsidRPr="000A6485">
        <w:rPr>
          <w:rFonts w:ascii="Verdana" w:hAnsi="Verdana" w:cs="Verdana"/>
          <w:sz w:val="16"/>
          <w:szCs w:val="16"/>
        </w:rPr>
        <w:t xml:space="preserve"> </w:t>
      </w:r>
      <w:r>
        <w:rPr>
          <w:rFonts w:ascii="Verdana" w:hAnsi="Verdana" w:cs="Verdana"/>
          <w:sz w:val="16"/>
          <w:szCs w:val="16"/>
        </w:rPr>
        <w:t>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xml:space="preserve">, </w:t>
      </w:r>
      <w:r w:rsidRPr="00AD2E69">
        <w:rPr>
          <w:rFonts w:ascii="Verdana" w:hAnsi="Verdana" w:cs="Verdana"/>
          <w:b/>
          <w:sz w:val="16"/>
          <w:szCs w:val="16"/>
        </w:rPr>
        <w:t>3,</w:t>
      </w:r>
      <w:r>
        <w:rPr>
          <w:rFonts w:ascii="Verdana" w:hAnsi="Verdana" w:cs="Verdana"/>
          <w:b/>
          <w:sz w:val="16"/>
          <w:szCs w:val="16"/>
        </w:rPr>
        <w:t>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CA374E" w:rsidRPr="000A6485" w:rsidRDefault="00CA374E" w:rsidP="00CA374E">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ę</w:t>
      </w:r>
      <w:r w:rsidRPr="000A6485">
        <w:rPr>
          <w:rFonts w:ascii="Verdana" w:hAnsi="Verdana" w:cs="Verdana"/>
          <w:sz w:val="16"/>
          <w:szCs w:val="16"/>
        </w:rPr>
        <w:t xml:space="preserve"> poziomu wynagrodzeń 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9,8</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7,0</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sidRPr="005068F0">
        <w:rPr>
          <w:rFonts w:ascii="Verdana" w:hAnsi="Verdana" w:cs="Verdana"/>
          <w:b/>
          <w:sz w:val="16"/>
          <w:szCs w:val="16"/>
        </w:rPr>
        <w:t>6,</w:t>
      </w:r>
      <w:r>
        <w:rPr>
          <w:rFonts w:ascii="Verdana" w:hAnsi="Verdana" w:cs="Verdana"/>
          <w:b/>
          <w:sz w:val="16"/>
          <w:szCs w:val="16"/>
        </w:rPr>
        <w:t>0</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xml:space="preserve">, </w:t>
      </w:r>
      <w:r>
        <w:rPr>
          <w:rFonts w:ascii="Verdana" w:hAnsi="Verdana" w:cs="Verdana"/>
          <w:b/>
          <w:sz w:val="16"/>
          <w:szCs w:val="16"/>
        </w:rPr>
        <w:t>5,1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CA374E" w:rsidRPr="000A6485" w:rsidRDefault="00CA374E" w:rsidP="00CA374E">
      <w:pPr>
        <w:pStyle w:val="Akapitzlist"/>
        <w:numPr>
          <w:ilvl w:val="0"/>
          <w:numId w:val="7"/>
        </w:numPr>
        <w:tabs>
          <w:tab w:val="clear" w:pos="1080"/>
          <w:tab w:val="num" w:pos="709"/>
        </w:tabs>
        <w:autoSpaceDE w:val="0"/>
        <w:autoSpaceDN w:val="0"/>
        <w:adjustRightInd w:val="0"/>
        <w:spacing w:before="60" w:after="60"/>
        <w:ind w:left="567" w:hanging="283"/>
        <w:contextualSpacing w:val="0"/>
        <w:jc w:val="both"/>
        <w:rPr>
          <w:rFonts w:ascii="Verdana" w:hAnsi="Verdana" w:cs="Verdana"/>
          <w:sz w:val="16"/>
          <w:szCs w:val="16"/>
        </w:rPr>
      </w:pPr>
      <w:r w:rsidRPr="000A6485">
        <w:rPr>
          <w:rFonts w:ascii="Verdana" w:hAnsi="Verdana" w:cs="Verdana"/>
          <w:sz w:val="16"/>
          <w:szCs w:val="16"/>
        </w:rPr>
        <w:t>dynamik</w:t>
      </w:r>
      <w:r>
        <w:rPr>
          <w:rFonts w:ascii="Verdana" w:hAnsi="Verdana" w:cs="Verdana"/>
          <w:sz w:val="16"/>
          <w:szCs w:val="16"/>
        </w:rPr>
        <w:t xml:space="preserve">ę zatrudnienia </w:t>
      </w:r>
      <w:r w:rsidRPr="000A6485">
        <w:rPr>
          <w:rFonts w:ascii="Verdana" w:hAnsi="Verdana" w:cs="Verdana"/>
          <w:sz w:val="16"/>
          <w:szCs w:val="16"/>
        </w:rPr>
        <w:t xml:space="preserve">w gospodarce narodowej </w:t>
      </w:r>
      <w:r>
        <w:rPr>
          <w:rFonts w:ascii="Verdana" w:hAnsi="Verdana" w:cs="Verdana"/>
          <w:sz w:val="16"/>
          <w:szCs w:val="16"/>
        </w:rPr>
        <w:t>na poziomie</w:t>
      </w:r>
      <w:r w:rsidRPr="000A6485">
        <w:rPr>
          <w:rFonts w:ascii="Verdana" w:hAnsi="Verdana" w:cs="Verdana"/>
          <w:sz w:val="16"/>
          <w:szCs w:val="16"/>
        </w:rPr>
        <w:t xml:space="preserve"> </w:t>
      </w:r>
      <w:r>
        <w:rPr>
          <w:rFonts w:ascii="Verdana" w:hAnsi="Verdana" w:cs="Verdana"/>
          <w:b/>
          <w:sz w:val="16"/>
          <w:szCs w:val="16"/>
        </w:rPr>
        <w:t>+1,2%</w:t>
      </w:r>
      <w:r>
        <w:rPr>
          <w:rFonts w:ascii="Verdana" w:hAnsi="Verdana" w:cs="Verdana"/>
          <w:sz w:val="16"/>
          <w:szCs w:val="16"/>
        </w:rPr>
        <w:t xml:space="preserve"> w 2024 r</w:t>
      </w:r>
      <w:r w:rsidRPr="005068F0">
        <w:rPr>
          <w:rFonts w:ascii="Verdana" w:hAnsi="Verdana" w:cs="Verdana"/>
          <w:sz w:val="16"/>
          <w:szCs w:val="16"/>
        </w:rPr>
        <w:t xml:space="preserve"> </w:t>
      </w:r>
      <w:r>
        <w:rPr>
          <w:rFonts w:ascii="Verdana" w:hAnsi="Verdana" w:cs="Verdana"/>
          <w:sz w:val="16"/>
          <w:szCs w:val="16"/>
        </w:rPr>
        <w:t>oraz w </w:t>
      </w:r>
      <w:r w:rsidRPr="000A6485">
        <w:rPr>
          <w:rFonts w:ascii="Verdana" w:hAnsi="Verdana" w:cs="Verdana"/>
          <w:sz w:val="16"/>
          <w:szCs w:val="16"/>
        </w:rPr>
        <w:t xml:space="preserve">kolejnych latach: </w:t>
      </w:r>
      <w:r>
        <w:rPr>
          <w:rFonts w:ascii="Verdana" w:hAnsi="Verdana" w:cs="Verdana"/>
          <w:b/>
          <w:sz w:val="16"/>
          <w:szCs w:val="16"/>
        </w:rPr>
        <w:t>+0,8</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5</w:t>
      </w:r>
      <w:r w:rsidRPr="000A6485">
        <w:rPr>
          <w:rFonts w:ascii="Verdana" w:hAnsi="Verdana" w:cs="Verdana"/>
          <w:sz w:val="16"/>
          <w:szCs w:val="16"/>
        </w:rPr>
        <w:t xml:space="preserve"> r.</w:t>
      </w:r>
      <w:r>
        <w:rPr>
          <w:rFonts w:ascii="Verdana" w:hAnsi="Verdana" w:cs="Verdana"/>
          <w:sz w:val="16"/>
          <w:szCs w:val="16"/>
        </w:rPr>
        <w:t>,</w:t>
      </w:r>
      <w:r w:rsidRPr="000A6485">
        <w:rPr>
          <w:rFonts w:ascii="Verdana" w:hAnsi="Verdana" w:cs="Verdana"/>
          <w:sz w:val="16"/>
          <w:szCs w:val="16"/>
        </w:rPr>
        <w:t xml:space="preserve"> </w:t>
      </w:r>
      <w:r>
        <w:rPr>
          <w:rFonts w:ascii="Verdana" w:hAnsi="Verdana" w:cs="Verdana"/>
          <w:sz w:val="16"/>
          <w:szCs w:val="16"/>
        </w:rPr>
        <w:t>+</w:t>
      </w:r>
      <w:r>
        <w:rPr>
          <w:rFonts w:ascii="Verdana" w:hAnsi="Verdana" w:cs="Verdana"/>
          <w:b/>
          <w:sz w:val="16"/>
          <w:szCs w:val="16"/>
        </w:rPr>
        <w:t>0,2</w:t>
      </w:r>
      <w:r w:rsidRPr="005068F0">
        <w:rPr>
          <w:rFonts w:ascii="Verdana" w:hAnsi="Verdana" w:cs="Verdana"/>
          <w:b/>
          <w:sz w:val="16"/>
          <w:szCs w:val="16"/>
        </w:rPr>
        <w:t>%</w:t>
      </w:r>
      <w:r>
        <w:rPr>
          <w:rFonts w:ascii="Verdana" w:hAnsi="Verdana" w:cs="Verdana"/>
          <w:sz w:val="16"/>
          <w:szCs w:val="16"/>
        </w:rPr>
        <w:t xml:space="preserve"> w </w:t>
      </w:r>
      <w:r w:rsidRPr="000A6485">
        <w:rPr>
          <w:rFonts w:ascii="Verdana" w:hAnsi="Verdana" w:cs="Verdana"/>
          <w:sz w:val="16"/>
          <w:szCs w:val="16"/>
        </w:rPr>
        <w:t>202</w:t>
      </w:r>
      <w:r>
        <w:rPr>
          <w:rFonts w:ascii="Verdana" w:hAnsi="Verdana" w:cs="Verdana"/>
          <w:sz w:val="16"/>
          <w:szCs w:val="16"/>
        </w:rPr>
        <w:t>6</w:t>
      </w:r>
      <w:r w:rsidRPr="000A6485">
        <w:rPr>
          <w:rFonts w:ascii="Verdana" w:hAnsi="Verdana" w:cs="Verdana"/>
          <w:sz w:val="16"/>
          <w:szCs w:val="16"/>
        </w:rPr>
        <w:t xml:space="preserve"> r.</w:t>
      </w:r>
      <w:r>
        <w:rPr>
          <w:rFonts w:ascii="Verdana" w:hAnsi="Verdana" w:cs="Verdana"/>
          <w:sz w:val="16"/>
          <w:szCs w:val="16"/>
        </w:rPr>
        <w:t>, +</w:t>
      </w:r>
      <w:r>
        <w:rPr>
          <w:rFonts w:ascii="Verdana" w:hAnsi="Verdana" w:cs="Verdana"/>
          <w:b/>
          <w:sz w:val="16"/>
          <w:szCs w:val="16"/>
        </w:rPr>
        <w:t>0,1</w:t>
      </w:r>
      <w:r w:rsidRPr="000A6485">
        <w:rPr>
          <w:rFonts w:ascii="Verdana" w:hAnsi="Verdana" w:cs="Verdana"/>
          <w:b/>
          <w:sz w:val="16"/>
          <w:szCs w:val="16"/>
        </w:rPr>
        <w:t>%</w:t>
      </w:r>
      <w:r w:rsidRPr="000A6485">
        <w:rPr>
          <w:rFonts w:ascii="Verdana" w:hAnsi="Verdana" w:cs="Verdana"/>
          <w:sz w:val="16"/>
          <w:szCs w:val="16"/>
        </w:rPr>
        <w:t xml:space="preserve"> w 202</w:t>
      </w:r>
      <w:r>
        <w:rPr>
          <w:rFonts w:ascii="Verdana" w:hAnsi="Verdana" w:cs="Verdana"/>
          <w:sz w:val="16"/>
          <w:szCs w:val="16"/>
        </w:rPr>
        <w:t>7</w:t>
      </w:r>
      <w:r w:rsidRPr="000A6485">
        <w:rPr>
          <w:rFonts w:ascii="Verdana" w:hAnsi="Verdana" w:cs="Verdana"/>
          <w:sz w:val="16"/>
          <w:szCs w:val="16"/>
        </w:rPr>
        <w:t xml:space="preserve"> r.</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Drugim elementem prognozy dochodów z udziału w PIT, obok oszacowania ogólnej kwoty wpływów </w:t>
      </w:r>
      <w:r w:rsidRPr="000A6485">
        <w:rPr>
          <w:rFonts w:ascii="Verdana" w:hAnsi="Verdana"/>
          <w:sz w:val="16"/>
          <w:szCs w:val="16"/>
        </w:rPr>
        <w:br/>
        <w:t xml:space="preserve">z tego podatku dla całego kraju, jest określenie udziałów sektora samorządowego w dochodach z PIT </w:t>
      </w:r>
      <w:r w:rsidRPr="000A6485">
        <w:rPr>
          <w:rFonts w:ascii="Verdana" w:hAnsi="Verdana"/>
          <w:sz w:val="16"/>
          <w:szCs w:val="16"/>
        </w:rPr>
        <w:br/>
        <w:t xml:space="preserve">oraz udziałów poszczególnych jednostek. </w:t>
      </w:r>
    </w:p>
    <w:p w:rsidR="00CA374E" w:rsidRDefault="00CA374E" w:rsidP="00CA374E">
      <w:pPr>
        <w:spacing w:before="60" w:after="60"/>
        <w:jc w:val="both"/>
        <w:rPr>
          <w:rFonts w:ascii="Verdana" w:hAnsi="Verdana"/>
          <w:sz w:val="16"/>
          <w:szCs w:val="16"/>
        </w:rPr>
      </w:pPr>
      <w:r>
        <w:rPr>
          <w:rFonts w:ascii="Verdana" w:hAnsi="Verdana"/>
          <w:sz w:val="16"/>
          <w:szCs w:val="16"/>
        </w:rPr>
        <w:t>W dniu 13</w:t>
      </w:r>
      <w:r w:rsidRPr="000A6485">
        <w:rPr>
          <w:rFonts w:ascii="Verdana" w:hAnsi="Verdana"/>
          <w:sz w:val="16"/>
          <w:szCs w:val="16"/>
        </w:rPr>
        <w:t xml:space="preserve"> października 20</w:t>
      </w:r>
      <w:r>
        <w:rPr>
          <w:rFonts w:ascii="Verdana" w:hAnsi="Verdana"/>
          <w:sz w:val="16"/>
          <w:szCs w:val="16"/>
        </w:rPr>
        <w:t xml:space="preserve">23 r. Minister Finansów </w:t>
      </w:r>
      <w:r w:rsidRPr="000A6485">
        <w:rPr>
          <w:rFonts w:ascii="Verdana" w:hAnsi="Verdana"/>
          <w:sz w:val="16"/>
          <w:szCs w:val="16"/>
        </w:rPr>
        <w:t xml:space="preserve">- zgodnie z art. 33 ust. 1 pkt 1 ustawy z dnia 13 listopada </w:t>
      </w:r>
      <w:r>
        <w:rPr>
          <w:rFonts w:ascii="Verdana" w:hAnsi="Verdana"/>
          <w:sz w:val="16"/>
          <w:szCs w:val="16"/>
        </w:rPr>
        <w:br/>
      </w:r>
      <w:r w:rsidRPr="000A6485">
        <w:rPr>
          <w:rFonts w:ascii="Verdana" w:hAnsi="Verdana"/>
          <w:sz w:val="16"/>
          <w:szCs w:val="16"/>
        </w:rPr>
        <w:t>2003 r. o dochodach jednostek samorządu terytorialnego - poinformował jednos</w:t>
      </w:r>
      <w:r>
        <w:rPr>
          <w:rFonts w:ascii="Verdana" w:hAnsi="Verdana"/>
          <w:sz w:val="16"/>
          <w:szCs w:val="16"/>
        </w:rPr>
        <w:t>tki samorządu terytorialnego, w </w:t>
      </w:r>
      <w:r w:rsidRPr="000A6485">
        <w:rPr>
          <w:rFonts w:ascii="Verdana" w:hAnsi="Verdana"/>
          <w:sz w:val="16"/>
          <w:szCs w:val="16"/>
        </w:rPr>
        <w:t>tym m.st. Warszawa, o planowanych udziałach we wpływach z podatku</w:t>
      </w:r>
      <w:r>
        <w:rPr>
          <w:rFonts w:ascii="Verdana" w:hAnsi="Verdana"/>
          <w:sz w:val="16"/>
          <w:szCs w:val="16"/>
        </w:rPr>
        <w:t xml:space="preserve"> dochodowego od osób fizycznych ustalonych na 2024 r.</w:t>
      </w:r>
    </w:p>
    <w:p w:rsidR="00CA374E" w:rsidRPr="000A6485" w:rsidRDefault="00CA374E" w:rsidP="00CA374E">
      <w:pPr>
        <w:spacing w:before="60" w:after="60"/>
        <w:jc w:val="both"/>
        <w:rPr>
          <w:rFonts w:ascii="Verdana" w:hAnsi="Verdana" w:cs="Verdana"/>
          <w:sz w:val="16"/>
          <w:szCs w:val="16"/>
        </w:rPr>
      </w:pPr>
      <w:r w:rsidRPr="000A6485">
        <w:rPr>
          <w:rFonts w:ascii="Verdana" w:hAnsi="Verdana" w:cs="Verdana"/>
          <w:sz w:val="16"/>
          <w:szCs w:val="16"/>
        </w:rPr>
        <w:t>Na 202</w:t>
      </w:r>
      <w:r>
        <w:rPr>
          <w:rFonts w:ascii="Verdana" w:hAnsi="Verdana" w:cs="Verdana"/>
          <w:sz w:val="16"/>
          <w:szCs w:val="16"/>
        </w:rPr>
        <w:t>4</w:t>
      </w:r>
      <w:r w:rsidRPr="000A6485">
        <w:rPr>
          <w:rFonts w:ascii="Verdana" w:hAnsi="Verdana" w:cs="Verdana"/>
          <w:sz w:val="16"/>
          <w:szCs w:val="16"/>
        </w:rPr>
        <w:t xml:space="preserve"> r. Ministerstwo Finansów zakłada wzrost – podobnie jak w latach poprzednich – wskaźnika udziału dla wszystkich gmin w kraju w planowanych ogólnych wpływach z PIT, tj. z </w:t>
      </w:r>
      <w:r w:rsidRPr="000A6485">
        <w:rPr>
          <w:rFonts w:ascii="Verdana" w:hAnsi="Verdana" w:cs="Verdana"/>
          <w:b/>
          <w:sz w:val="16"/>
          <w:szCs w:val="16"/>
        </w:rPr>
        <w:t>38,</w:t>
      </w:r>
      <w:r>
        <w:rPr>
          <w:rFonts w:ascii="Verdana" w:hAnsi="Verdana" w:cs="Verdana"/>
          <w:b/>
          <w:sz w:val="16"/>
          <w:szCs w:val="16"/>
        </w:rPr>
        <w:t>40</w:t>
      </w:r>
      <w:r w:rsidRPr="000A6485">
        <w:rPr>
          <w:rFonts w:ascii="Verdana" w:hAnsi="Verdana" w:cs="Verdana"/>
          <w:b/>
          <w:sz w:val="16"/>
          <w:szCs w:val="16"/>
        </w:rPr>
        <w:t>%</w:t>
      </w:r>
      <w:r w:rsidRPr="000A6485">
        <w:rPr>
          <w:rFonts w:ascii="Verdana" w:hAnsi="Verdana" w:cs="Verdana"/>
          <w:sz w:val="16"/>
          <w:szCs w:val="16"/>
        </w:rPr>
        <w:t xml:space="preserve"> w 20</w:t>
      </w:r>
      <w:r>
        <w:rPr>
          <w:rFonts w:ascii="Verdana" w:hAnsi="Verdana" w:cs="Verdana"/>
          <w:sz w:val="16"/>
          <w:szCs w:val="16"/>
        </w:rPr>
        <w:t>23</w:t>
      </w:r>
      <w:r w:rsidRPr="000A6485">
        <w:rPr>
          <w:rFonts w:ascii="Verdana" w:hAnsi="Verdana" w:cs="Verdana"/>
          <w:sz w:val="16"/>
          <w:szCs w:val="16"/>
        </w:rPr>
        <w:t xml:space="preserve"> r. do </w:t>
      </w:r>
      <w:r w:rsidRPr="000A6485">
        <w:rPr>
          <w:rFonts w:ascii="Verdana" w:hAnsi="Verdana" w:cs="Verdana"/>
          <w:b/>
          <w:sz w:val="16"/>
          <w:szCs w:val="16"/>
        </w:rPr>
        <w:t>38,</w:t>
      </w:r>
      <w:r>
        <w:rPr>
          <w:rFonts w:ascii="Verdana" w:hAnsi="Verdana" w:cs="Verdana"/>
          <w:b/>
          <w:sz w:val="16"/>
          <w:szCs w:val="16"/>
        </w:rPr>
        <w:t>46</w:t>
      </w:r>
      <w:r w:rsidRPr="000A6485">
        <w:rPr>
          <w:rFonts w:ascii="Verdana" w:hAnsi="Verdana" w:cs="Verdana"/>
          <w:b/>
          <w:sz w:val="16"/>
          <w:szCs w:val="16"/>
        </w:rPr>
        <w:t>%</w:t>
      </w:r>
      <w:r w:rsidRPr="000A6485">
        <w:rPr>
          <w:rFonts w:ascii="Verdana" w:hAnsi="Verdana" w:cs="Verdana"/>
          <w:sz w:val="16"/>
          <w:szCs w:val="16"/>
        </w:rPr>
        <w:t xml:space="preserve"> </w:t>
      </w:r>
      <w:r w:rsidRPr="000A6485">
        <w:rPr>
          <w:rFonts w:ascii="Verdana" w:hAnsi="Verdana" w:cs="Verdana"/>
          <w:sz w:val="16"/>
          <w:szCs w:val="16"/>
        </w:rPr>
        <w:br/>
        <w:t>w 202</w:t>
      </w:r>
      <w:r>
        <w:rPr>
          <w:rFonts w:ascii="Verdana" w:hAnsi="Verdana" w:cs="Verdana"/>
          <w:sz w:val="16"/>
          <w:szCs w:val="16"/>
        </w:rPr>
        <w:t>4</w:t>
      </w:r>
      <w:r w:rsidRPr="000A6485">
        <w:rPr>
          <w:rFonts w:ascii="Verdana" w:hAnsi="Verdana" w:cs="Verdana"/>
          <w:sz w:val="16"/>
          <w:szCs w:val="16"/>
        </w:rPr>
        <w:t xml:space="preserve"> r. w związku ze zmian</w:t>
      </w:r>
      <w:r>
        <w:rPr>
          <w:rFonts w:ascii="Verdana" w:hAnsi="Verdana" w:cs="Verdana"/>
          <w:sz w:val="16"/>
          <w:szCs w:val="16"/>
        </w:rPr>
        <w:t>ą</w:t>
      </w:r>
      <w:r w:rsidRPr="000A6485">
        <w:rPr>
          <w:rFonts w:ascii="Verdana" w:hAnsi="Verdana" w:cs="Verdana"/>
          <w:sz w:val="16"/>
          <w:szCs w:val="16"/>
        </w:rPr>
        <w:t xml:space="preserve"> liczby pensjonariuszy </w:t>
      </w:r>
      <w:r>
        <w:rPr>
          <w:rFonts w:ascii="Verdana" w:hAnsi="Verdana" w:cs="Verdana"/>
          <w:sz w:val="16"/>
          <w:szCs w:val="16"/>
        </w:rPr>
        <w:t>przyjętych</w:t>
      </w:r>
      <w:r w:rsidRPr="000A6485">
        <w:rPr>
          <w:rFonts w:ascii="Verdana" w:hAnsi="Verdana" w:cs="Verdana"/>
          <w:sz w:val="16"/>
          <w:szCs w:val="16"/>
        </w:rPr>
        <w:t xml:space="preserve"> </w:t>
      </w:r>
      <w:r>
        <w:rPr>
          <w:rFonts w:ascii="Verdana" w:hAnsi="Verdana" w:cs="Verdana"/>
          <w:sz w:val="16"/>
          <w:szCs w:val="16"/>
        </w:rPr>
        <w:t xml:space="preserve">do </w:t>
      </w:r>
      <w:r w:rsidRPr="000A6485">
        <w:rPr>
          <w:rFonts w:ascii="Verdana" w:hAnsi="Verdana" w:cs="Verdana"/>
          <w:sz w:val="16"/>
          <w:szCs w:val="16"/>
        </w:rPr>
        <w:t>domów opieki społecznej</w:t>
      </w:r>
      <w:r>
        <w:rPr>
          <w:rFonts w:ascii="Verdana" w:hAnsi="Verdana" w:cs="Verdana"/>
          <w:sz w:val="16"/>
          <w:szCs w:val="16"/>
        </w:rPr>
        <w:t xml:space="preserve"> </w:t>
      </w:r>
      <w:r>
        <w:rPr>
          <w:rFonts w:ascii="Verdana" w:hAnsi="Verdana" w:cs="Verdana"/>
          <w:sz w:val="16"/>
          <w:szCs w:val="16"/>
          <w:lang w:eastAsia="ko-KR"/>
        </w:rPr>
        <w:t>przed dniem 1 </w:t>
      </w:r>
      <w:r w:rsidRPr="00011AAA">
        <w:rPr>
          <w:rFonts w:ascii="Verdana" w:hAnsi="Verdana" w:cs="Verdana"/>
          <w:sz w:val="16"/>
          <w:szCs w:val="16"/>
          <w:lang w:eastAsia="ko-KR"/>
        </w:rPr>
        <w:t>stycznia 2004 r</w:t>
      </w:r>
      <w:r>
        <w:rPr>
          <w:rFonts w:ascii="Verdana" w:hAnsi="Verdana" w:cs="Verdana"/>
          <w:sz w:val="16"/>
          <w:szCs w:val="16"/>
          <w:lang w:eastAsia="ko-KR"/>
        </w:rPr>
        <w:t>.</w:t>
      </w:r>
      <w:r w:rsidRPr="000A6485">
        <w:rPr>
          <w:rFonts w:ascii="Verdana" w:hAnsi="Verdana" w:cs="Verdana"/>
          <w:sz w:val="16"/>
          <w:szCs w:val="16"/>
        </w:rPr>
        <w:t xml:space="preserve">, w części powiatowej udział jest stały i wynosi </w:t>
      </w:r>
      <w:r w:rsidRPr="000A6485">
        <w:rPr>
          <w:rFonts w:ascii="Verdana" w:hAnsi="Verdana" w:cs="Verdana"/>
          <w:b/>
          <w:sz w:val="16"/>
          <w:szCs w:val="16"/>
        </w:rPr>
        <w:t>10,25%</w:t>
      </w:r>
      <w:r w:rsidRPr="000A6485">
        <w:rPr>
          <w:rFonts w:ascii="Verdana" w:hAnsi="Verdana" w:cs="Verdana"/>
          <w:sz w:val="16"/>
          <w:szCs w:val="16"/>
        </w:rPr>
        <w:t>.</w:t>
      </w:r>
    </w:p>
    <w:p w:rsidR="00CA374E" w:rsidRPr="000A6485" w:rsidRDefault="00CA374E" w:rsidP="00CA374E">
      <w:pPr>
        <w:pStyle w:val="Akapitzlist"/>
        <w:autoSpaceDE w:val="0"/>
        <w:autoSpaceDN w:val="0"/>
        <w:adjustRightInd w:val="0"/>
        <w:spacing w:before="60" w:after="60"/>
        <w:ind w:left="0"/>
        <w:contextualSpacing w:val="0"/>
        <w:jc w:val="both"/>
        <w:rPr>
          <w:rFonts w:ascii="Verdana" w:hAnsi="Verdana" w:cs="Verdana"/>
          <w:sz w:val="16"/>
          <w:szCs w:val="16"/>
        </w:rPr>
      </w:pPr>
      <w:r w:rsidRPr="000A6485">
        <w:rPr>
          <w:rFonts w:ascii="Verdana" w:hAnsi="Verdana" w:cs="Verdana"/>
          <w:sz w:val="16"/>
          <w:szCs w:val="16"/>
        </w:rPr>
        <w:t>Wskaźnik udziału podatku należnego odprowadzonego od podatników zamieszkałych na terenie m.st. Warszawy w podatku na</w:t>
      </w:r>
      <w:r>
        <w:rPr>
          <w:rFonts w:ascii="Verdana" w:hAnsi="Verdana" w:cs="Verdana"/>
          <w:sz w:val="16"/>
          <w:szCs w:val="16"/>
        </w:rPr>
        <w:t>leżnym dla kraju wynosi dla 2024</w:t>
      </w:r>
      <w:r w:rsidRPr="000A6485">
        <w:rPr>
          <w:rFonts w:ascii="Verdana" w:hAnsi="Verdana" w:cs="Verdana"/>
          <w:sz w:val="16"/>
          <w:szCs w:val="16"/>
        </w:rPr>
        <w:t xml:space="preserve"> r. </w:t>
      </w:r>
      <w:r w:rsidRPr="000A6485">
        <w:rPr>
          <w:rFonts w:ascii="Verdana" w:hAnsi="Verdana" w:cs="Verdana"/>
          <w:b/>
          <w:sz w:val="16"/>
          <w:szCs w:val="16"/>
        </w:rPr>
        <w:t>1</w:t>
      </w:r>
      <w:r>
        <w:rPr>
          <w:rFonts w:ascii="Verdana" w:hAnsi="Verdana" w:cs="Verdana"/>
          <w:b/>
          <w:sz w:val="16"/>
          <w:szCs w:val="16"/>
        </w:rPr>
        <w:t>2</w:t>
      </w:r>
      <w:r w:rsidRPr="000A6485">
        <w:rPr>
          <w:rFonts w:ascii="Verdana" w:hAnsi="Verdana" w:cs="Verdana"/>
          <w:b/>
          <w:sz w:val="16"/>
          <w:szCs w:val="16"/>
        </w:rPr>
        <w:t>,</w:t>
      </w:r>
      <w:r>
        <w:rPr>
          <w:rFonts w:ascii="Verdana" w:hAnsi="Verdana" w:cs="Verdana"/>
          <w:b/>
          <w:sz w:val="16"/>
          <w:szCs w:val="16"/>
        </w:rPr>
        <w:t>25</w:t>
      </w:r>
      <w:r w:rsidRPr="000A6485">
        <w:rPr>
          <w:rFonts w:ascii="Verdana" w:hAnsi="Verdana" w:cs="Verdana"/>
          <w:b/>
          <w:sz w:val="16"/>
          <w:szCs w:val="16"/>
        </w:rPr>
        <w:t>%</w:t>
      </w:r>
      <w:r w:rsidRPr="000A6485">
        <w:rPr>
          <w:rFonts w:ascii="Verdana" w:hAnsi="Verdana" w:cs="Verdana"/>
          <w:sz w:val="16"/>
          <w:szCs w:val="16"/>
        </w:rPr>
        <w:t xml:space="preserve"> wobec poziomu </w:t>
      </w:r>
      <w:r w:rsidRPr="000A6485">
        <w:rPr>
          <w:rFonts w:ascii="Verdana" w:hAnsi="Verdana" w:cs="Verdana"/>
          <w:b/>
          <w:sz w:val="16"/>
          <w:szCs w:val="16"/>
        </w:rPr>
        <w:t>11,</w:t>
      </w:r>
      <w:r>
        <w:rPr>
          <w:rFonts w:ascii="Verdana" w:hAnsi="Verdana" w:cs="Verdana"/>
          <w:b/>
          <w:sz w:val="16"/>
          <w:szCs w:val="16"/>
        </w:rPr>
        <w:t>58</w:t>
      </w:r>
      <w:r w:rsidRPr="000A6485">
        <w:rPr>
          <w:rFonts w:ascii="Verdana" w:hAnsi="Verdana" w:cs="Verdana"/>
          <w:b/>
          <w:sz w:val="16"/>
          <w:szCs w:val="16"/>
        </w:rPr>
        <w:t>%</w:t>
      </w:r>
      <w:r>
        <w:rPr>
          <w:rFonts w:ascii="Verdana" w:hAnsi="Verdana" w:cs="Verdana"/>
          <w:sz w:val="16"/>
          <w:szCs w:val="16"/>
        </w:rPr>
        <w:t xml:space="preserve"> w 2023</w:t>
      </w:r>
      <w:r w:rsidRPr="000A6485">
        <w:rPr>
          <w:rFonts w:ascii="Verdana" w:hAnsi="Verdana" w:cs="Verdana"/>
          <w:sz w:val="16"/>
          <w:szCs w:val="16"/>
        </w:rPr>
        <w:t xml:space="preserve"> r.</w:t>
      </w:r>
      <w:r>
        <w:rPr>
          <w:rFonts w:ascii="Verdana" w:hAnsi="Verdana" w:cs="Verdana"/>
          <w:sz w:val="16"/>
          <w:szCs w:val="16"/>
        </w:rPr>
        <w:t xml:space="preserve"> Udział ten został wyliczony wg zasad określonych w  ustawie</w:t>
      </w:r>
      <w:r w:rsidRPr="009232EB">
        <w:rPr>
          <w:rFonts w:ascii="Verdana" w:hAnsi="Verdana" w:cs="Verdana"/>
          <w:sz w:val="16"/>
          <w:szCs w:val="16"/>
        </w:rPr>
        <w:t xml:space="preserve"> o dochodach jed</w:t>
      </w:r>
      <w:r>
        <w:rPr>
          <w:rFonts w:ascii="Verdana" w:hAnsi="Verdana" w:cs="Verdana"/>
          <w:sz w:val="16"/>
          <w:szCs w:val="16"/>
        </w:rPr>
        <w:t>nostek samorządu terytorialnego. Udział na 2024</w:t>
      </w:r>
      <w:r w:rsidRPr="009232EB">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2</w:t>
      </w:r>
      <w:r w:rsidRPr="009232EB">
        <w:rPr>
          <w:rFonts w:ascii="Verdana" w:hAnsi="Verdana" w:cs="Verdana"/>
          <w:sz w:val="16"/>
          <w:szCs w:val="16"/>
        </w:rPr>
        <w:t>, rok 20</w:t>
      </w:r>
      <w:r>
        <w:rPr>
          <w:rFonts w:ascii="Verdana" w:hAnsi="Verdana" w:cs="Verdana"/>
          <w:sz w:val="16"/>
          <w:szCs w:val="16"/>
        </w:rPr>
        <w:t>21</w:t>
      </w:r>
      <w:r w:rsidRPr="009232EB">
        <w:rPr>
          <w:rFonts w:ascii="Verdana" w:hAnsi="Verdana" w:cs="Verdana"/>
          <w:sz w:val="16"/>
          <w:szCs w:val="16"/>
        </w:rPr>
        <w:t xml:space="preserve"> i rok 20</w:t>
      </w:r>
      <w:r>
        <w:rPr>
          <w:rFonts w:ascii="Verdana" w:hAnsi="Verdana" w:cs="Verdana"/>
          <w:sz w:val="16"/>
          <w:szCs w:val="16"/>
        </w:rPr>
        <w:t>20</w:t>
      </w:r>
      <w:r w:rsidRPr="009232EB">
        <w:rPr>
          <w:rFonts w:ascii="Verdana" w:hAnsi="Verdana" w:cs="Verdana"/>
          <w:sz w:val="16"/>
          <w:szCs w:val="16"/>
        </w:rPr>
        <w:t>, odpowiednio z wagami 0,5, 0,33 i 0,17.</w:t>
      </w:r>
    </w:p>
    <w:p w:rsidR="00CA374E" w:rsidRDefault="00CA374E" w:rsidP="00CA374E">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PI</w:t>
      </w:r>
      <w:r w:rsidRPr="00A4416D">
        <w:rPr>
          <w:rFonts w:ascii="Verdana" w:hAnsi="Verdana"/>
          <w:sz w:val="16"/>
          <w:szCs w:val="16"/>
        </w:rPr>
        <w:t>T zostały przyjęte na poziomie oszacowanym przez Ministerstwo Finansów dla 202</w:t>
      </w:r>
      <w:r>
        <w:rPr>
          <w:rFonts w:ascii="Verdana" w:hAnsi="Verdana"/>
          <w:sz w:val="16"/>
          <w:szCs w:val="16"/>
        </w:rPr>
        <w:t>4</w:t>
      </w:r>
      <w:r w:rsidRPr="00A4416D">
        <w:rPr>
          <w:rFonts w:ascii="Verdana" w:hAnsi="Verdana"/>
          <w:sz w:val="16"/>
          <w:szCs w:val="16"/>
        </w:rPr>
        <w:t xml:space="preserve"> r.</w:t>
      </w:r>
    </w:p>
    <w:p w:rsidR="00CA374E" w:rsidRDefault="00CA374E" w:rsidP="00CA374E">
      <w:pPr>
        <w:spacing w:before="60" w:after="60"/>
        <w:jc w:val="both"/>
        <w:rPr>
          <w:rFonts w:ascii="Verdana" w:hAnsi="Verdana" w:cs="Arial"/>
          <w:sz w:val="16"/>
          <w:szCs w:val="16"/>
        </w:rPr>
      </w:pPr>
      <w:r>
        <w:rPr>
          <w:rFonts w:ascii="Verdana" w:hAnsi="Verdana" w:cs="Verdana"/>
          <w:sz w:val="16"/>
          <w:szCs w:val="16"/>
        </w:rPr>
        <w:t>U</w:t>
      </w:r>
      <w:r w:rsidRPr="009232EB">
        <w:rPr>
          <w:rFonts w:ascii="Verdana" w:hAnsi="Verdana" w:cs="Verdana"/>
          <w:sz w:val="16"/>
          <w:szCs w:val="16"/>
        </w:rPr>
        <w:t>staw</w:t>
      </w:r>
      <w:r>
        <w:rPr>
          <w:rFonts w:ascii="Verdana" w:hAnsi="Verdana" w:cs="Verdana"/>
          <w:sz w:val="16"/>
          <w:szCs w:val="16"/>
        </w:rPr>
        <w:t>a</w:t>
      </w:r>
      <w:r w:rsidRPr="009232EB">
        <w:rPr>
          <w:rFonts w:ascii="Verdana" w:hAnsi="Verdana" w:cs="Verdana"/>
          <w:sz w:val="16"/>
          <w:szCs w:val="16"/>
        </w:rPr>
        <w:t xml:space="preserve"> o dochodach jedn</w:t>
      </w:r>
      <w:r>
        <w:rPr>
          <w:rFonts w:ascii="Verdana" w:hAnsi="Verdana" w:cs="Verdana"/>
          <w:sz w:val="16"/>
          <w:szCs w:val="16"/>
        </w:rPr>
        <w:t xml:space="preserve">ostek samorządu terytorialnego, w przypadku gdyby </w:t>
      </w:r>
      <w:r w:rsidRPr="00A14FD5">
        <w:rPr>
          <w:rFonts w:ascii="Verdana" w:hAnsi="Verdana" w:cs="Verdana"/>
          <w:sz w:val="16"/>
          <w:szCs w:val="16"/>
        </w:rPr>
        <w:t xml:space="preserve">wykonana ogólna kwota wpływów z PIT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zmniej</w:t>
      </w:r>
      <w:r>
        <w:rPr>
          <w:rFonts w:ascii="Verdana" w:hAnsi="Verdana" w:cs="Verdana"/>
          <w:sz w:val="16"/>
          <w:szCs w:val="16"/>
        </w:rPr>
        <w:t>szenie planowanych dochodów z </w:t>
      </w:r>
      <w:r w:rsidRPr="00A14FD5">
        <w:rPr>
          <w:rFonts w:ascii="Verdana" w:hAnsi="Verdana" w:cs="Verdana"/>
          <w:sz w:val="16"/>
          <w:szCs w:val="16"/>
        </w:rPr>
        <w:t>tego tytułu o równowartość różnicy między kwotą prognozowaną a wykonaną.</w:t>
      </w:r>
      <w:r w:rsidRPr="005068F0">
        <w:rPr>
          <w:rFonts w:ascii="Verdana" w:hAnsi="Verdana" w:cs="Arial"/>
          <w:sz w:val="16"/>
          <w:szCs w:val="16"/>
        </w:rPr>
        <w:t xml:space="preserve"> </w:t>
      </w:r>
      <w:r>
        <w:rPr>
          <w:rFonts w:ascii="Verdana" w:hAnsi="Verdana" w:cs="Arial"/>
          <w:sz w:val="16"/>
          <w:szCs w:val="16"/>
        </w:rPr>
        <w:t>Pierwszym rokiem, w którym przepisy te będą miały zastosowanie jest rok 2024.</w:t>
      </w:r>
    </w:p>
    <w:p w:rsidR="00CA374E" w:rsidRPr="00907584" w:rsidRDefault="00CA374E" w:rsidP="00CA374E">
      <w:pPr>
        <w:autoSpaceDE w:val="0"/>
        <w:autoSpaceDN w:val="0"/>
        <w:adjustRightInd w:val="0"/>
        <w:spacing w:before="60" w:after="60"/>
        <w:jc w:val="both"/>
        <w:rPr>
          <w:rFonts w:ascii="Verdana" w:hAnsi="Verdana" w:cs="Verdana"/>
          <w:sz w:val="16"/>
          <w:szCs w:val="16"/>
          <w:lang w:eastAsia="ko-KR"/>
        </w:rPr>
      </w:pPr>
      <w:r>
        <w:rPr>
          <w:rFonts w:ascii="Verdana" w:hAnsi="Verdana" w:cs="Verdana"/>
          <w:sz w:val="16"/>
          <w:szCs w:val="16"/>
          <w:lang w:eastAsia="ko-KR"/>
        </w:rPr>
        <w:lastRenderedPageBreak/>
        <w:t>W</w:t>
      </w:r>
      <w:r w:rsidRPr="000004A3">
        <w:rPr>
          <w:rFonts w:ascii="Verdana" w:hAnsi="Verdana" w:cs="Verdana"/>
          <w:sz w:val="16"/>
          <w:szCs w:val="16"/>
          <w:lang w:eastAsia="ko-KR"/>
        </w:rPr>
        <w:t xml:space="preserve">ykonana ogólna kwota wpływów z </w:t>
      </w:r>
      <w:r>
        <w:rPr>
          <w:rFonts w:ascii="Verdana" w:hAnsi="Verdana" w:cs="Verdana"/>
          <w:sz w:val="16"/>
          <w:szCs w:val="16"/>
          <w:lang w:eastAsia="ko-KR"/>
        </w:rPr>
        <w:t>PIT była wyższa</w:t>
      </w:r>
      <w:r w:rsidRPr="000004A3">
        <w:rPr>
          <w:rFonts w:ascii="Verdana" w:hAnsi="Verdana" w:cs="Verdana"/>
          <w:sz w:val="16"/>
          <w:szCs w:val="16"/>
          <w:lang w:eastAsia="ko-KR"/>
        </w:rPr>
        <w:t xml:space="preserve"> od prognozowanej</w:t>
      </w:r>
      <w:r>
        <w:rPr>
          <w:rFonts w:ascii="Verdana" w:hAnsi="Verdana" w:cs="Verdana"/>
          <w:sz w:val="16"/>
          <w:szCs w:val="16"/>
          <w:lang w:eastAsia="ko-KR"/>
        </w:rPr>
        <w:t xml:space="preserve"> i przekazanej w 2022 r. Zgodnie z informacją ujętą w ww. pismach MF z </w:t>
      </w:r>
      <w:r w:rsidRPr="00907584">
        <w:rPr>
          <w:rFonts w:ascii="Verdana" w:hAnsi="Verdana" w:cs="Verdana"/>
          <w:sz w:val="16"/>
          <w:szCs w:val="16"/>
          <w:lang w:eastAsia="ko-KR"/>
        </w:rPr>
        <w:t>1</w:t>
      </w:r>
      <w:r>
        <w:rPr>
          <w:rFonts w:ascii="Verdana" w:hAnsi="Verdana" w:cs="Verdana"/>
          <w:sz w:val="16"/>
          <w:szCs w:val="16"/>
          <w:lang w:eastAsia="ko-KR"/>
        </w:rPr>
        <w:t>3 października 2023</w:t>
      </w:r>
      <w:r w:rsidRPr="00907584">
        <w:rPr>
          <w:rFonts w:ascii="Verdana" w:hAnsi="Verdana" w:cs="Verdana"/>
          <w:sz w:val="16"/>
          <w:szCs w:val="16"/>
          <w:lang w:eastAsia="ko-KR"/>
        </w:rPr>
        <w:t xml:space="preserve"> r</w:t>
      </w:r>
      <w:r>
        <w:rPr>
          <w:rFonts w:ascii="Verdana" w:hAnsi="Verdana" w:cs="Verdana"/>
          <w:sz w:val="16"/>
          <w:szCs w:val="16"/>
          <w:lang w:eastAsia="ko-KR"/>
        </w:rPr>
        <w:t xml:space="preserve">. </w:t>
      </w:r>
      <w:r w:rsidRPr="000004A3">
        <w:rPr>
          <w:rFonts w:ascii="Verdana" w:hAnsi="Verdana" w:cs="Verdana"/>
          <w:sz w:val="16"/>
          <w:szCs w:val="16"/>
          <w:lang w:eastAsia="ko-KR"/>
        </w:rPr>
        <w:t xml:space="preserve">w prognozie dochodów z </w:t>
      </w:r>
      <w:r>
        <w:rPr>
          <w:rFonts w:ascii="Verdana" w:hAnsi="Verdana" w:cs="Verdana"/>
          <w:sz w:val="16"/>
          <w:szCs w:val="16"/>
          <w:lang w:eastAsia="ko-KR"/>
        </w:rPr>
        <w:t>P</w:t>
      </w:r>
      <w:r w:rsidRPr="000004A3">
        <w:rPr>
          <w:rFonts w:ascii="Verdana" w:hAnsi="Verdana" w:cs="Verdana"/>
          <w:sz w:val="16"/>
          <w:szCs w:val="16"/>
          <w:lang w:eastAsia="ko-KR"/>
        </w:rPr>
        <w:t xml:space="preserve">IT </w:t>
      </w:r>
      <w:r>
        <w:rPr>
          <w:rFonts w:ascii="Verdana" w:hAnsi="Verdana" w:cs="Verdana"/>
          <w:sz w:val="16"/>
          <w:szCs w:val="16"/>
          <w:lang w:eastAsia="ko-KR"/>
        </w:rPr>
        <w:t xml:space="preserve">na 2024 r. </w:t>
      </w:r>
      <w:r w:rsidRPr="000004A3">
        <w:rPr>
          <w:rFonts w:ascii="Verdana" w:hAnsi="Verdana" w:cs="Verdana"/>
          <w:sz w:val="16"/>
          <w:szCs w:val="16"/>
          <w:lang w:eastAsia="ko-KR"/>
        </w:rPr>
        <w:t xml:space="preserve">uwzględniono korektę </w:t>
      </w:r>
      <w:r>
        <w:rPr>
          <w:rFonts w:ascii="Verdana" w:hAnsi="Verdana" w:cs="Verdana"/>
          <w:sz w:val="16"/>
          <w:szCs w:val="16"/>
          <w:lang w:eastAsia="ko-KR"/>
        </w:rPr>
        <w:t xml:space="preserve">dochodów z PIT </w:t>
      </w:r>
      <w:r w:rsidRPr="000004A3">
        <w:rPr>
          <w:rFonts w:ascii="Verdana" w:hAnsi="Verdana" w:cs="Verdana"/>
          <w:sz w:val="16"/>
          <w:szCs w:val="16"/>
          <w:lang w:eastAsia="ko-KR"/>
        </w:rPr>
        <w:t xml:space="preserve">in </w:t>
      </w:r>
      <w:r>
        <w:rPr>
          <w:rFonts w:ascii="Verdana" w:hAnsi="Verdana" w:cs="Verdana"/>
          <w:sz w:val="16"/>
          <w:szCs w:val="16"/>
          <w:lang w:eastAsia="ko-KR"/>
        </w:rPr>
        <w:t>plus</w:t>
      </w:r>
      <w:r w:rsidRPr="000004A3">
        <w:rPr>
          <w:rFonts w:ascii="Verdana" w:hAnsi="Verdana" w:cs="Verdana"/>
          <w:sz w:val="16"/>
          <w:szCs w:val="16"/>
          <w:lang w:eastAsia="ko-KR"/>
        </w:rPr>
        <w:t xml:space="preserve"> w wysokości </w:t>
      </w:r>
      <w:r w:rsidRPr="00812566">
        <w:rPr>
          <w:rFonts w:ascii="Verdana" w:hAnsi="Verdana" w:cs="Verdana"/>
          <w:b/>
          <w:sz w:val="16"/>
          <w:szCs w:val="16"/>
          <w:lang w:eastAsia="ko-KR"/>
        </w:rPr>
        <w:t>175</w:t>
      </w:r>
      <w:r w:rsidRPr="008E32B6">
        <w:rPr>
          <w:rFonts w:ascii="Verdana" w:hAnsi="Verdana" w:cs="Verdana"/>
          <w:b/>
          <w:sz w:val="16"/>
          <w:szCs w:val="16"/>
          <w:lang w:eastAsia="ko-KR"/>
        </w:rPr>
        <w:t xml:space="preserve"> mln zł</w:t>
      </w:r>
      <w:r w:rsidRPr="000004A3">
        <w:rPr>
          <w:rFonts w:ascii="Verdana" w:hAnsi="Verdana" w:cs="Verdana"/>
          <w:sz w:val="16"/>
          <w:szCs w:val="16"/>
          <w:lang w:eastAsia="ko-KR"/>
        </w:rPr>
        <w:t>.</w:t>
      </w:r>
    </w:p>
    <w:p w:rsidR="00CA374E" w:rsidRDefault="00CA374E" w:rsidP="00CA374E">
      <w:pPr>
        <w:spacing w:before="60" w:after="60"/>
        <w:jc w:val="both"/>
        <w:rPr>
          <w:rFonts w:ascii="Verdana" w:hAnsi="Verdana" w:cs="Verdana"/>
          <w:sz w:val="16"/>
          <w:szCs w:val="16"/>
        </w:rPr>
      </w:pPr>
      <w:r w:rsidRPr="00BC3D02">
        <w:rPr>
          <w:rFonts w:ascii="Verdana" w:hAnsi="Verdana" w:cs="Verdana"/>
          <w:sz w:val="16"/>
          <w:szCs w:val="16"/>
        </w:rPr>
        <w:t>Biorąc pod uwagę przewidywane wykonanie dochodów z PIT ujętych w projekcie budżetu państwa</w:t>
      </w:r>
      <w:r>
        <w:rPr>
          <w:rFonts w:ascii="Verdana" w:hAnsi="Verdana" w:cs="Verdana"/>
          <w:sz w:val="16"/>
          <w:szCs w:val="16"/>
        </w:rPr>
        <w:t xml:space="preserve"> na 2024 r.,</w:t>
      </w:r>
      <w:r w:rsidRPr="00BC3D02">
        <w:rPr>
          <w:rFonts w:ascii="Verdana" w:hAnsi="Verdana" w:cs="Verdana"/>
          <w:sz w:val="16"/>
          <w:szCs w:val="16"/>
        </w:rPr>
        <w:t xml:space="preserve"> </w:t>
      </w:r>
      <w:r>
        <w:rPr>
          <w:rFonts w:ascii="Verdana" w:hAnsi="Verdana" w:cs="Verdana"/>
          <w:sz w:val="16"/>
          <w:szCs w:val="16"/>
        </w:rPr>
        <w:t xml:space="preserve">w prognozie dochodów z PIT uwzględniono spodziewaną </w:t>
      </w:r>
      <w:r w:rsidRPr="00BC3D02">
        <w:rPr>
          <w:rFonts w:ascii="Verdana" w:hAnsi="Verdana" w:cs="Verdana"/>
          <w:sz w:val="16"/>
          <w:szCs w:val="16"/>
        </w:rPr>
        <w:t>korektę</w:t>
      </w:r>
      <w:r>
        <w:rPr>
          <w:rFonts w:ascii="Verdana" w:hAnsi="Verdana" w:cs="Verdana"/>
          <w:sz w:val="16"/>
          <w:szCs w:val="16"/>
        </w:rPr>
        <w:t xml:space="preserve"> rozliczeniową </w:t>
      </w:r>
      <w:r w:rsidRPr="00BC3D02">
        <w:rPr>
          <w:rFonts w:ascii="Verdana" w:hAnsi="Verdana" w:cs="Verdana"/>
          <w:sz w:val="16"/>
          <w:szCs w:val="16"/>
        </w:rPr>
        <w:t xml:space="preserve">dochodów z PIT </w:t>
      </w:r>
      <w:r>
        <w:rPr>
          <w:rFonts w:ascii="Verdana" w:hAnsi="Verdana" w:cs="Verdana"/>
          <w:sz w:val="16"/>
          <w:szCs w:val="16"/>
        </w:rPr>
        <w:t xml:space="preserve">in plus w wysokości </w:t>
      </w:r>
      <w:r>
        <w:rPr>
          <w:rFonts w:ascii="Verdana" w:hAnsi="Verdana" w:cs="Verdana"/>
          <w:b/>
          <w:sz w:val="16"/>
          <w:szCs w:val="16"/>
        </w:rPr>
        <w:t>200 mln </w:t>
      </w:r>
      <w:r w:rsidRPr="00183589">
        <w:rPr>
          <w:rFonts w:ascii="Verdana" w:hAnsi="Verdana" w:cs="Verdana"/>
          <w:b/>
          <w:sz w:val="16"/>
          <w:szCs w:val="16"/>
        </w:rPr>
        <w:t>zł</w:t>
      </w:r>
      <w:r>
        <w:rPr>
          <w:rFonts w:ascii="Verdana" w:hAnsi="Verdana" w:cs="Verdana"/>
          <w:sz w:val="16"/>
          <w:szCs w:val="16"/>
        </w:rPr>
        <w:t>, ze skutkiem dla 2025 r.</w:t>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t>7.2.3.2 Prognoza dochodów z podatku dochodowego od osób prawnych CIT</w:t>
      </w:r>
    </w:p>
    <w:p w:rsidR="00CA374E" w:rsidRPr="000A6485" w:rsidRDefault="00CA374E" w:rsidP="00CA374E">
      <w:pPr>
        <w:tabs>
          <w:tab w:val="left" w:pos="0"/>
        </w:tabs>
        <w:spacing w:before="120" w:after="120"/>
        <w:ind w:firstLine="567"/>
        <w:jc w:val="both"/>
        <w:rPr>
          <w:rFonts w:ascii="Verdana" w:hAnsi="Verdana"/>
          <w:sz w:val="16"/>
          <w:szCs w:val="16"/>
        </w:rPr>
      </w:pPr>
      <w:r w:rsidRPr="000A6485">
        <w:rPr>
          <w:rFonts w:ascii="Verdana" w:hAnsi="Verdana"/>
          <w:sz w:val="16"/>
          <w:szCs w:val="16"/>
        </w:rPr>
        <w:t xml:space="preserve">Wykres nr </w:t>
      </w:r>
      <w:r>
        <w:rPr>
          <w:rFonts w:ascii="Verdana" w:hAnsi="Verdana"/>
          <w:sz w:val="16"/>
          <w:szCs w:val="16"/>
        </w:rPr>
        <w:t>21</w:t>
      </w:r>
      <w:r w:rsidRPr="000A6485">
        <w:rPr>
          <w:rFonts w:ascii="Verdana" w:hAnsi="Verdana"/>
          <w:sz w:val="16"/>
          <w:szCs w:val="16"/>
        </w:rPr>
        <w:t xml:space="preserve"> prezentuje prognozowane dochody z udziału w CIT w poszczególnych latach objętych Prognozą.</w: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w:t>
      </w:r>
      <w:r>
        <w:rPr>
          <w:rFonts w:ascii="Verdana" w:hAnsi="Verdana" w:cs="Arial"/>
          <w:b/>
          <w:bCs/>
          <w:sz w:val="14"/>
          <w:szCs w:val="14"/>
        </w:rPr>
        <w:t xml:space="preserve"> CIT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AF0B51" w:rsidP="00CA374E">
      <w:pPr>
        <w:spacing w:before="120" w:after="120"/>
        <w:jc w:val="both"/>
        <w:rPr>
          <w:rFonts w:ascii="Verdana" w:hAnsi="Verdana"/>
          <w:b/>
          <w:bCs/>
          <w:noProof/>
          <w:sz w:val="20"/>
          <w:szCs w:val="20"/>
        </w:rPr>
      </w:pPr>
      <w:r>
        <w:rPr>
          <w:rFonts w:ascii="Verdana" w:hAnsi="Verdana"/>
          <w:b/>
          <w:bCs/>
          <w:noProof/>
          <w:sz w:val="20"/>
          <w:szCs w:val="20"/>
        </w:rPr>
        <w:pict>
          <v:shape id="_x0000_i1042" type="#_x0000_t75" style="width:453.6pt;height:193.5pt">
            <v:imagedata r:id="rId35" o:title=""/>
          </v:shape>
        </w:pict>
      </w:r>
    </w:p>
    <w:p w:rsidR="00CA374E" w:rsidRDefault="00CA374E" w:rsidP="00CA374E">
      <w:pPr>
        <w:spacing w:before="60" w:after="60"/>
        <w:ind w:firstLine="540"/>
        <w:jc w:val="both"/>
        <w:rPr>
          <w:rFonts w:ascii="Verdana" w:hAnsi="Verdana"/>
          <w:sz w:val="16"/>
          <w:szCs w:val="16"/>
        </w:rPr>
      </w:pPr>
      <w:r w:rsidRPr="000A6485">
        <w:rPr>
          <w:rFonts w:ascii="Verdana" w:hAnsi="Verdana"/>
          <w:sz w:val="16"/>
          <w:szCs w:val="16"/>
        </w:rPr>
        <w:t>Prognozuje się, że wpływy m.st. Warszawy z CIT w okresie pierwszych pięciu lat prognozy tj. od 202</w:t>
      </w:r>
      <w:r>
        <w:rPr>
          <w:rFonts w:ascii="Verdana" w:hAnsi="Verdana"/>
          <w:sz w:val="16"/>
          <w:szCs w:val="16"/>
        </w:rPr>
        <w:t>4</w:t>
      </w:r>
      <w:r w:rsidRPr="000A6485">
        <w:rPr>
          <w:rFonts w:ascii="Verdana" w:hAnsi="Verdana"/>
          <w:sz w:val="16"/>
          <w:szCs w:val="16"/>
        </w:rPr>
        <w:t xml:space="preserve"> </w:t>
      </w:r>
      <w:r w:rsidRPr="000A6485">
        <w:rPr>
          <w:rFonts w:ascii="Verdana" w:hAnsi="Verdana"/>
          <w:sz w:val="16"/>
          <w:szCs w:val="16"/>
        </w:rPr>
        <w:br/>
        <w:t>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13,5</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10,4</w:t>
      </w:r>
      <w:r w:rsidRPr="000A6485">
        <w:rPr>
          <w:rFonts w:ascii="Verdana" w:hAnsi="Verdana"/>
          <w:b/>
          <w:sz w:val="16"/>
          <w:szCs w:val="16"/>
        </w:rPr>
        <w:t>%</w:t>
      </w:r>
      <w:r w:rsidRPr="000A6485">
        <w:rPr>
          <w:rFonts w:ascii="Verdana" w:hAnsi="Verdana"/>
          <w:sz w:val="16"/>
          <w:szCs w:val="16"/>
        </w:rPr>
        <w:t xml:space="preserve"> planowanych do realizacji w tym okresie dochodów ogółem.</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22</w:t>
      </w:r>
      <w:r w:rsidRPr="000A6485">
        <w:rPr>
          <w:rFonts w:ascii="Verdana" w:hAnsi="Verdana"/>
          <w:sz w:val="16"/>
          <w:szCs w:val="16"/>
        </w:rPr>
        <w:t xml:space="preserve"> prezentuje procentową zmianę rok do roku wysokości dochodów z udziału w CIT </w:t>
      </w:r>
      <w:r w:rsidRPr="000A6485">
        <w:rPr>
          <w:rFonts w:ascii="Verdana" w:hAnsi="Verdana"/>
          <w:sz w:val="16"/>
          <w:szCs w:val="16"/>
        </w:rPr>
        <w:br/>
        <w:t>w poszczególnych latach objętych Prognozą.</w:t>
      </w:r>
    </w:p>
    <w:p w:rsidR="00CA374E" w:rsidRPr="000A6485" w:rsidRDefault="00CA374E" w:rsidP="00CA374E">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22</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CIT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spacing w:before="120" w:after="120"/>
        <w:jc w:val="both"/>
        <w:rPr>
          <w:rFonts w:ascii="Verdana" w:hAnsi="Verdana"/>
          <w:sz w:val="18"/>
          <w:szCs w:val="18"/>
        </w:rPr>
      </w:pPr>
      <w:r>
        <w:rPr>
          <w:rFonts w:ascii="Verdana" w:hAnsi="Verdana"/>
          <w:noProof/>
          <w:sz w:val="18"/>
          <w:szCs w:val="18"/>
        </w:rPr>
        <w:pict>
          <v:shape id="_x0000_i1043" type="#_x0000_t75" style="width:451.5pt;height:193.5pt">
            <v:imagedata r:id="rId36" o:title=""/>
          </v:shape>
        </w:pic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lastRenderedPageBreak/>
        <w:t xml:space="preserve">Wieloletnia Prognoza Finansowa na lata 2024-2050 w zakresie wpływów z </w:t>
      </w:r>
      <w:r w:rsidRPr="00EC2B78">
        <w:rPr>
          <w:rFonts w:ascii="Verdana" w:hAnsi="Verdana" w:cs="Verdana"/>
          <w:sz w:val="16"/>
          <w:szCs w:val="16"/>
          <w:lang w:eastAsia="ko-KR"/>
        </w:rPr>
        <w:t xml:space="preserve">podatku dochodowego od osób </w:t>
      </w:r>
      <w:r>
        <w:rPr>
          <w:rFonts w:ascii="Verdana" w:hAnsi="Verdana" w:cs="Verdana"/>
          <w:sz w:val="16"/>
          <w:szCs w:val="16"/>
          <w:lang w:eastAsia="ko-KR"/>
        </w:rPr>
        <w:t>prawnych C</w:t>
      </w:r>
      <w:r w:rsidRPr="00EC2B78">
        <w:rPr>
          <w:rFonts w:ascii="Verdana" w:hAnsi="Verdana" w:cs="Verdana"/>
          <w:sz w:val="16"/>
          <w:szCs w:val="16"/>
          <w:lang w:eastAsia="ko-KR"/>
        </w:rPr>
        <w:t>IT</w:t>
      </w:r>
      <w:r>
        <w:rPr>
          <w:rFonts w:ascii="Verdana" w:hAnsi="Verdana" w:cs="Verdana"/>
          <w:sz w:val="16"/>
          <w:szCs w:val="16"/>
          <w:lang w:eastAsia="ko-KR"/>
        </w:rPr>
        <w:t>, analogicznie do prognozy dochodów z PIT, została przygotowana wg zasad ustalania dochodów określonych w ustawie</w:t>
      </w:r>
      <w:r w:rsidRPr="005B7485">
        <w:rPr>
          <w:rFonts w:ascii="Verdana" w:hAnsi="Verdana" w:cs="Verdana"/>
          <w:sz w:val="16"/>
          <w:szCs w:val="16"/>
          <w:lang w:eastAsia="ko-KR"/>
        </w:rPr>
        <w:t xml:space="preserve"> o dochodach jednostek samorządu terytorialnego</w:t>
      </w:r>
      <w:r>
        <w:rPr>
          <w:rFonts w:ascii="Verdana" w:hAnsi="Verdana" w:cs="Verdana"/>
          <w:sz w:val="16"/>
          <w:szCs w:val="16"/>
          <w:lang w:eastAsia="ko-KR"/>
        </w:rPr>
        <w:t>.</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 xml:space="preserve">Ustalanie prognozy dochodów z CIT Miasta na rok budżetowy leży w kompetencjach Ministra Finansów. Ustalona przez MF roczna kwota dochodów będzie przekazywana do budżetu miasta w roku budżetowym w równych </w:t>
      </w:r>
      <w:r>
        <w:rPr>
          <w:rFonts w:ascii="Verdana" w:hAnsi="Verdana" w:cs="Verdana"/>
          <w:sz w:val="16"/>
          <w:szCs w:val="16"/>
          <w:lang w:eastAsia="ko-KR"/>
        </w:rPr>
        <w:br/>
        <w:t>12 miesięcznych ratach.</w:t>
      </w:r>
    </w:p>
    <w:p w:rsidR="00CA374E" w:rsidRDefault="00CA374E" w:rsidP="00CA374E">
      <w:pPr>
        <w:spacing w:before="60" w:after="60"/>
        <w:jc w:val="both"/>
        <w:rPr>
          <w:rFonts w:ascii="Verdana" w:hAnsi="Verdana"/>
          <w:sz w:val="16"/>
          <w:szCs w:val="16"/>
        </w:rPr>
      </w:pPr>
      <w:r w:rsidRPr="000A6485">
        <w:rPr>
          <w:rFonts w:ascii="Verdana" w:hAnsi="Verdana"/>
          <w:sz w:val="16"/>
          <w:szCs w:val="16"/>
        </w:rPr>
        <w:t xml:space="preserve">Dochody z CIT są drugim obok wpływów z PIT źródłem dochodów pochodzących z udziałów w podatkach stanowiących dochód budżetu państwa. W wyniku pogorszenia się koniunktury gospodarczej nastąpił znaczący spadek wpływów z CIT z poziomu </w:t>
      </w:r>
      <w:r w:rsidRPr="000A6485">
        <w:rPr>
          <w:rFonts w:ascii="Verdana" w:hAnsi="Verdana"/>
          <w:b/>
          <w:sz w:val="16"/>
          <w:szCs w:val="16"/>
        </w:rPr>
        <w:t>811 mln zł</w:t>
      </w:r>
      <w:r w:rsidRPr="000A6485">
        <w:rPr>
          <w:rFonts w:ascii="Verdana" w:hAnsi="Verdana"/>
          <w:sz w:val="16"/>
          <w:szCs w:val="16"/>
        </w:rPr>
        <w:t xml:space="preserve"> w 2008 r. do </w:t>
      </w:r>
      <w:r w:rsidRPr="000A6485">
        <w:rPr>
          <w:rFonts w:ascii="Verdana" w:hAnsi="Verdana"/>
          <w:b/>
          <w:sz w:val="16"/>
          <w:szCs w:val="16"/>
        </w:rPr>
        <w:t>535 mln zł</w:t>
      </w:r>
      <w:r w:rsidRPr="000A6485">
        <w:rPr>
          <w:rFonts w:ascii="Verdana" w:hAnsi="Verdana"/>
          <w:sz w:val="16"/>
          <w:szCs w:val="16"/>
        </w:rPr>
        <w:t xml:space="preserve"> w 2010 r. Po odnotowaniu wzrostu </w:t>
      </w:r>
      <w:r w:rsidRPr="000A6485">
        <w:rPr>
          <w:rFonts w:ascii="Verdana" w:hAnsi="Verdana"/>
          <w:sz w:val="16"/>
          <w:szCs w:val="16"/>
        </w:rPr>
        <w:br/>
        <w:t>w 2011 r. (</w:t>
      </w:r>
      <w:r w:rsidRPr="000A6485">
        <w:rPr>
          <w:rFonts w:ascii="Verdana" w:hAnsi="Verdana"/>
          <w:b/>
          <w:sz w:val="16"/>
          <w:szCs w:val="16"/>
        </w:rPr>
        <w:t>585 mln zł</w:t>
      </w:r>
      <w:r w:rsidRPr="000A6485">
        <w:rPr>
          <w:rFonts w:ascii="Verdana" w:hAnsi="Verdana"/>
          <w:sz w:val="16"/>
          <w:szCs w:val="16"/>
        </w:rPr>
        <w:t xml:space="preserve">) w następnych trzech latach, tj. 2012-2014, obserwowano spadek wpływów </w:t>
      </w:r>
      <w:r w:rsidRPr="000A6485">
        <w:rPr>
          <w:rFonts w:ascii="Verdana" w:hAnsi="Verdana"/>
          <w:sz w:val="16"/>
          <w:szCs w:val="16"/>
        </w:rPr>
        <w:br/>
        <w:t xml:space="preserve">(do poziomu odpowiednio </w:t>
      </w:r>
      <w:r w:rsidRPr="000A6485">
        <w:rPr>
          <w:rFonts w:ascii="Verdana" w:hAnsi="Verdana"/>
          <w:b/>
          <w:sz w:val="16"/>
          <w:szCs w:val="16"/>
        </w:rPr>
        <w:t>537</w:t>
      </w:r>
      <w:r w:rsidRPr="000A6485">
        <w:rPr>
          <w:rFonts w:ascii="Verdana" w:hAnsi="Verdana"/>
          <w:sz w:val="16"/>
          <w:szCs w:val="16"/>
        </w:rPr>
        <w:t xml:space="preserve">, </w:t>
      </w:r>
      <w:r w:rsidRPr="000A6485">
        <w:rPr>
          <w:rFonts w:ascii="Verdana" w:hAnsi="Verdana"/>
          <w:b/>
          <w:sz w:val="16"/>
          <w:szCs w:val="16"/>
        </w:rPr>
        <w:t>468</w:t>
      </w:r>
      <w:r w:rsidRPr="000A6485">
        <w:rPr>
          <w:rFonts w:ascii="Verdana" w:hAnsi="Verdana"/>
          <w:sz w:val="16"/>
          <w:szCs w:val="16"/>
        </w:rPr>
        <w:t xml:space="preserve"> i </w:t>
      </w:r>
      <w:r w:rsidRPr="000A6485">
        <w:rPr>
          <w:rFonts w:ascii="Verdana" w:hAnsi="Verdana"/>
          <w:b/>
          <w:sz w:val="16"/>
          <w:szCs w:val="16"/>
        </w:rPr>
        <w:t>524 mln zł</w:t>
      </w:r>
      <w:r w:rsidRPr="000A6485">
        <w:rPr>
          <w:rFonts w:ascii="Verdana" w:hAnsi="Verdana"/>
          <w:sz w:val="16"/>
          <w:szCs w:val="16"/>
        </w:rPr>
        <w:t>). Wzrost dochodów w latach 2015-20</w:t>
      </w:r>
      <w:r>
        <w:rPr>
          <w:rFonts w:ascii="Verdana" w:hAnsi="Verdana"/>
          <w:sz w:val="16"/>
          <w:szCs w:val="16"/>
        </w:rPr>
        <w:t>23</w:t>
      </w:r>
      <w:r w:rsidRPr="000A6485">
        <w:rPr>
          <w:rFonts w:ascii="Verdana" w:hAnsi="Verdana"/>
          <w:sz w:val="16"/>
          <w:szCs w:val="16"/>
        </w:rPr>
        <w:t xml:space="preserve"> do poziomu </w:t>
      </w:r>
      <w:r>
        <w:rPr>
          <w:rFonts w:ascii="Verdana" w:hAnsi="Verdana"/>
          <w:b/>
          <w:sz w:val="16"/>
          <w:szCs w:val="16"/>
        </w:rPr>
        <w:t>1,918 mld zł</w:t>
      </w:r>
      <w:r w:rsidRPr="000A6485">
        <w:rPr>
          <w:rFonts w:ascii="Verdana" w:hAnsi="Verdana"/>
          <w:b/>
          <w:sz w:val="16"/>
          <w:szCs w:val="16"/>
        </w:rPr>
        <w:t xml:space="preserve"> </w:t>
      </w:r>
      <w:r w:rsidRPr="000A6485">
        <w:rPr>
          <w:rFonts w:ascii="Verdana" w:hAnsi="Verdana"/>
          <w:sz w:val="16"/>
          <w:szCs w:val="16"/>
        </w:rPr>
        <w:t xml:space="preserve">oznaczał powrót na ścieżkę </w:t>
      </w:r>
      <w:r>
        <w:rPr>
          <w:rFonts w:ascii="Verdana" w:hAnsi="Verdana"/>
          <w:sz w:val="16"/>
          <w:szCs w:val="16"/>
        </w:rPr>
        <w:t xml:space="preserve">znaczących </w:t>
      </w:r>
      <w:r w:rsidRPr="000A6485">
        <w:rPr>
          <w:rFonts w:ascii="Verdana" w:hAnsi="Verdana"/>
          <w:sz w:val="16"/>
          <w:szCs w:val="16"/>
        </w:rPr>
        <w:t>wzrost</w:t>
      </w:r>
      <w:r>
        <w:rPr>
          <w:rFonts w:ascii="Verdana" w:hAnsi="Verdana"/>
          <w:sz w:val="16"/>
          <w:szCs w:val="16"/>
        </w:rPr>
        <w:t>ów</w:t>
      </w:r>
      <w:r w:rsidRPr="000A6485">
        <w:rPr>
          <w:rFonts w:ascii="Verdana" w:hAnsi="Verdana"/>
          <w:sz w:val="16"/>
          <w:szCs w:val="16"/>
        </w:rPr>
        <w:t xml:space="preserve"> dochodów z tego tytułu. </w:t>
      </w:r>
    </w:p>
    <w:p w:rsidR="00CA374E" w:rsidRDefault="00CA374E" w:rsidP="00CA374E">
      <w:pPr>
        <w:spacing w:before="60" w:after="60"/>
        <w:jc w:val="both"/>
        <w:rPr>
          <w:rFonts w:ascii="Verdana" w:hAnsi="Verdana"/>
          <w:sz w:val="16"/>
          <w:szCs w:val="16"/>
        </w:rPr>
      </w:pPr>
      <w:r>
        <w:rPr>
          <w:rFonts w:ascii="Verdana" w:hAnsi="Verdana"/>
          <w:sz w:val="16"/>
          <w:szCs w:val="16"/>
        </w:rPr>
        <w:t xml:space="preserve">Ministerstwo Finansów prognozuje, </w:t>
      </w:r>
      <w:r w:rsidRPr="000A6485">
        <w:rPr>
          <w:rFonts w:ascii="Verdana" w:hAnsi="Verdana"/>
          <w:sz w:val="16"/>
          <w:szCs w:val="16"/>
        </w:rPr>
        <w:t>że w 202</w:t>
      </w:r>
      <w:r>
        <w:rPr>
          <w:rFonts w:ascii="Verdana" w:hAnsi="Verdana"/>
          <w:sz w:val="16"/>
          <w:szCs w:val="16"/>
        </w:rPr>
        <w:t>4</w:t>
      </w:r>
      <w:r w:rsidRPr="000A6485">
        <w:rPr>
          <w:rFonts w:ascii="Verdana" w:hAnsi="Verdana"/>
          <w:sz w:val="16"/>
          <w:szCs w:val="16"/>
        </w:rPr>
        <w:t xml:space="preserve"> r. dochody z CIT</w:t>
      </w:r>
      <w:r>
        <w:rPr>
          <w:rFonts w:ascii="Verdana" w:hAnsi="Verdana"/>
          <w:sz w:val="16"/>
          <w:szCs w:val="16"/>
        </w:rPr>
        <w:t xml:space="preserve"> odnotują kolejny silny wzrost i wyniosą</w:t>
      </w:r>
      <w:r w:rsidRPr="000A6485">
        <w:rPr>
          <w:rFonts w:ascii="Verdana" w:hAnsi="Verdana"/>
          <w:sz w:val="16"/>
          <w:szCs w:val="16"/>
        </w:rPr>
        <w:t xml:space="preserve"> </w:t>
      </w:r>
      <w:r>
        <w:rPr>
          <w:rFonts w:ascii="Verdana" w:hAnsi="Verdana"/>
          <w:sz w:val="16"/>
          <w:szCs w:val="16"/>
        </w:rPr>
        <w:br/>
      </w:r>
      <w:r>
        <w:rPr>
          <w:rFonts w:ascii="Verdana" w:hAnsi="Verdana"/>
          <w:b/>
          <w:sz w:val="16"/>
          <w:szCs w:val="16"/>
        </w:rPr>
        <w:t>2,595 mld</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Ustalona przez Ministra Finansów na rok budżetowy 2024 prognoza dochodów m.st. Warszawy z CIT uwzględnia dwie składowe:</w:t>
      </w:r>
    </w:p>
    <w:p w:rsidR="00CA374E" w:rsidRDefault="00CA374E" w:rsidP="00CA374E">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k</w:t>
      </w:r>
      <w:r w:rsidRPr="000E72C7">
        <w:rPr>
          <w:rFonts w:ascii="Verdana" w:hAnsi="Verdana" w:cs="Verdana"/>
          <w:sz w:val="16"/>
          <w:szCs w:val="16"/>
          <w:lang w:eastAsia="ko-KR"/>
        </w:rPr>
        <w:t>wot</w:t>
      </w:r>
      <w:r>
        <w:rPr>
          <w:rFonts w:ascii="Verdana" w:hAnsi="Verdana" w:cs="Verdana"/>
          <w:sz w:val="16"/>
          <w:szCs w:val="16"/>
          <w:lang w:eastAsia="ko-KR"/>
        </w:rPr>
        <w:t>ę rocznych</w:t>
      </w:r>
      <w:r w:rsidRPr="000E72C7">
        <w:rPr>
          <w:rFonts w:ascii="Verdana" w:hAnsi="Verdana" w:cs="Verdana"/>
          <w:sz w:val="16"/>
          <w:szCs w:val="16"/>
          <w:lang w:eastAsia="ko-KR"/>
        </w:rPr>
        <w:t xml:space="preserve"> dochodów</w:t>
      </w:r>
      <w:r>
        <w:rPr>
          <w:rFonts w:ascii="Verdana" w:hAnsi="Verdana" w:cs="Verdana"/>
          <w:sz w:val="16"/>
          <w:szCs w:val="16"/>
          <w:lang w:eastAsia="ko-KR"/>
        </w:rPr>
        <w:t xml:space="preserve"> Miasta</w:t>
      </w:r>
      <w:r w:rsidRPr="000E72C7">
        <w:rPr>
          <w:rFonts w:ascii="Verdana" w:hAnsi="Verdana" w:cs="Verdana"/>
          <w:sz w:val="16"/>
          <w:szCs w:val="16"/>
          <w:lang w:eastAsia="ko-KR"/>
        </w:rPr>
        <w:t xml:space="preserve"> </w:t>
      </w:r>
      <w:r>
        <w:rPr>
          <w:rFonts w:ascii="Verdana" w:hAnsi="Verdana" w:cs="Verdana"/>
          <w:sz w:val="16"/>
          <w:szCs w:val="16"/>
          <w:lang w:eastAsia="ko-KR"/>
        </w:rPr>
        <w:t>z tytułu udziału we wpływach z C</w:t>
      </w:r>
      <w:r w:rsidRPr="000E72C7">
        <w:rPr>
          <w:rFonts w:ascii="Verdana" w:hAnsi="Verdana" w:cs="Verdana"/>
          <w:sz w:val="16"/>
          <w:szCs w:val="16"/>
          <w:lang w:eastAsia="ko-KR"/>
        </w:rPr>
        <w:t>IT na 2024 r.</w:t>
      </w:r>
      <w:r>
        <w:rPr>
          <w:rFonts w:ascii="Verdana" w:hAnsi="Verdana" w:cs="Verdana"/>
          <w:sz w:val="16"/>
          <w:szCs w:val="16"/>
          <w:lang w:eastAsia="ko-KR"/>
        </w:rPr>
        <w:t xml:space="preserve"> </w:t>
      </w:r>
      <w:r w:rsidRPr="007209B1">
        <w:rPr>
          <w:rFonts w:ascii="Verdana" w:hAnsi="Verdana" w:cs="Verdana"/>
          <w:b/>
          <w:sz w:val="16"/>
          <w:szCs w:val="16"/>
          <w:lang w:eastAsia="ko-KR"/>
        </w:rPr>
        <w:t xml:space="preserve">– </w:t>
      </w:r>
      <w:r>
        <w:rPr>
          <w:rFonts w:ascii="Verdana" w:hAnsi="Verdana" w:cs="Verdana"/>
          <w:b/>
          <w:sz w:val="16"/>
          <w:szCs w:val="16"/>
          <w:lang w:eastAsia="ko-KR"/>
        </w:rPr>
        <w:t>2,206</w:t>
      </w:r>
      <w:r w:rsidRPr="007209B1">
        <w:rPr>
          <w:rFonts w:ascii="Verdana" w:hAnsi="Verdana" w:cs="Verdana"/>
          <w:b/>
          <w:sz w:val="16"/>
          <w:szCs w:val="16"/>
          <w:lang w:eastAsia="ko-KR"/>
        </w:rPr>
        <w:t xml:space="preserve"> mld zł</w:t>
      </w:r>
      <w:r>
        <w:rPr>
          <w:rFonts w:ascii="Verdana" w:hAnsi="Verdana" w:cs="Verdana"/>
          <w:sz w:val="16"/>
          <w:szCs w:val="16"/>
          <w:lang w:eastAsia="ko-KR"/>
        </w:rPr>
        <w:t>,</w:t>
      </w:r>
    </w:p>
    <w:p w:rsidR="00CA374E" w:rsidRDefault="00CA374E" w:rsidP="00CA374E">
      <w:pPr>
        <w:pStyle w:val="Akapitzlist"/>
        <w:numPr>
          <w:ilvl w:val="0"/>
          <w:numId w:val="65"/>
        </w:numPr>
        <w:spacing w:before="60" w:after="60"/>
        <w:jc w:val="both"/>
        <w:rPr>
          <w:rFonts w:ascii="Verdana" w:hAnsi="Verdana" w:cs="Verdana"/>
          <w:sz w:val="16"/>
          <w:szCs w:val="16"/>
          <w:lang w:eastAsia="ko-KR"/>
        </w:rPr>
      </w:pPr>
      <w:r>
        <w:rPr>
          <w:rFonts w:ascii="Verdana" w:hAnsi="Verdana" w:cs="Verdana"/>
          <w:sz w:val="16"/>
          <w:szCs w:val="16"/>
          <w:lang w:eastAsia="ko-KR"/>
        </w:rPr>
        <w:t xml:space="preserve">kwotę </w:t>
      </w:r>
      <w:r w:rsidRPr="000E72C7">
        <w:rPr>
          <w:rFonts w:ascii="Verdana" w:hAnsi="Verdana" w:cs="Verdana"/>
          <w:sz w:val="16"/>
          <w:szCs w:val="16"/>
          <w:lang w:eastAsia="ko-KR"/>
        </w:rPr>
        <w:t xml:space="preserve">zwiększenia dochodów </w:t>
      </w:r>
      <w:r>
        <w:rPr>
          <w:rFonts w:ascii="Verdana" w:hAnsi="Verdana" w:cs="Verdana"/>
          <w:sz w:val="16"/>
          <w:szCs w:val="16"/>
          <w:lang w:eastAsia="ko-KR"/>
        </w:rPr>
        <w:t>Miasta</w:t>
      </w:r>
      <w:r w:rsidRPr="000E72C7">
        <w:rPr>
          <w:rFonts w:ascii="Verdana" w:hAnsi="Verdana" w:cs="Verdana"/>
          <w:sz w:val="16"/>
          <w:szCs w:val="16"/>
          <w:lang w:eastAsia="ko-KR"/>
        </w:rPr>
        <w:t xml:space="preserve"> </w:t>
      </w:r>
      <w:r>
        <w:rPr>
          <w:rFonts w:ascii="Verdana" w:hAnsi="Verdana" w:cs="Verdana"/>
          <w:sz w:val="16"/>
          <w:szCs w:val="16"/>
          <w:lang w:eastAsia="ko-KR"/>
        </w:rPr>
        <w:t>z tytułu udziału we wpływach z C</w:t>
      </w:r>
      <w:r w:rsidRPr="000E72C7">
        <w:rPr>
          <w:rFonts w:ascii="Verdana" w:hAnsi="Verdana" w:cs="Verdana"/>
          <w:sz w:val="16"/>
          <w:szCs w:val="16"/>
          <w:lang w:eastAsia="ko-KR"/>
        </w:rPr>
        <w:t>IT za 2022</w:t>
      </w:r>
      <w:r>
        <w:rPr>
          <w:rFonts w:ascii="Verdana" w:hAnsi="Verdana" w:cs="Verdana"/>
          <w:sz w:val="16"/>
          <w:szCs w:val="16"/>
          <w:lang w:eastAsia="ko-KR"/>
        </w:rPr>
        <w:t xml:space="preserve"> r. – </w:t>
      </w:r>
      <w:r>
        <w:rPr>
          <w:rFonts w:ascii="Verdana" w:hAnsi="Verdana" w:cs="Verdana"/>
          <w:b/>
          <w:sz w:val="16"/>
          <w:szCs w:val="16"/>
          <w:lang w:eastAsia="ko-KR"/>
        </w:rPr>
        <w:t>389</w:t>
      </w:r>
      <w:r w:rsidRPr="007209B1">
        <w:rPr>
          <w:rFonts w:ascii="Verdana" w:hAnsi="Verdana" w:cs="Verdana"/>
          <w:b/>
          <w:sz w:val="16"/>
          <w:szCs w:val="16"/>
          <w:lang w:eastAsia="ko-KR"/>
        </w:rPr>
        <w:t xml:space="preserve"> mln zł</w:t>
      </w:r>
      <w:r>
        <w:rPr>
          <w:rFonts w:ascii="Verdana" w:hAnsi="Verdana" w:cs="Verdana"/>
          <w:sz w:val="16"/>
          <w:szCs w:val="16"/>
          <w:lang w:eastAsia="ko-KR"/>
        </w:rPr>
        <w:t>.</w:t>
      </w:r>
    </w:p>
    <w:p w:rsidR="00CA374E" w:rsidRDefault="00CA374E" w:rsidP="00CA374E">
      <w:pPr>
        <w:spacing w:before="60" w:after="60"/>
        <w:jc w:val="both"/>
        <w:rPr>
          <w:rFonts w:ascii="Verdana" w:hAnsi="Verdana" w:cs="Verdana"/>
          <w:sz w:val="16"/>
          <w:szCs w:val="16"/>
          <w:lang w:eastAsia="ko-KR"/>
        </w:rPr>
      </w:pPr>
      <w:r>
        <w:rPr>
          <w:rFonts w:ascii="Verdana" w:hAnsi="Verdana" w:cs="Verdana"/>
          <w:sz w:val="16"/>
          <w:szCs w:val="16"/>
          <w:lang w:eastAsia="ko-KR"/>
        </w:rPr>
        <w:t>Prognozę dochodów z CIT Miasta na kolejne lata, w perspektywie określonej w WPF sporządzają samodzielnie JST.</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W metodologii prognozowania dochodów Warszawy z podatku dochodowego od osób prawnych wyróżnia się dwa czynniki oddziaływujące na wysokość uzyskiwanych środków:</w:t>
      </w:r>
    </w:p>
    <w:p w:rsidR="00CA374E" w:rsidRPr="000A6485" w:rsidRDefault="00CA374E" w:rsidP="00CA374E">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wpływy z CIT do budżetu państwa,</w:t>
      </w:r>
    </w:p>
    <w:p w:rsidR="00CA374E" w:rsidRDefault="00CA374E" w:rsidP="00CA374E">
      <w:pPr>
        <w:numPr>
          <w:ilvl w:val="0"/>
          <w:numId w:val="8"/>
        </w:numPr>
        <w:tabs>
          <w:tab w:val="clear" w:pos="1080"/>
          <w:tab w:val="num" w:pos="360"/>
        </w:tabs>
        <w:spacing w:before="60" w:after="60"/>
        <w:ind w:left="360" w:hanging="180"/>
        <w:jc w:val="both"/>
        <w:rPr>
          <w:rFonts w:ascii="Verdana" w:hAnsi="Verdana"/>
          <w:sz w:val="16"/>
          <w:szCs w:val="16"/>
        </w:rPr>
      </w:pPr>
      <w:r w:rsidRPr="000A6485">
        <w:rPr>
          <w:rFonts w:ascii="Verdana" w:hAnsi="Verdana"/>
          <w:sz w:val="16"/>
          <w:szCs w:val="16"/>
        </w:rPr>
        <w:t>udział m.st. Warszawy we wpływach z CIT do budżetu państwa.</w:t>
      </w:r>
    </w:p>
    <w:p w:rsidR="00CA374E" w:rsidRPr="00A4416D" w:rsidRDefault="00CA374E" w:rsidP="00CA374E">
      <w:pPr>
        <w:spacing w:before="60" w:after="60"/>
        <w:jc w:val="both"/>
        <w:rPr>
          <w:rFonts w:ascii="Verdana" w:hAnsi="Verdana" w:cs="Verdana"/>
          <w:sz w:val="16"/>
          <w:szCs w:val="16"/>
        </w:rPr>
      </w:pPr>
      <w:r w:rsidRPr="00A4416D">
        <w:rPr>
          <w:rFonts w:ascii="Verdana" w:hAnsi="Verdana" w:cs="Verdana"/>
          <w:sz w:val="16"/>
          <w:szCs w:val="16"/>
        </w:rPr>
        <w:t xml:space="preserve">Wysokość udziału we wpływach z CIT jest stała i wynosi w części gminnej – </w:t>
      </w:r>
      <w:r w:rsidRPr="00A4416D">
        <w:rPr>
          <w:rFonts w:ascii="Verdana" w:hAnsi="Verdana" w:cs="Verdana"/>
          <w:b/>
          <w:sz w:val="16"/>
          <w:szCs w:val="16"/>
        </w:rPr>
        <w:t>6,71%,</w:t>
      </w:r>
      <w:r w:rsidRPr="00A4416D">
        <w:rPr>
          <w:rFonts w:ascii="Verdana" w:hAnsi="Verdana" w:cs="Verdana"/>
          <w:sz w:val="16"/>
          <w:szCs w:val="16"/>
        </w:rPr>
        <w:t xml:space="preserve"> a w części powiatowej </w:t>
      </w:r>
      <w:r w:rsidRPr="00A4416D">
        <w:rPr>
          <w:rFonts w:ascii="Verdana" w:hAnsi="Verdana" w:cs="Verdana"/>
          <w:sz w:val="16"/>
          <w:szCs w:val="16"/>
        </w:rPr>
        <w:br/>
        <w:t xml:space="preserve">– </w:t>
      </w:r>
      <w:r w:rsidRPr="00A4416D">
        <w:rPr>
          <w:rFonts w:ascii="Verdana" w:hAnsi="Verdana" w:cs="Verdana"/>
          <w:b/>
          <w:sz w:val="16"/>
          <w:szCs w:val="16"/>
        </w:rPr>
        <w:t>1,40%</w:t>
      </w:r>
      <w:r w:rsidRPr="00A4416D">
        <w:rPr>
          <w:rFonts w:ascii="Verdana" w:hAnsi="Verdana" w:cs="Verdana"/>
          <w:sz w:val="16"/>
          <w:szCs w:val="16"/>
        </w:rPr>
        <w:t xml:space="preserve">, tj. łącznie udział dla m.st. Warszawy </w:t>
      </w:r>
      <w:r>
        <w:rPr>
          <w:rFonts w:ascii="Verdana" w:hAnsi="Verdana" w:cs="Verdana"/>
          <w:sz w:val="16"/>
          <w:szCs w:val="16"/>
        </w:rPr>
        <w:t xml:space="preserve">jako miasta na prawach powiatu </w:t>
      </w:r>
      <w:r w:rsidRPr="00A4416D">
        <w:rPr>
          <w:rFonts w:ascii="Verdana" w:hAnsi="Verdana" w:cs="Verdana"/>
          <w:sz w:val="16"/>
          <w:szCs w:val="16"/>
        </w:rPr>
        <w:t xml:space="preserve">wynosi </w:t>
      </w:r>
      <w:r w:rsidRPr="00A4416D">
        <w:rPr>
          <w:rFonts w:ascii="Verdana" w:hAnsi="Verdana" w:cs="Verdana"/>
          <w:b/>
          <w:sz w:val="16"/>
          <w:szCs w:val="16"/>
        </w:rPr>
        <w:t>8,11%.</w:t>
      </w:r>
    </w:p>
    <w:p w:rsidR="00CA374E" w:rsidRPr="00A4416D" w:rsidRDefault="00CA374E" w:rsidP="00CA374E">
      <w:pPr>
        <w:spacing w:before="60" w:after="60"/>
        <w:jc w:val="both"/>
        <w:rPr>
          <w:rFonts w:ascii="Verdana" w:hAnsi="Verdana"/>
          <w:sz w:val="16"/>
          <w:szCs w:val="16"/>
        </w:rPr>
      </w:pPr>
      <w:r>
        <w:rPr>
          <w:rFonts w:ascii="Verdana" w:hAnsi="Verdana" w:cs="Verdana"/>
          <w:sz w:val="16"/>
          <w:szCs w:val="16"/>
        </w:rPr>
        <w:t>Indywidualny u</w:t>
      </w:r>
      <w:r w:rsidRPr="00A4416D">
        <w:rPr>
          <w:rFonts w:ascii="Verdana" w:hAnsi="Verdana" w:cs="Verdana"/>
          <w:sz w:val="16"/>
          <w:szCs w:val="16"/>
        </w:rPr>
        <w:t>dział</w:t>
      </w:r>
      <w:r>
        <w:rPr>
          <w:rFonts w:ascii="Verdana" w:hAnsi="Verdana" w:cs="Verdana"/>
          <w:sz w:val="16"/>
          <w:szCs w:val="16"/>
        </w:rPr>
        <w:t xml:space="preserve"> m.st. Warszawy wynoszący </w:t>
      </w:r>
      <w:r>
        <w:rPr>
          <w:rFonts w:ascii="Verdana" w:hAnsi="Verdana" w:cs="Verdana"/>
          <w:b/>
          <w:sz w:val="16"/>
          <w:szCs w:val="16"/>
        </w:rPr>
        <w:t>26,49</w:t>
      </w:r>
      <w:r w:rsidRPr="00A4416D">
        <w:rPr>
          <w:rFonts w:ascii="Verdana" w:hAnsi="Verdana" w:cs="Verdana"/>
          <w:b/>
          <w:sz w:val="16"/>
          <w:szCs w:val="16"/>
        </w:rPr>
        <w:t>%</w:t>
      </w:r>
      <w:r>
        <w:rPr>
          <w:rFonts w:ascii="Verdana" w:hAnsi="Verdana" w:cs="Verdana"/>
          <w:sz w:val="16"/>
          <w:szCs w:val="16"/>
        </w:rPr>
        <w:t xml:space="preserve"> </w:t>
      </w:r>
      <w:r w:rsidRPr="00A4416D">
        <w:rPr>
          <w:rFonts w:ascii="Verdana" w:hAnsi="Verdana" w:cs="Verdana"/>
          <w:sz w:val="16"/>
          <w:szCs w:val="16"/>
        </w:rPr>
        <w:t>został wyliczony</w:t>
      </w:r>
      <w:r>
        <w:rPr>
          <w:rFonts w:ascii="Verdana" w:hAnsi="Verdana" w:cs="Verdana"/>
          <w:sz w:val="16"/>
          <w:szCs w:val="16"/>
        </w:rPr>
        <w:t xml:space="preserve"> przez Ministra Finansów wg </w:t>
      </w:r>
      <w:r w:rsidRPr="00A4416D">
        <w:rPr>
          <w:rFonts w:ascii="Verdana" w:hAnsi="Verdana" w:cs="Verdana"/>
          <w:sz w:val="16"/>
          <w:szCs w:val="16"/>
        </w:rPr>
        <w:t>zasad ustawy o dochodach jednostek samorządu terytorialnego. Udział na 202</w:t>
      </w:r>
      <w:r>
        <w:rPr>
          <w:rFonts w:ascii="Verdana" w:hAnsi="Verdana" w:cs="Verdana"/>
          <w:sz w:val="16"/>
          <w:szCs w:val="16"/>
        </w:rPr>
        <w:t>4</w:t>
      </w:r>
      <w:r w:rsidRPr="00A4416D">
        <w:rPr>
          <w:rFonts w:ascii="Verdana" w:hAnsi="Verdana" w:cs="Verdana"/>
          <w:sz w:val="16"/>
          <w:szCs w:val="16"/>
        </w:rPr>
        <w:t xml:space="preserve"> r. został ustalony jako średnia ważona arytmetyczna z 3 lat obliczeniowych obejmujących: rok 202</w:t>
      </w:r>
      <w:r>
        <w:rPr>
          <w:rFonts w:ascii="Verdana" w:hAnsi="Verdana" w:cs="Verdana"/>
          <w:sz w:val="16"/>
          <w:szCs w:val="16"/>
        </w:rPr>
        <w:t>2</w:t>
      </w:r>
      <w:r w:rsidRPr="00A4416D">
        <w:rPr>
          <w:rFonts w:ascii="Verdana" w:hAnsi="Verdana" w:cs="Verdana"/>
          <w:sz w:val="16"/>
          <w:szCs w:val="16"/>
        </w:rPr>
        <w:t>, rok 20</w:t>
      </w:r>
      <w:r>
        <w:rPr>
          <w:rFonts w:ascii="Verdana" w:hAnsi="Verdana" w:cs="Verdana"/>
          <w:sz w:val="16"/>
          <w:szCs w:val="16"/>
        </w:rPr>
        <w:t>21</w:t>
      </w:r>
      <w:r w:rsidRPr="00A4416D">
        <w:rPr>
          <w:rFonts w:ascii="Verdana" w:hAnsi="Verdana" w:cs="Verdana"/>
          <w:sz w:val="16"/>
          <w:szCs w:val="16"/>
        </w:rPr>
        <w:t xml:space="preserve"> i rok 20</w:t>
      </w:r>
      <w:r>
        <w:rPr>
          <w:rFonts w:ascii="Verdana" w:hAnsi="Verdana" w:cs="Verdana"/>
          <w:sz w:val="16"/>
          <w:szCs w:val="16"/>
        </w:rPr>
        <w:t>20</w:t>
      </w:r>
      <w:r w:rsidRPr="00A4416D">
        <w:rPr>
          <w:rFonts w:ascii="Verdana" w:hAnsi="Verdana" w:cs="Verdana"/>
          <w:sz w:val="16"/>
          <w:szCs w:val="16"/>
        </w:rPr>
        <w:t>, odpowiednio z wagami 0,5, 0,33 i 0,17.</w:t>
      </w:r>
    </w:p>
    <w:p w:rsidR="00CA374E" w:rsidRPr="00A4416D" w:rsidRDefault="00CA374E" w:rsidP="00CA374E">
      <w:pPr>
        <w:spacing w:before="60" w:after="60"/>
        <w:jc w:val="both"/>
        <w:rPr>
          <w:rFonts w:ascii="Verdana" w:hAnsi="Verdana"/>
          <w:sz w:val="18"/>
          <w:szCs w:val="18"/>
        </w:rPr>
      </w:pPr>
      <w:r>
        <w:rPr>
          <w:rFonts w:ascii="Verdana" w:hAnsi="Verdana"/>
          <w:sz w:val="16"/>
          <w:szCs w:val="16"/>
        </w:rPr>
        <w:t>W prognozie sporządzonej na kolejne lata w</w:t>
      </w:r>
      <w:r w:rsidRPr="00A4416D">
        <w:rPr>
          <w:rFonts w:ascii="Verdana" w:hAnsi="Verdana"/>
          <w:sz w:val="16"/>
          <w:szCs w:val="16"/>
        </w:rPr>
        <w:t xml:space="preserve">skaźniki partycypacji sektora samorządowego i </w:t>
      </w:r>
      <w:r>
        <w:rPr>
          <w:rFonts w:ascii="Verdana" w:hAnsi="Verdana"/>
          <w:sz w:val="16"/>
          <w:szCs w:val="16"/>
        </w:rPr>
        <w:t>m.st. Warszawy w dochodach z C</w:t>
      </w:r>
      <w:r w:rsidRPr="00A4416D">
        <w:rPr>
          <w:rFonts w:ascii="Verdana" w:hAnsi="Verdana"/>
          <w:sz w:val="16"/>
          <w:szCs w:val="16"/>
        </w:rPr>
        <w:t>IT zostały przyjęte na poziomie oszacowanym przez Ministerstwo Finansów dla 202</w:t>
      </w:r>
      <w:r>
        <w:rPr>
          <w:rFonts w:ascii="Verdana" w:hAnsi="Verdana"/>
          <w:sz w:val="16"/>
          <w:szCs w:val="16"/>
        </w:rPr>
        <w:t>4</w:t>
      </w:r>
      <w:r w:rsidRPr="00A4416D">
        <w:rPr>
          <w:rFonts w:ascii="Verdana" w:hAnsi="Verdana"/>
          <w:sz w:val="16"/>
          <w:szCs w:val="16"/>
        </w:rPr>
        <w:t xml:space="preserve"> r.</w:t>
      </w:r>
      <w:r w:rsidRPr="00A4416D">
        <w:rPr>
          <w:rFonts w:ascii="Verdana" w:hAnsi="Verdana"/>
          <w:sz w:val="18"/>
          <w:szCs w:val="18"/>
        </w:rPr>
        <w:t xml:space="preserve"> </w:t>
      </w:r>
    </w:p>
    <w:p w:rsidR="00CA374E" w:rsidRDefault="00CA374E" w:rsidP="00CA374E">
      <w:pPr>
        <w:spacing w:before="60" w:after="60"/>
        <w:jc w:val="both"/>
        <w:rPr>
          <w:rFonts w:ascii="Verdana" w:hAnsi="Verdana" w:cs="Arial"/>
          <w:sz w:val="16"/>
          <w:szCs w:val="16"/>
        </w:rPr>
      </w:pPr>
      <w:r>
        <w:rPr>
          <w:rFonts w:ascii="Verdana" w:hAnsi="Verdana" w:cs="Verdana"/>
          <w:sz w:val="16"/>
          <w:szCs w:val="16"/>
        </w:rPr>
        <w:t>Ustawa</w:t>
      </w:r>
      <w:r w:rsidRPr="009232EB">
        <w:rPr>
          <w:rFonts w:ascii="Verdana" w:hAnsi="Verdana" w:cs="Verdana"/>
          <w:sz w:val="16"/>
          <w:szCs w:val="16"/>
        </w:rPr>
        <w:t xml:space="preserve"> o dochodach jednostek samorządu terytorialnego, </w:t>
      </w:r>
      <w:r>
        <w:rPr>
          <w:rFonts w:ascii="Verdana" w:hAnsi="Verdana" w:cs="Verdana"/>
          <w:sz w:val="16"/>
          <w:szCs w:val="16"/>
        </w:rPr>
        <w:t xml:space="preserve">w przypadku gdyby, </w:t>
      </w:r>
      <w:r w:rsidRPr="00A14FD5">
        <w:rPr>
          <w:rFonts w:ascii="Verdana" w:hAnsi="Verdana" w:cs="Verdana"/>
          <w:sz w:val="16"/>
          <w:szCs w:val="16"/>
        </w:rPr>
        <w:t xml:space="preserve">wykonana ogólna kwota wpływów z </w:t>
      </w:r>
      <w:r>
        <w:rPr>
          <w:rFonts w:ascii="Verdana" w:hAnsi="Verdana" w:cs="Verdana"/>
          <w:sz w:val="16"/>
          <w:szCs w:val="16"/>
        </w:rPr>
        <w:t>C</w:t>
      </w:r>
      <w:r w:rsidRPr="00A14FD5">
        <w:rPr>
          <w:rFonts w:ascii="Verdana" w:hAnsi="Verdana" w:cs="Verdana"/>
          <w:sz w:val="16"/>
          <w:szCs w:val="16"/>
        </w:rPr>
        <w:t xml:space="preserve">IT była inna od prognozowanej, </w:t>
      </w:r>
      <w:r>
        <w:rPr>
          <w:rFonts w:ascii="Verdana" w:hAnsi="Verdana" w:cs="Verdana"/>
          <w:sz w:val="16"/>
          <w:szCs w:val="16"/>
        </w:rPr>
        <w:t xml:space="preserve">przewiduje korektę prognozy dochodów </w:t>
      </w:r>
      <w:r w:rsidRPr="00A14FD5">
        <w:rPr>
          <w:rFonts w:ascii="Verdana" w:hAnsi="Verdana" w:cs="Verdana"/>
          <w:sz w:val="16"/>
          <w:szCs w:val="16"/>
        </w:rPr>
        <w:t>po dwóch latach od roku w którym różnica wystąpiła przez zwiększenie albo zmni</w:t>
      </w:r>
      <w:r>
        <w:rPr>
          <w:rFonts w:ascii="Verdana" w:hAnsi="Verdana" w:cs="Verdana"/>
          <w:sz w:val="16"/>
          <w:szCs w:val="16"/>
        </w:rPr>
        <w:t>ejszenie planowanych dochodów z </w:t>
      </w:r>
      <w:r w:rsidRPr="00A14FD5">
        <w:rPr>
          <w:rFonts w:ascii="Verdana" w:hAnsi="Verdana" w:cs="Verdana"/>
          <w:sz w:val="16"/>
          <w:szCs w:val="16"/>
        </w:rPr>
        <w:t>tego tytułu o równowartość różnicy między kwotą prognozowaną a wykonaną.</w:t>
      </w:r>
      <w:r>
        <w:rPr>
          <w:rFonts w:ascii="Verdana" w:hAnsi="Verdana" w:cs="Verdana"/>
          <w:sz w:val="16"/>
          <w:szCs w:val="16"/>
        </w:rPr>
        <w:t xml:space="preserve"> </w:t>
      </w:r>
      <w:r>
        <w:rPr>
          <w:rFonts w:ascii="Verdana" w:hAnsi="Verdana" w:cs="Arial"/>
          <w:sz w:val="16"/>
          <w:szCs w:val="16"/>
        </w:rPr>
        <w:t>Pierwszym rokiem, w którym przepisy te będą miały zastosowanie jest rok 2024.</w:t>
      </w:r>
    </w:p>
    <w:p w:rsidR="00CA374E" w:rsidRPr="00907584" w:rsidRDefault="00CA374E" w:rsidP="00CA374E">
      <w:pPr>
        <w:autoSpaceDE w:val="0"/>
        <w:autoSpaceDN w:val="0"/>
        <w:adjustRightInd w:val="0"/>
        <w:spacing w:before="60" w:after="60"/>
        <w:jc w:val="both"/>
        <w:rPr>
          <w:rFonts w:ascii="Verdana" w:hAnsi="Verdana" w:cs="Verdana"/>
          <w:sz w:val="16"/>
          <w:szCs w:val="16"/>
          <w:lang w:eastAsia="ko-KR"/>
        </w:rPr>
      </w:pPr>
      <w:r>
        <w:rPr>
          <w:rFonts w:ascii="Verdana" w:hAnsi="Verdana" w:cs="Verdana"/>
          <w:sz w:val="16"/>
          <w:szCs w:val="16"/>
          <w:lang w:eastAsia="ko-KR"/>
        </w:rPr>
        <w:t>W</w:t>
      </w:r>
      <w:r w:rsidRPr="000004A3">
        <w:rPr>
          <w:rFonts w:ascii="Verdana" w:hAnsi="Verdana" w:cs="Verdana"/>
          <w:sz w:val="16"/>
          <w:szCs w:val="16"/>
          <w:lang w:eastAsia="ko-KR"/>
        </w:rPr>
        <w:t xml:space="preserve">ykonana ogólna kwota wpływów z </w:t>
      </w:r>
      <w:r>
        <w:rPr>
          <w:rFonts w:ascii="Verdana" w:hAnsi="Verdana" w:cs="Verdana"/>
          <w:sz w:val="16"/>
          <w:szCs w:val="16"/>
          <w:lang w:eastAsia="ko-KR"/>
        </w:rPr>
        <w:t>C</w:t>
      </w:r>
      <w:r w:rsidRPr="000004A3">
        <w:rPr>
          <w:rFonts w:ascii="Verdana" w:hAnsi="Verdana" w:cs="Verdana"/>
          <w:sz w:val="16"/>
          <w:szCs w:val="16"/>
          <w:lang w:eastAsia="ko-KR"/>
        </w:rPr>
        <w:t xml:space="preserve">IT była </w:t>
      </w:r>
      <w:r>
        <w:rPr>
          <w:rFonts w:ascii="Verdana" w:hAnsi="Verdana" w:cs="Verdana"/>
          <w:sz w:val="16"/>
          <w:szCs w:val="16"/>
          <w:lang w:eastAsia="ko-KR"/>
        </w:rPr>
        <w:t>znaczącą wyższa</w:t>
      </w:r>
      <w:r w:rsidRPr="000004A3">
        <w:rPr>
          <w:rFonts w:ascii="Verdana" w:hAnsi="Verdana" w:cs="Verdana"/>
          <w:sz w:val="16"/>
          <w:szCs w:val="16"/>
          <w:lang w:eastAsia="ko-KR"/>
        </w:rPr>
        <w:t xml:space="preserve"> od prognozowanej</w:t>
      </w:r>
      <w:r>
        <w:rPr>
          <w:rFonts w:ascii="Verdana" w:hAnsi="Verdana" w:cs="Verdana"/>
          <w:sz w:val="16"/>
          <w:szCs w:val="16"/>
          <w:lang w:eastAsia="ko-KR"/>
        </w:rPr>
        <w:t xml:space="preserve"> i przekazanej w 2022 r. Zgodnie z informacją ujętą w ww. pismach MF z </w:t>
      </w:r>
      <w:r w:rsidRPr="00907584">
        <w:rPr>
          <w:rFonts w:ascii="Verdana" w:hAnsi="Verdana" w:cs="Verdana"/>
          <w:sz w:val="16"/>
          <w:szCs w:val="16"/>
          <w:lang w:eastAsia="ko-KR"/>
        </w:rPr>
        <w:t>1</w:t>
      </w:r>
      <w:r>
        <w:rPr>
          <w:rFonts w:ascii="Verdana" w:hAnsi="Verdana" w:cs="Verdana"/>
          <w:sz w:val="16"/>
          <w:szCs w:val="16"/>
          <w:lang w:eastAsia="ko-KR"/>
        </w:rPr>
        <w:t>3 października 2023</w:t>
      </w:r>
      <w:r w:rsidRPr="00907584">
        <w:rPr>
          <w:rFonts w:ascii="Verdana" w:hAnsi="Verdana" w:cs="Verdana"/>
          <w:sz w:val="16"/>
          <w:szCs w:val="16"/>
          <w:lang w:eastAsia="ko-KR"/>
        </w:rPr>
        <w:t xml:space="preserve"> r</w:t>
      </w:r>
      <w:r>
        <w:rPr>
          <w:rFonts w:ascii="Verdana" w:hAnsi="Verdana" w:cs="Verdana"/>
          <w:sz w:val="16"/>
          <w:szCs w:val="16"/>
          <w:lang w:eastAsia="ko-KR"/>
        </w:rPr>
        <w:t xml:space="preserve"> </w:t>
      </w:r>
      <w:r w:rsidRPr="000004A3">
        <w:rPr>
          <w:rFonts w:ascii="Verdana" w:hAnsi="Verdana" w:cs="Verdana"/>
          <w:sz w:val="16"/>
          <w:szCs w:val="16"/>
          <w:lang w:eastAsia="ko-KR"/>
        </w:rPr>
        <w:t xml:space="preserve">w prognozie dochodów z </w:t>
      </w:r>
      <w:r>
        <w:rPr>
          <w:rFonts w:ascii="Verdana" w:hAnsi="Verdana" w:cs="Verdana"/>
          <w:sz w:val="16"/>
          <w:szCs w:val="16"/>
          <w:lang w:eastAsia="ko-KR"/>
        </w:rPr>
        <w:t>C</w:t>
      </w:r>
      <w:r w:rsidRPr="000004A3">
        <w:rPr>
          <w:rFonts w:ascii="Verdana" w:hAnsi="Verdana" w:cs="Verdana"/>
          <w:sz w:val="16"/>
          <w:szCs w:val="16"/>
          <w:lang w:eastAsia="ko-KR"/>
        </w:rPr>
        <w:t xml:space="preserve">IT </w:t>
      </w:r>
      <w:r>
        <w:rPr>
          <w:rFonts w:ascii="Verdana" w:hAnsi="Verdana" w:cs="Verdana"/>
          <w:sz w:val="16"/>
          <w:szCs w:val="16"/>
          <w:lang w:eastAsia="ko-KR"/>
        </w:rPr>
        <w:t xml:space="preserve">na 2024 r. </w:t>
      </w:r>
      <w:r w:rsidRPr="000004A3">
        <w:rPr>
          <w:rFonts w:ascii="Verdana" w:hAnsi="Verdana" w:cs="Verdana"/>
          <w:sz w:val="16"/>
          <w:szCs w:val="16"/>
          <w:lang w:eastAsia="ko-KR"/>
        </w:rPr>
        <w:t xml:space="preserve">uwzględniono korektę </w:t>
      </w:r>
      <w:r>
        <w:rPr>
          <w:rFonts w:ascii="Verdana" w:hAnsi="Verdana" w:cs="Verdana"/>
          <w:sz w:val="16"/>
          <w:szCs w:val="16"/>
          <w:lang w:eastAsia="ko-KR"/>
        </w:rPr>
        <w:t xml:space="preserve">dochodów z CIT </w:t>
      </w:r>
      <w:r w:rsidRPr="000004A3">
        <w:rPr>
          <w:rFonts w:ascii="Verdana" w:hAnsi="Verdana" w:cs="Verdana"/>
          <w:sz w:val="16"/>
          <w:szCs w:val="16"/>
          <w:lang w:eastAsia="ko-KR"/>
        </w:rPr>
        <w:t xml:space="preserve">in </w:t>
      </w:r>
      <w:r>
        <w:rPr>
          <w:rFonts w:ascii="Verdana" w:hAnsi="Verdana" w:cs="Verdana"/>
          <w:sz w:val="16"/>
          <w:szCs w:val="16"/>
          <w:lang w:eastAsia="ko-KR"/>
        </w:rPr>
        <w:t>plus</w:t>
      </w:r>
      <w:r w:rsidRPr="000004A3">
        <w:rPr>
          <w:rFonts w:ascii="Verdana" w:hAnsi="Verdana" w:cs="Verdana"/>
          <w:sz w:val="16"/>
          <w:szCs w:val="16"/>
          <w:lang w:eastAsia="ko-KR"/>
        </w:rPr>
        <w:t xml:space="preserve"> w wysokości </w:t>
      </w:r>
      <w:r>
        <w:rPr>
          <w:rFonts w:ascii="Verdana" w:hAnsi="Verdana" w:cs="Verdana"/>
          <w:b/>
          <w:sz w:val="16"/>
          <w:szCs w:val="16"/>
          <w:lang w:eastAsia="ko-KR"/>
        </w:rPr>
        <w:t>389</w:t>
      </w:r>
      <w:r w:rsidRPr="008E32B6">
        <w:rPr>
          <w:rFonts w:ascii="Verdana" w:hAnsi="Verdana" w:cs="Verdana"/>
          <w:b/>
          <w:sz w:val="16"/>
          <w:szCs w:val="16"/>
          <w:lang w:eastAsia="ko-KR"/>
        </w:rPr>
        <w:t xml:space="preserve"> mln zł</w:t>
      </w:r>
      <w:r w:rsidRPr="000004A3">
        <w:rPr>
          <w:rFonts w:ascii="Verdana" w:hAnsi="Verdana" w:cs="Verdana"/>
          <w:sz w:val="16"/>
          <w:szCs w:val="16"/>
          <w:lang w:eastAsia="ko-KR"/>
        </w:rPr>
        <w:t>.</w:t>
      </w:r>
    </w:p>
    <w:p w:rsidR="00CA374E" w:rsidRPr="00BC3D02" w:rsidRDefault="00CA374E" w:rsidP="00CA374E">
      <w:pPr>
        <w:spacing w:before="60" w:after="60"/>
        <w:jc w:val="both"/>
        <w:rPr>
          <w:rFonts w:ascii="Verdana" w:hAnsi="Verdana" w:cs="Verdana"/>
          <w:sz w:val="16"/>
          <w:szCs w:val="16"/>
        </w:rPr>
      </w:pPr>
      <w:r w:rsidRPr="00BC3D02">
        <w:rPr>
          <w:rFonts w:ascii="Verdana" w:hAnsi="Verdana" w:cs="Verdana"/>
          <w:sz w:val="16"/>
          <w:szCs w:val="16"/>
        </w:rPr>
        <w:t>Biorąc pod uwagę prz</w:t>
      </w:r>
      <w:r>
        <w:rPr>
          <w:rFonts w:ascii="Verdana" w:hAnsi="Verdana" w:cs="Verdana"/>
          <w:sz w:val="16"/>
          <w:szCs w:val="16"/>
        </w:rPr>
        <w:t>ewidywane wykonanie dochodów z C</w:t>
      </w:r>
      <w:r w:rsidRPr="00BC3D02">
        <w:rPr>
          <w:rFonts w:ascii="Verdana" w:hAnsi="Verdana" w:cs="Verdana"/>
          <w:sz w:val="16"/>
          <w:szCs w:val="16"/>
        </w:rPr>
        <w:t>IT ujętych w projekcie budżetu państwa</w:t>
      </w:r>
      <w:r>
        <w:rPr>
          <w:rFonts w:ascii="Verdana" w:hAnsi="Verdana" w:cs="Verdana"/>
          <w:sz w:val="16"/>
          <w:szCs w:val="16"/>
        </w:rPr>
        <w:t xml:space="preserve"> na 2024 r.,</w:t>
      </w:r>
      <w:r w:rsidRPr="00BC3D02">
        <w:rPr>
          <w:rFonts w:ascii="Verdana" w:hAnsi="Verdana" w:cs="Verdana"/>
          <w:sz w:val="16"/>
          <w:szCs w:val="16"/>
        </w:rPr>
        <w:t xml:space="preserve"> </w:t>
      </w:r>
      <w:r>
        <w:rPr>
          <w:rFonts w:ascii="Verdana" w:hAnsi="Verdana" w:cs="Verdana"/>
          <w:sz w:val="16"/>
          <w:szCs w:val="16"/>
        </w:rPr>
        <w:t xml:space="preserve">w prognozie dochodów z CIT uwzględniono spodziewaną </w:t>
      </w:r>
      <w:r w:rsidRPr="00BC3D02">
        <w:rPr>
          <w:rFonts w:ascii="Verdana" w:hAnsi="Verdana" w:cs="Verdana"/>
          <w:sz w:val="16"/>
          <w:szCs w:val="16"/>
        </w:rPr>
        <w:t>korektę</w:t>
      </w:r>
      <w:r>
        <w:rPr>
          <w:rFonts w:ascii="Verdana" w:hAnsi="Verdana" w:cs="Verdana"/>
          <w:sz w:val="16"/>
          <w:szCs w:val="16"/>
        </w:rPr>
        <w:t xml:space="preserve"> rozliczeniową dochodów z C</w:t>
      </w:r>
      <w:r w:rsidRPr="00BC3D02">
        <w:rPr>
          <w:rFonts w:ascii="Verdana" w:hAnsi="Verdana" w:cs="Verdana"/>
          <w:sz w:val="16"/>
          <w:szCs w:val="16"/>
        </w:rPr>
        <w:t xml:space="preserve">IT </w:t>
      </w:r>
      <w:r>
        <w:rPr>
          <w:rFonts w:ascii="Verdana" w:hAnsi="Verdana" w:cs="Verdana"/>
          <w:sz w:val="16"/>
          <w:szCs w:val="16"/>
        </w:rPr>
        <w:t xml:space="preserve">in plus </w:t>
      </w:r>
      <w:r>
        <w:rPr>
          <w:rFonts w:ascii="Verdana" w:hAnsi="Verdana" w:cs="Verdana"/>
          <w:sz w:val="16"/>
          <w:szCs w:val="16"/>
        </w:rPr>
        <w:br/>
        <w:t xml:space="preserve">w wysokości </w:t>
      </w:r>
      <w:r>
        <w:rPr>
          <w:rFonts w:ascii="Verdana" w:hAnsi="Verdana" w:cs="Verdana"/>
          <w:b/>
          <w:sz w:val="16"/>
          <w:szCs w:val="16"/>
        </w:rPr>
        <w:t>12 mln </w:t>
      </w:r>
      <w:r w:rsidRPr="00183589">
        <w:rPr>
          <w:rFonts w:ascii="Verdana" w:hAnsi="Verdana" w:cs="Verdana"/>
          <w:b/>
          <w:sz w:val="16"/>
          <w:szCs w:val="16"/>
        </w:rPr>
        <w:t>zł</w:t>
      </w:r>
      <w:r>
        <w:rPr>
          <w:rFonts w:ascii="Verdana" w:hAnsi="Verdana" w:cs="Verdana"/>
          <w:sz w:val="16"/>
          <w:szCs w:val="16"/>
        </w:rPr>
        <w:t>, ze skutkiem dla 2025 r.</w:t>
      </w:r>
    </w:p>
    <w:p w:rsidR="00CA374E" w:rsidRDefault="00CA374E" w:rsidP="00CA374E">
      <w:pPr>
        <w:autoSpaceDE w:val="0"/>
        <w:autoSpaceDN w:val="0"/>
        <w:adjustRightInd w:val="0"/>
        <w:spacing w:before="60" w:after="60"/>
        <w:jc w:val="both"/>
        <w:rPr>
          <w:rFonts w:ascii="Verdana" w:hAnsi="Verdana" w:cs="Verdana"/>
          <w:sz w:val="16"/>
          <w:szCs w:val="16"/>
        </w:rPr>
      </w:pPr>
      <w:r>
        <w:rPr>
          <w:rFonts w:ascii="Verdana" w:hAnsi="Verdana" w:cs="Verdana"/>
          <w:sz w:val="16"/>
          <w:szCs w:val="16"/>
        </w:rPr>
        <w:br w:type="page"/>
      </w:r>
    </w:p>
    <w:p w:rsidR="00CA374E" w:rsidRPr="000A6485" w:rsidRDefault="00CA374E" w:rsidP="00CA374E">
      <w:pPr>
        <w:spacing w:before="240" w:after="240"/>
        <w:ind w:left="1077" w:hanging="1077"/>
        <w:rPr>
          <w:rFonts w:ascii="Verdana" w:hAnsi="Verdana"/>
          <w:b/>
          <w:bCs/>
          <w:sz w:val="18"/>
          <w:szCs w:val="18"/>
        </w:rPr>
      </w:pPr>
      <w:r w:rsidRPr="000A6485">
        <w:rPr>
          <w:rFonts w:ascii="Verdana" w:hAnsi="Verdana"/>
          <w:b/>
          <w:bCs/>
          <w:sz w:val="18"/>
          <w:szCs w:val="18"/>
        </w:rPr>
        <w:lastRenderedPageBreak/>
        <w:t>7.2.3.3 Prognoza dochodów z subwencji ogólnej</w:t>
      </w:r>
    </w:p>
    <w:p w:rsidR="00CA374E" w:rsidRPr="000A6485" w:rsidRDefault="00CA374E" w:rsidP="00CA374E">
      <w:pPr>
        <w:tabs>
          <w:tab w:val="left" w:pos="0"/>
        </w:tabs>
        <w:spacing w:before="240" w:after="12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 xml:space="preserve">nr 23 </w:t>
      </w:r>
      <w:r w:rsidRPr="000A6485">
        <w:rPr>
          <w:rFonts w:ascii="Verdana" w:hAnsi="Verdana"/>
          <w:sz w:val="16"/>
          <w:szCs w:val="16"/>
        </w:rPr>
        <w:t>prezentuje prognozowane dochody z subwencji ogólnej w poszczególnych latach objętych Prognozą.</w:t>
      </w:r>
    </w:p>
    <w:p w:rsidR="00CA374E" w:rsidRPr="000A6485" w:rsidRDefault="00CA374E" w:rsidP="00CA374E">
      <w:pPr>
        <w:tabs>
          <w:tab w:val="left" w:pos="720"/>
        </w:tabs>
        <w:spacing w:before="24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23</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SUBWENCJI OGÓ</w:t>
      </w:r>
      <w:r>
        <w:rPr>
          <w:rFonts w:ascii="Verdana" w:hAnsi="Verdana" w:cs="Arial"/>
          <w:b/>
          <w:bCs/>
          <w:sz w:val="14"/>
          <w:szCs w:val="14"/>
        </w:rPr>
        <w:t xml:space="preserve">LNEJ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0"/>
          <w:szCs w:val="20"/>
        </w:rPr>
      </w:pPr>
      <w:r>
        <w:rPr>
          <w:rFonts w:ascii="Verdana" w:hAnsi="Verdana"/>
          <w:b/>
          <w:bCs/>
          <w:noProof/>
          <w:sz w:val="20"/>
          <w:szCs w:val="20"/>
        </w:rPr>
        <w:pict>
          <v:shape id="_x0000_i1044" type="#_x0000_t75" style="width:439.5pt;height:209.7pt">
            <v:imagedata r:id="rId37" o:title=""/>
          </v:shape>
        </w:pict>
      </w:r>
    </w:p>
    <w:p w:rsidR="00CA374E" w:rsidRDefault="00CA374E" w:rsidP="00CA374E">
      <w:pPr>
        <w:spacing w:before="60" w:after="60"/>
        <w:ind w:firstLine="539"/>
        <w:jc w:val="both"/>
        <w:rPr>
          <w:rFonts w:ascii="Verdana" w:hAnsi="Verdana"/>
          <w:iCs/>
          <w:sz w:val="16"/>
          <w:szCs w:val="16"/>
        </w:rPr>
      </w:pPr>
      <w:r w:rsidRPr="000A6485">
        <w:rPr>
          <w:rFonts w:ascii="Verdana" w:hAnsi="Verdana"/>
          <w:sz w:val="16"/>
          <w:szCs w:val="16"/>
        </w:rPr>
        <w:t>Prognozuje się, że wpływy m.st. Warszawy z subwencji ogólnej w okresie pierwszych</w:t>
      </w:r>
      <w:r>
        <w:rPr>
          <w:rFonts w:ascii="Verdana" w:hAnsi="Verdana"/>
          <w:sz w:val="16"/>
          <w:szCs w:val="16"/>
        </w:rPr>
        <w:t xml:space="preserve"> pięciu lat prognozy tj. od 2024 do 2028</w:t>
      </w:r>
      <w:r w:rsidRPr="000A6485">
        <w:rPr>
          <w:rFonts w:ascii="Verdana" w:hAnsi="Verdana"/>
          <w:sz w:val="16"/>
          <w:szCs w:val="16"/>
        </w:rPr>
        <w:t xml:space="preserve"> r. wyniosą łącznie </w:t>
      </w:r>
      <w:r>
        <w:rPr>
          <w:rFonts w:ascii="Verdana" w:hAnsi="Verdana"/>
          <w:b/>
          <w:sz w:val="16"/>
          <w:szCs w:val="16"/>
        </w:rPr>
        <w:t>22,6</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17,4</w:t>
      </w:r>
      <w:r w:rsidRPr="000A6485">
        <w:rPr>
          <w:rFonts w:ascii="Verdana" w:hAnsi="Verdana"/>
          <w:b/>
          <w:sz w:val="16"/>
          <w:szCs w:val="16"/>
        </w:rPr>
        <w:t>%</w:t>
      </w:r>
      <w:r w:rsidRPr="000A6485">
        <w:rPr>
          <w:rFonts w:ascii="Verdana" w:hAnsi="Verdana"/>
          <w:sz w:val="16"/>
          <w:szCs w:val="16"/>
        </w:rPr>
        <w:t xml:space="preserve"> planowanych do realizacji </w:t>
      </w:r>
      <w:r w:rsidRPr="000A6485">
        <w:rPr>
          <w:rFonts w:ascii="Verdana" w:hAnsi="Verdana"/>
          <w:sz w:val="16"/>
          <w:szCs w:val="16"/>
        </w:rPr>
        <w:br/>
        <w:t>w tym okresie dochodów ogółem.</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24</w:t>
      </w:r>
      <w:r w:rsidRPr="000A6485">
        <w:rPr>
          <w:rFonts w:ascii="Verdana" w:hAnsi="Verdana"/>
          <w:sz w:val="16"/>
          <w:szCs w:val="16"/>
        </w:rPr>
        <w:t xml:space="preserve"> prezentuje procentową zmianę rok do roku wysokości dochodów z subwencji ogólnej </w:t>
      </w:r>
      <w:r w:rsidRPr="000A6485">
        <w:rPr>
          <w:rFonts w:ascii="Verdana" w:hAnsi="Verdana"/>
          <w:sz w:val="16"/>
          <w:szCs w:val="16"/>
        </w:rPr>
        <w:br/>
        <w:t>w poszczególnych latach objętych Prognozą.</w:t>
      </w:r>
    </w:p>
    <w:p w:rsidR="00CA374E" w:rsidRPr="000A6485" w:rsidRDefault="00CA374E" w:rsidP="00CA374E">
      <w:pPr>
        <w:spacing w:before="24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24</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SUBWENCJI OGÓLNEJ </w:t>
      </w:r>
      <w:r w:rsidRPr="000A6485">
        <w:rPr>
          <w:rFonts w:ascii="Verdana" w:hAnsi="Verdana" w:cs="Arial"/>
          <w:b/>
          <w:bCs/>
          <w:sz w:val="14"/>
          <w:szCs w:val="14"/>
        </w:rPr>
        <w:br/>
        <w:t xml:space="preserve">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spacing w:before="120" w:after="120"/>
        <w:jc w:val="both"/>
        <w:rPr>
          <w:rFonts w:ascii="Verdana" w:hAnsi="Verdana"/>
          <w:sz w:val="18"/>
          <w:szCs w:val="18"/>
        </w:rPr>
      </w:pPr>
      <w:r>
        <w:rPr>
          <w:rFonts w:ascii="Verdana" w:hAnsi="Verdana"/>
          <w:noProof/>
          <w:sz w:val="18"/>
          <w:szCs w:val="18"/>
        </w:rPr>
        <w:pict>
          <v:shape id="_x0000_i1045" type="#_x0000_t75" style="width:443.4pt;height:209.7pt">
            <v:imagedata r:id="rId38" o:title=""/>
          </v:shape>
        </w:pict>
      </w:r>
    </w:p>
    <w:p w:rsidR="00CA374E" w:rsidRDefault="00CA374E" w:rsidP="00CA374E">
      <w:pPr>
        <w:spacing w:before="60" w:after="60"/>
        <w:ind w:firstLine="540"/>
        <w:jc w:val="both"/>
        <w:rPr>
          <w:rFonts w:ascii="Verdana" w:hAnsi="Verdana"/>
          <w:sz w:val="16"/>
          <w:szCs w:val="16"/>
        </w:rPr>
      </w:pPr>
      <w:r w:rsidRPr="000A6485">
        <w:rPr>
          <w:rFonts w:ascii="Verdana" w:hAnsi="Verdana"/>
          <w:sz w:val="16"/>
          <w:szCs w:val="16"/>
        </w:rPr>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r>
        <w:rPr>
          <w:rFonts w:ascii="Verdana" w:hAnsi="Verdana"/>
          <w:sz w:val="16"/>
          <w:szCs w:val="16"/>
        </w:rPr>
        <w:br w:type="page"/>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lastRenderedPageBreak/>
        <w:t xml:space="preserve">M.st. Warszawa w ramach subwencji ogólnej otrzymuje środki z tytułu części oświatowej i części równoważącej naliczanej zgodnie z przepisami ustawy z dnia 13 listopada 2003 r. </w:t>
      </w:r>
      <w:r w:rsidRPr="003A7E7C">
        <w:rPr>
          <w:rFonts w:ascii="Verdana" w:hAnsi="Verdana"/>
          <w:i/>
          <w:sz w:val="16"/>
          <w:szCs w:val="16"/>
        </w:rPr>
        <w:t>o dochodach jednostek samorządu terytorialnego</w:t>
      </w:r>
      <w:r w:rsidRPr="000A6485">
        <w:rPr>
          <w:rFonts w:ascii="Verdana" w:hAnsi="Verdana"/>
          <w:sz w:val="16"/>
          <w:szCs w:val="16"/>
        </w:rPr>
        <w:t xml:space="preserve"> </w:t>
      </w:r>
      <w:r>
        <w:rPr>
          <w:rFonts w:ascii="Verdana" w:hAnsi="Verdana" w:cs="Arial"/>
          <w:iCs/>
          <w:sz w:val="16"/>
          <w:szCs w:val="16"/>
        </w:rPr>
        <w:t>(Dz.</w:t>
      </w:r>
      <w:r w:rsidRPr="000A6485">
        <w:rPr>
          <w:rFonts w:ascii="Verdana" w:hAnsi="Verdana" w:cs="Arial"/>
          <w:iCs/>
          <w:sz w:val="16"/>
          <w:szCs w:val="16"/>
        </w:rPr>
        <w:t xml:space="preserve">U. z </w:t>
      </w:r>
      <w:r>
        <w:rPr>
          <w:rFonts w:ascii="Verdana" w:hAnsi="Verdana" w:cs="Arial"/>
          <w:iCs/>
          <w:sz w:val="16"/>
          <w:szCs w:val="16"/>
        </w:rPr>
        <w:t>2021 r. poz. 1672, 1901 i 1927</w:t>
      </w:r>
      <w:r w:rsidRPr="000A6485">
        <w:rPr>
          <w:rFonts w:ascii="Verdana" w:hAnsi="Verdana" w:cs="Arial"/>
          <w:iCs/>
          <w:sz w:val="16"/>
          <w:szCs w:val="16"/>
        </w:rPr>
        <w:t>)</w:t>
      </w:r>
      <w:r w:rsidRPr="000A6485">
        <w:rPr>
          <w:rFonts w:ascii="Verdana" w:hAnsi="Verdana"/>
          <w:sz w:val="16"/>
          <w:szCs w:val="16"/>
        </w:rPr>
        <w:t>.</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t xml:space="preserve">Część oświatowa subwencji ogólnej w budżecie m.st. Warszawy jest drugim pod względem wartości źródłem dochodów. Zakłada się, że środki pozyskiwane z tego tytułu będą stanowiły </w:t>
      </w:r>
      <w:r>
        <w:rPr>
          <w:rFonts w:ascii="Verdana" w:hAnsi="Verdana"/>
          <w:sz w:val="16"/>
          <w:szCs w:val="16"/>
        </w:rPr>
        <w:t xml:space="preserve">ok. </w:t>
      </w:r>
      <w:r>
        <w:rPr>
          <w:rFonts w:ascii="Verdana" w:hAnsi="Verdana"/>
          <w:b/>
          <w:sz w:val="16"/>
          <w:szCs w:val="16"/>
        </w:rPr>
        <w:t>16</w:t>
      </w:r>
      <w:r w:rsidRPr="002751E6">
        <w:rPr>
          <w:rFonts w:ascii="Verdana" w:hAnsi="Verdana"/>
          <w:b/>
          <w:sz w:val="16"/>
          <w:szCs w:val="16"/>
        </w:rPr>
        <w:t>,</w:t>
      </w:r>
      <w:r>
        <w:rPr>
          <w:rFonts w:ascii="Verdana" w:hAnsi="Verdana"/>
          <w:b/>
          <w:sz w:val="16"/>
          <w:szCs w:val="16"/>
        </w:rPr>
        <w:t>7</w:t>
      </w:r>
      <w:r w:rsidRPr="002751E6">
        <w:rPr>
          <w:rFonts w:ascii="Verdana" w:hAnsi="Verdana"/>
          <w:b/>
          <w:sz w:val="16"/>
          <w:szCs w:val="16"/>
        </w:rPr>
        <w:t xml:space="preserve">% </w:t>
      </w:r>
      <w:r w:rsidRPr="000A6485">
        <w:rPr>
          <w:rFonts w:ascii="Verdana" w:hAnsi="Verdana"/>
          <w:sz w:val="16"/>
          <w:szCs w:val="16"/>
        </w:rPr>
        <w:t>całkowitych wpływów Miasta</w:t>
      </w:r>
      <w:r>
        <w:rPr>
          <w:rFonts w:ascii="Verdana" w:hAnsi="Verdana"/>
          <w:sz w:val="16"/>
          <w:szCs w:val="16"/>
        </w:rPr>
        <w:t xml:space="preserve"> w latach 2024-2028</w:t>
      </w:r>
      <w:r w:rsidRPr="000A6485">
        <w:rPr>
          <w:rFonts w:ascii="Verdana" w:hAnsi="Verdana"/>
          <w:sz w:val="16"/>
          <w:szCs w:val="16"/>
        </w:rPr>
        <w:t xml:space="preserve">. </w:t>
      </w:r>
    </w:p>
    <w:p w:rsidR="00CA374E" w:rsidRPr="000A6485" w:rsidRDefault="00CA374E" w:rsidP="00CA374E">
      <w:pPr>
        <w:spacing w:before="60" w:after="60"/>
        <w:ind w:firstLine="540"/>
        <w:jc w:val="both"/>
        <w:rPr>
          <w:rFonts w:ascii="Verdana" w:hAnsi="Verdana"/>
          <w:sz w:val="16"/>
          <w:szCs w:val="16"/>
        </w:rPr>
      </w:pPr>
      <w:r w:rsidRPr="000A6485">
        <w:rPr>
          <w:rFonts w:ascii="Verdana" w:hAnsi="Verdana"/>
          <w:sz w:val="16"/>
          <w:szCs w:val="16"/>
        </w:rPr>
        <w:t>Wielkość części oświatowej subwencji ogólnej dla wszystkich jednostek samorządu terytorialnego ustalana jest corocznie w ustawie budżetowej. Minister właściwy do spraw oświaty i wychowania dzieli część oświatową subwencji ogólnej między poszczególne j.s.t. biorąc pod uwagę zakres realizowanych przez te jednostki zadań oświatowych. W sposobie podziału części oświatowej subwencji ogólnej między poszczególne j.s.t. uwzględnia się w szczególności:</w:t>
      </w:r>
    </w:p>
    <w:p w:rsidR="00CA374E" w:rsidRPr="000A6485" w:rsidRDefault="00CA374E" w:rsidP="00CA374E">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stopnie awansu zawodowego nauczycieli,</w:t>
      </w:r>
    </w:p>
    <w:p w:rsidR="00CA374E" w:rsidRPr="000A6485" w:rsidRDefault="00CA374E" w:rsidP="00CA374E">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 xml:space="preserve">typy i rodzaje szkół i placówek, </w:t>
      </w:r>
    </w:p>
    <w:p w:rsidR="00CA374E" w:rsidRPr="000A6485" w:rsidRDefault="00CA374E" w:rsidP="00CA374E">
      <w:pPr>
        <w:numPr>
          <w:ilvl w:val="0"/>
          <w:numId w:val="9"/>
        </w:numPr>
        <w:tabs>
          <w:tab w:val="clear" w:pos="1080"/>
          <w:tab w:val="num" w:pos="540"/>
        </w:tabs>
        <w:spacing w:before="60" w:after="60"/>
        <w:ind w:left="538" w:hanging="181"/>
        <w:jc w:val="both"/>
        <w:rPr>
          <w:rFonts w:ascii="Verdana" w:hAnsi="Verdana"/>
          <w:sz w:val="16"/>
          <w:szCs w:val="16"/>
        </w:rPr>
      </w:pPr>
      <w:r w:rsidRPr="000A6485">
        <w:rPr>
          <w:rFonts w:ascii="Verdana" w:hAnsi="Verdana"/>
          <w:sz w:val="16"/>
          <w:szCs w:val="16"/>
        </w:rPr>
        <w:t>liczbę uczniów w tych szkołach i placówkach, prowadzonych przez poszczególne j.s.t.</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Zakłada się, że dokonujący się w Warszawie awans zawodowy nauczycieli, rosnąca ilość oraz duża różnorodność typów szkół i zwiększająca się liczba uczniów spowoduje, że obowiązujący sposób podziału części oświatowej subwencji ogólnej będzie korzystnie oddziaływał na wysokość należnej Warszawie subwencji. </w:t>
      </w:r>
    </w:p>
    <w:p w:rsidR="00CA374E" w:rsidRDefault="00CA374E" w:rsidP="00CA374E">
      <w:pPr>
        <w:spacing w:before="60" w:after="60"/>
        <w:ind w:firstLine="540"/>
        <w:jc w:val="both"/>
        <w:rPr>
          <w:rFonts w:ascii="Verdana" w:hAnsi="Verdana"/>
          <w:sz w:val="16"/>
          <w:szCs w:val="16"/>
        </w:rPr>
      </w:pPr>
      <w:r>
        <w:rPr>
          <w:rFonts w:ascii="Verdana" w:hAnsi="Verdana"/>
          <w:sz w:val="16"/>
          <w:szCs w:val="16"/>
        </w:rPr>
        <w:t>Z</w:t>
      </w:r>
      <w:r w:rsidRPr="000A6485">
        <w:rPr>
          <w:rFonts w:ascii="Verdana" w:hAnsi="Verdana"/>
          <w:sz w:val="16"/>
          <w:szCs w:val="16"/>
        </w:rPr>
        <w:t>ałożono</w:t>
      </w:r>
      <w:r>
        <w:rPr>
          <w:rFonts w:ascii="Verdana" w:hAnsi="Verdana"/>
          <w:sz w:val="16"/>
          <w:szCs w:val="16"/>
        </w:rPr>
        <w:t>, że dochody</w:t>
      </w:r>
      <w:r w:rsidRPr="000A6485">
        <w:rPr>
          <w:rFonts w:ascii="Verdana" w:hAnsi="Verdana"/>
          <w:sz w:val="16"/>
          <w:szCs w:val="16"/>
        </w:rPr>
        <w:t xml:space="preserve"> z tytułu subwencji og</w:t>
      </w:r>
      <w:r>
        <w:rPr>
          <w:rFonts w:ascii="Verdana" w:hAnsi="Verdana"/>
          <w:sz w:val="16"/>
          <w:szCs w:val="16"/>
        </w:rPr>
        <w:t>ólnej w części równoważącej m.st. Warszawa będzie otrzymywać w perspektywie najbliższych trzech lat w wysokości</w:t>
      </w:r>
      <w:r w:rsidRPr="004C27A9">
        <w:rPr>
          <w:rFonts w:ascii="Verdana" w:hAnsi="Verdana"/>
          <w:sz w:val="16"/>
          <w:szCs w:val="16"/>
        </w:rPr>
        <w:t xml:space="preserve">, </w:t>
      </w:r>
      <w:r w:rsidRPr="00004AD8">
        <w:rPr>
          <w:rFonts w:ascii="Verdana" w:hAnsi="Verdana"/>
          <w:sz w:val="16"/>
          <w:szCs w:val="16"/>
        </w:rPr>
        <w:t xml:space="preserve">z tego </w:t>
      </w:r>
      <w:r>
        <w:rPr>
          <w:rFonts w:ascii="Verdana" w:hAnsi="Verdana"/>
          <w:b/>
          <w:sz w:val="16"/>
          <w:szCs w:val="16"/>
        </w:rPr>
        <w:t>366,5</w:t>
      </w:r>
      <w:r w:rsidRPr="00441563">
        <w:rPr>
          <w:rFonts w:ascii="Verdana" w:hAnsi="Verdana"/>
          <w:b/>
          <w:sz w:val="16"/>
          <w:szCs w:val="16"/>
        </w:rPr>
        <w:t xml:space="preserve"> mln zł</w:t>
      </w:r>
      <w:r>
        <w:rPr>
          <w:rFonts w:ascii="Verdana" w:hAnsi="Verdana"/>
          <w:sz w:val="16"/>
          <w:szCs w:val="16"/>
        </w:rPr>
        <w:t xml:space="preserve"> w 2024 r. zgodnie z informacją Ministra Finansów, </w:t>
      </w:r>
      <w:r>
        <w:rPr>
          <w:rFonts w:ascii="Verdana" w:hAnsi="Verdana"/>
          <w:b/>
          <w:sz w:val="16"/>
          <w:szCs w:val="16"/>
        </w:rPr>
        <w:t>250</w:t>
      </w:r>
      <w:r w:rsidRPr="00441563">
        <w:rPr>
          <w:rFonts w:ascii="Verdana" w:hAnsi="Verdana"/>
          <w:b/>
          <w:sz w:val="16"/>
          <w:szCs w:val="16"/>
        </w:rPr>
        <w:t xml:space="preserve"> mln zł</w:t>
      </w:r>
      <w:r>
        <w:rPr>
          <w:rFonts w:ascii="Verdana" w:hAnsi="Verdana"/>
          <w:sz w:val="16"/>
          <w:szCs w:val="16"/>
        </w:rPr>
        <w:t xml:space="preserve"> w 2025 r. oraz </w:t>
      </w:r>
      <w:r>
        <w:rPr>
          <w:rFonts w:ascii="Verdana" w:hAnsi="Verdana"/>
          <w:b/>
          <w:sz w:val="16"/>
          <w:szCs w:val="16"/>
        </w:rPr>
        <w:t>200</w:t>
      </w:r>
      <w:r w:rsidRPr="00441563">
        <w:rPr>
          <w:rFonts w:ascii="Verdana" w:hAnsi="Verdana"/>
          <w:b/>
          <w:sz w:val="16"/>
          <w:szCs w:val="16"/>
        </w:rPr>
        <w:t xml:space="preserve"> mln zł</w:t>
      </w:r>
      <w:r>
        <w:rPr>
          <w:rFonts w:ascii="Verdana" w:hAnsi="Verdana"/>
          <w:sz w:val="16"/>
          <w:szCs w:val="16"/>
        </w:rPr>
        <w:t xml:space="preserve"> w 2026 r. Od 2027 r. nie zaplanowano dochodów z tego tytułu w związku z trwającymi w Ministerstwie Finansów pracami nad zmianą systemu wyrównawczego między jednostkami samorządu terytorialnego.</w:t>
      </w:r>
    </w:p>
    <w:p w:rsidR="00CA374E" w:rsidRDefault="00CA374E" w:rsidP="00CA374E">
      <w:pPr>
        <w:spacing w:before="60" w:after="60"/>
        <w:ind w:firstLine="540"/>
        <w:jc w:val="both"/>
        <w:rPr>
          <w:rFonts w:ascii="Verdana" w:hAnsi="Verdana"/>
          <w:sz w:val="16"/>
          <w:szCs w:val="16"/>
        </w:rPr>
      </w:pPr>
      <w:r>
        <w:rPr>
          <w:rFonts w:ascii="Verdana" w:hAnsi="Verdana"/>
          <w:sz w:val="16"/>
          <w:szCs w:val="16"/>
        </w:rPr>
        <w:t xml:space="preserve">Zgodnie z ustawą </w:t>
      </w:r>
      <w:r w:rsidRPr="004C27A9">
        <w:rPr>
          <w:rFonts w:ascii="Verdana" w:hAnsi="Verdana"/>
          <w:sz w:val="16"/>
          <w:szCs w:val="16"/>
        </w:rPr>
        <w:t xml:space="preserve">o dochodach </w:t>
      </w:r>
      <w:r>
        <w:rPr>
          <w:rFonts w:ascii="Verdana" w:hAnsi="Verdana"/>
          <w:sz w:val="16"/>
          <w:szCs w:val="16"/>
        </w:rPr>
        <w:t>jednostek samorządu terytorialnego</w:t>
      </w:r>
      <w:r w:rsidRPr="004C27A9">
        <w:rPr>
          <w:rFonts w:ascii="Verdana" w:hAnsi="Verdana"/>
          <w:sz w:val="16"/>
          <w:szCs w:val="16"/>
        </w:rPr>
        <w:t xml:space="preserve"> </w:t>
      </w:r>
      <w:r>
        <w:rPr>
          <w:rFonts w:ascii="Verdana" w:hAnsi="Verdana"/>
          <w:sz w:val="16"/>
          <w:szCs w:val="16"/>
        </w:rPr>
        <w:t>Warszawa powinna zacząć otrzymywać od 2023 r. c</w:t>
      </w:r>
      <w:r w:rsidRPr="00537533">
        <w:rPr>
          <w:rFonts w:ascii="Verdana" w:hAnsi="Verdana"/>
          <w:sz w:val="16"/>
          <w:szCs w:val="16"/>
        </w:rPr>
        <w:t>zęść rozwojow</w:t>
      </w:r>
      <w:r>
        <w:rPr>
          <w:rFonts w:ascii="Verdana" w:hAnsi="Verdana"/>
          <w:sz w:val="16"/>
          <w:szCs w:val="16"/>
        </w:rPr>
        <w:t>ą</w:t>
      </w:r>
      <w:r w:rsidRPr="00537533">
        <w:rPr>
          <w:rFonts w:ascii="Verdana" w:hAnsi="Verdana"/>
          <w:sz w:val="16"/>
          <w:szCs w:val="16"/>
        </w:rPr>
        <w:t xml:space="preserve"> subwencji ogólnej</w:t>
      </w:r>
      <w:r>
        <w:rPr>
          <w:rFonts w:ascii="Verdana" w:hAnsi="Verdana"/>
          <w:sz w:val="16"/>
          <w:szCs w:val="16"/>
        </w:rPr>
        <w:t xml:space="preserve">. </w:t>
      </w:r>
    </w:p>
    <w:p w:rsidR="00CA374E" w:rsidRPr="004C27A9" w:rsidRDefault="00CA374E" w:rsidP="00CA374E">
      <w:pPr>
        <w:spacing w:before="60" w:after="60"/>
        <w:ind w:firstLine="540"/>
        <w:jc w:val="both"/>
        <w:rPr>
          <w:rFonts w:ascii="Verdana" w:hAnsi="Verdana"/>
          <w:sz w:val="16"/>
          <w:szCs w:val="16"/>
        </w:rPr>
      </w:pPr>
      <w:r>
        <w:rPr>
          <w:rFonts w:ascii="Verdana" w:hAnsi="Verdana"/>
          <w:sz w:val="16"/>
          <w:szCs w:val="16"/>
        </w:rPr>
        <w:t>Po wprowadzeniu Polskiego Ładu obniżającego na trwale dochody JST z PIT, ustawodawca wprowadzając część rozwojową postanowił w części rekompensować ubytki w dochodach JST na wypadek uchwalenia kolejnych zmian w podatkach skutkujących obniżeniem dochodów z PIT lub CIT.</w:t>
      </w:r>
      <w:r w:rsidRPr="004C27A9">
        <w:rPr>
          <w:rFonts w:ascii="Verdana" w:hAnsi="Verdana"/>
          <w:sz w:val="16"/>
          <w:szCs w:val="16"/>
        </w:rPr>
        <w:t xml:space="preserve"> Wprowadzono bowiem regułę dochodową stanowiącą, że prognozowane na rok budżetowy dochody JST z PIT i CIT oraz część rozwojowa subwencji ogólnej nie mogą być niższe od referencyjnej kwoty rocznego dochodu JST z PIT i CIT:</w:t>
      </w:r>
    </w:p>
    <w:p w:rsidR="00CA374E" w:rsidRPr="004F6895" w:rsidRDefault="00CA374E" w:rsidP="00CA374E">
      <w:pPr>
        <w:autoSpaceDE w:val="0"/>
        <w:autoSpaceDN w:val="0"/>
        <w:adjustRightInd w:val="0"/>
        <w:spacing w:before="60" w:after="60"/>
        <w:jc w:val="both"/>
        <w:rPr>
          <w:rFonts w:ascii="Verdana" w:hAnsi="Verdana" w:cs="Arial"/>
          <w:sz w:val="16"/>
          <w:szCs w:val="16"/>
        </w:rPr>
      </w:pPr>
      <m:oMathPara>
        <m:oMath>
          <m:r>
            <w:rPr>
              <w:rFonts w:ascii="Cambria Math" w:hAnsi="Cambria Math" w:cs="Arial"/>
              <w:sz w:val="16"/>
              <w:szCs w:val="16"/>
            </w:rPr>
            <m:t xml:space="preserve">Prognozowane PIT+CIT+subwencja rozwojowa≥kwota referencyjna   </m:t>
          </m:r>
        </m:oMath>
      </m:oMathPara>
    </w:p>
    <w:p w:rsidR="00CA374E" w:rsidRPr="00441563" w:rsidRDefault="00CA374E" w:rsidP="00CA374E">
      <w:pPr>
        <w:spacing w:before="60" w:after="60"/>
        <w:jc w:val="both"/>
        <w:rPr>
          <w:rFonts w:ascii="Verdana" w:hAnsi="Verdana"/>
          <w:sz w:val="16"/>
          <w:szCs w:val="16"/>
        </w:rPr>
      </w:pPr>
      <w:r w:rsidRPr="00441563">
        <w:rPr>
          <w:rFonts w:ascii="Verdana" w:hAnsi="Verdana"/>
          <w:sz w:val="16"/>
          <w:szCs w:val="16"/>
        </w:rPr>
        <w:t xml:space="preserve">W przypadku gdy powyższy warunek nie byłby spełniony odpowiedniemu zwiększeniu </w:t>
      </w:r>
      <w:r>
        <w:rPr>
          <w:rFonts w:ascii="Verdana" w:hAnsi="Verdana"/>
          <w:sz w:val="16"/>
          <w:szCs w:val="16"/>
        </w:rPr>
        <w:t>ma</w:t>
      </w:r>
      <w:r w:rsidRPr="00441563">
        <w:rPr>
          <w:rFonts w:ascii="Verdana" w:hAnsi="Verdana"/>
          <w:sz w:val="16"/>
          <w:szCs w:val="16"/>
        </w:rPr>
        <w:t xml:space="preserve"> podlegać </w:t>
      </w:r>
      <w:r>
        <w:rPr>
          <w:rFonts w:ascii="Verdana" w:hAnsi="Verdana" w:cs="Arial"/>
          <w:sz w:val="16"/>
          <w:szCs w:val="16"/>
        </w:rPr>
        <w:t>kwota podstawowa części rozwojowej</w:t>
      </w:r>
      <w:r w:rsidRPr="004F6895">
        <w:rPr>
          <w:rFonts w:ascii="Verdana" w:hAnsi="Verdana" w:cs="Arial"/>
          <w:sz w:val="16"/>
          <w:szCs w:val="16"/>
        </w:rPr>
        <w:t xml:space="preserve"> </w:t>
      </w:r>
      <w:r w:rsidRPr="00441563">
        <w:rPr>
          <w:rFonts w:ascii="Verdana" w:hAnsi="Verdana"/>
          <w:sz w:val="16"/>
          <w:szCs w:val="16"/>
        </w:rPr>
        <w:t>subwencji ogólnej.</w:t>
      </w:r>
    </w:p>
    <w:p w:rsidR="00CA374E" w:rsidRDefault="00CA374E" w:rsidP="00CA374E">
      <w:pPr>
        <w:autoSpaceDE w:val="0"/>
        <w:autoSpaceDN w:val="0"/>
        <w:adjustRightInd w:val="0"/>
        <w:spacing w:before="60" w:after="60"/>
        <w:jc w:val="both"/>
        <w:rPr>
          <w:rFonts w:ascii="Verdana" w:hAnsi="Verdana" w:cs="Arial"/>
          <w:sz w:val="16"/>
          <w:szCs w:val="16"/>
        </w:rPr>
      </w:pPr>
      <w:r>
        <w:rPr>
          <w:rFonts w:ascii="Verdana" w:hAnsi="Verdana" w:cs="Arial"/>
          <w:sz w:val="16"/>
          <w:szCs w:val="16"/>
        </w:rPr>
        <w:t>Na skutek działania ww. reguły dochodowej, w związku z wprowadzeniem modyfikacji Programu Polski Ład, część rozwojowa subwencji ogólnej, rekompensująca ubytki w dochodach z PIT wszystkim JST miała wynieść zgodnie z szacunkami przeprowadzonymi na etapie projektu ustawy:</w:t>
      </w:r>
    </w:p>
    <w:p w:rsidR="00CA374E" w:rsidRDefault="00CA374E" w:rsidP="00CA374E">
      <w:pPr>
        <w:pStyle w:val="Akapitzlist"/>
        <w:numPr>
          <w:ilvl w:val="0"/>
          <w:numId w:val="67"/>
        </w:numPr>
        <w:autoSpaceDE w:val="0"/>
        <w:autoSpaceDN w:val="0"/>
        <w:adjustRightInd w:val="0"/>
        <w:spacing w:before="60" w:after="60"/>
        <w:jc w:val="both"/>
        <w:rPr>
          <w:rFonts w:ascii="Verdana" w:hAnsi="Verdana" w:cs="Arial"/>
          <w:sz w:val="16"/>
          <w:szCs w:val="16"/>
        </w:rPr>
      </w:pPr>
      <w:r>
        <w:rPr>
          <w:rFonts w:ascii="Verdana" w:hAnsi="Verdana" w:cs="Arial"/>
          <w:b/>
          <w:sz w:val="16"/>
          <w:szCs w:val="16"/>
        </w:rPr>
        <w:t>10,3</w:t>
      </w:r>
      <w:r w:rsidRPr="0088508F">
        <w:rPr>
          <w:rFonts w:ascii="Verdana" w:hAnsi="Verdana" w:cs="Arial"/>
          <w:b/>
          <w:sz w:val="16"/>
          <w:szCs w:val="16"/>
        </w:rPr>
        <w:t xml:space="preserve"> mld zł</w:t>
      </w:r>
      <w:r>
        <w:rPr>
          <w:rFonts w:ascii="Verdana" w:hAnsi="Verdana" w:cs="Arial"/>
          <w:sz w:val="16"/>
          <w:szCs w:val="16"/>
        </w:rPr>
        <w:t xml:space="preserve"> w 2023 r.,</w:t>
      </w:r>
    </w:p>
    <w:p w:rsidR="00CA374E" w:rsidRDefault="00CA374E" w:rsidP="00CA374E">
      <w:pPr>
        <w:pStyle w:val="Akapitzlist"/>
        <w:numPr>
          <w:ilvl w:val="0"/>
          <w:numId w:val="67"/>
        </w:numPr>
        <w:autoSpaceDE w:val="0"/>
        <w:autoSpaceDN w:val="0"/>
        <w:adjustRightInd w:val="0"/>
        <w:spacing w:before="60" w:after="60"/>
        <w:jc w:val="both"/>
        <w:rPr>
          <w:rFonts w:ascii="Verdana" w:hAnsi="Verdana" w:cs="Arial"/>
          <w:sz w:val="16"/>
          <w:szCs w:val="16"/>
        </w:rPr>
      </w:pPr>
      <w:r w:rsidRPr="00A404E2">
        <w:rPr>
          <w:rFonts w:ascii="Verdana" w:hAnsi="Verdana" w:cs="Arial"/>
          <w:b/>
          <w:sz w:val="16"/>
          <w:szCs w:val="16"/>
        </w:rPr>
        <w:t>9,2 mld zł</w:t>
      </w:r>
      <w:r>
        <w:rPr>
          <w:rFonts w:ascii="Verdana" w:hAnsi="Verdana" w:cs="Arial"/>
          <w:sz w:val="16"/>
          <w:szCs w:val="16"/>
        </w:rPr>
        <w:t xml:space="preserve"> w 2024 r.</w:t>
      </w:r>
    </w:p>
    <w:p w:rsidR="00CA374E" w:rsidRPr="00684A7A" w:rsidRDefault="00CA374E" w:rsidP="00CA374E">
      <w:pPr>
        <w:autoSpaceDE w:val="0"/>
        <w:autoSpaceDN w:val="0"/>
        <w:adjustRightInd w:val="0"/>
        <w:spacing w:before="60" w:after="60"/>
        <w:jc w:val="both"/>
        <w:rPr>
          <w:rFonts w:ascii="Verdana" w:hAnsi="Verdana" w:cs="Arial"/>
          <w:sz w:val="16"/>
          <w:szCs w:val="16"/>
        </w:rPr>
      </w:pPr>
      <w:r w:rsidRPr="00684A7A">
        <w:rPr>
          <w:rFonts w:ascii="Verdana" w:hAnsi="Verdana"/>
          <w:sz w:val="16"/>
          <w:szCs w:val="16"/>
        </w:rPr>
        <w:t>Powyższe kwoty nie rekompensowałyby w pełni dla każdej JST ubytku w dochodach własnych JST, bowiem:</w:t>
      </w:r>
    </w:p>
    <w:p w:rsidR="00CA374E" w:rsidRPr="00441563" w:rsidRDefault="00CA374E" w:rsidP="00CA374E">
      <w:pPr>
        <w:pStyle w:val="Akapitzlist"/>
        <w:numPr>
          <w:ilvl w:val="0"/>
          <w:numId w:val="55"/>
        </w:numPr>
        <w:spacing w:before="60" w:after="60"/>
        <w:contextualSpacing w:val="0"/>
        <w:jc w:val="both"/>
        <w:rPr>
          <w:rFonts w:ascii="Verdana" w:hAnsi="Verdana"/>
          <w:sz w:val="16"/>
          <w:szCs w:val="16"/>
        </w:rPr>
      </w:pPr>
      <w:r w:rsidRPr="00441563">
        <w:rPr>
          <w:rFonts w:ascii="Verdana" w:hAnsi="Verdana"/>
          <w:sz w:val="16"/>
          <w:szCs w:val="16"/>
        </w:rPr>
        <w:t xml:space="preserve">kwoty referencyjne na kolejne lata są istotnie zaniżone, w tym kwota dla 2022 r., wskazana ustawie </w:t>
      </w:r>
      <w:r>
        <w:rPr>
          <w:rFonts w:ascii="Verdana" w:hAnsi="Verdana"/>
          <w:sz w:val="16"/>
          <w:szCs w:val="16"/>
        </w:rPr>
        <w:br/>
      </w:r>
      <w:r w:rsidRPr="00441563">
        <w:rPr>
          <w:rFonts w:ascii="Verdana" w:hAnsi="Verdana"/>
          <w:sz w:val="16"/>
          <w:szCs w:val="16"/>
        </w:rPr>
        <w:t xml:space="preserve">o dochodach jednostek samorządu terytorialnego, została błędnie ustalona na poziomie zaniżonym </w:t>
      </w:r>
      <w:r>
        <w:rPr>
          <w:rFonts w:ascii="Verdana" w:hAnsi="Verdana"/>
          <w:sz w:val="16"/>
          <w:szCs w:val="16"/>
        </w:rPr>
        <w:br/>
      </w:r>
      <w:r w:rsidRPr="00441563">
        <w:rPr>
          <w:rFonts w:ascii="Verdana" w:hAnsi="Verdana"/>
          <w:sz w:val="16"/>
          <w:szCs w:val="16"/>
        </w:rPr>
        <w:t xml:space="preserve">o blisko </w:t>
      </w:r>
      <w:r w:rsidRPr="00441563">
        <w:rPr>
          <w:rFonts w:ascii="Verdana" w:hAnsi="Verdana"/>
          <w:b/>
          <w:sz w:val="16"/>
          <w:szCs w:val="16"/>
        </w:rPr>
        <w:t>10 mld zł</w:t>
      </w:r>
      <w:r w:rsidRPr="00441563">
        <w:rPr>
          <w:rFonts w:ascii="Verdana" w:hAnsi="Verdana"/>
          <w:sz w:val="16"/>
          <w:szCs w:val="16"/>
        </w:rPr>
        <w:t xml:space="preserve"> (w kwocie 69.946 mln zł zamiast 79.757 mln zł),</w:t>
      </w:r>
    </w:p>
    <w:p w:rsidR="00CA374E" w:rsidRDefault="00CA374E" w:rsidP="00CA374E">
      <w:pPr>
        <w:pStyle w:val="Akapitzlist"/>
        <w:numPr>
          <w:ilvl w:val="0"/>
          <w:numId w:val="55"/>
        </w:numPr>
        <w:spacing w:before="60" w:after="60"/>
        <w:contextualSpacing w:val="0"/>
        <w:jc w:val="both"/>
        <w:rPr>
          <w:rFonts w:ascii="Verdana" w:hAnsi="Verdana"/>
          <w:sz w:val="16"/>
          <w:szCs w:val="16"/>
        </w:rPr>
      </w:pPr>
      <w:r w:rsidRPr="00441563">
        <w:rPr>
          <w:rFonts w:ascii="Verdana" w:hAnsi="Verdana"/>
          <w:sz w:val="16"/>
          <w:szCs w:val="16"/>
        </w:rPr>
        <w:t>sposób podziału części rozwojowej subwencji ogólnej</w:t>
      </w:r>
      <w:r>
        <w:rPr>
          <w:rFonts w:ascii="Verdana" w:hAnsi="Verdana"/>
          <w:sz w:val="16"/>
          <w:szCs w:val="16"/>
        </w:rPr>
        <w:t xml:space="preserve"> między poszczególne JST</w:t>
      </w:r>
      <w:r w:rsidRPr="00441563">
        <w:rPr>
          <w:rFonts w:ascii="Verdana" w:hAnsi="Verdana"/>
          <w:sz w:val="16"/>
          <w:szCs w:val="16"/>
        </w:rPr>
        <w:t xml:space="preserve"> został dokonany według niewłaściwej metodologii, która nie rekompensuje w pełni każdej JST ubytków w dochodach z PIT.</w:t>
      </w:r>
      <w:r>
        <w:rPr>
          <w:rFonts w:ascii="Verdana" w:hAnsi="Verdana"/>
          <w:sz w:val="16"/>
          <w:szCs w:val="16"/>
        </w:rPr>
        <w:br w:type="page"/>
      </w:r>
    </w:p>
    <w:p w:rsidR="00CA374E" w:rsidRDefault="00CA374E" w:rsidP="00CA374E">
      <w:pPr>
        <w:autoSpaceDE w:val="0"/>
        <w:autoSpaceDN w:val="0"/>
        <w:adjustRightInd w:val="0"/>
        <w:spacing w:before="60" w:after="60"/>
        <w:jc w:val="both"/>
        <w:rPr>
          <w:rFonts w:ascii="Verdana" w:hAnsi="Verdana" w:cs="Arial"/>
          <w:sz w:val="16"/>
          <w:szCs w:val="16"/>
        </w:rPr>
      </w:pPr>
      <w:r>
        <w:rPr>
          <w:rFonts w:ascii="Verdana" w:hAnsi="Verdana" w:cs="Arial"/>
          <w:sz w:val="16"/>
          <w:szCs w:val="16"/>
        </w:rPr>
        <w:lastRenderedPageBreak/>
        <w:t>Jednakże na podstawie :</w:t>
      </w:r>
    </w:p>
    <w:p w:rsidR="00CA374E" w:rsidRPr="00A404E2" w:rsidRDefault="00CA374E" w:rsidP="00CA374E">
      <w:pPr>
        <w:pStyle w:val="Akapitzlist"/>
        <w:numPr>
          <w:ilvl w:val="0"/>
          <w:numId w:val="68"/>
        </w:numPr>
        <w:autoSpaceDE w:val="0"/>
        <w:autoSpaceDN w:val="0"/>
        <w:adjustRightInd w:val="0"/>
        <w:spacing w:before="60" w:after="60"/>
        <w:jc w:val="both"/>
        <w:rPr>
          <w:rFonts w:ascii="Verdana" w:hAnsi="Verdana"/>
          <w:sz w:val="16"/>
          <w:szCs w:val="16"/>
        </w:rPr>
      </w:pPr>
      <w:r w:rsidRPr="00A404E2">
        <w:rPr>
          <w:rFonts w:ascii="Verdana" w:hAnsi="Verdana" w:cs="Arial"/>
          <w:sz w:val="16"/>
          <w:szCs w:val="16"/>
        </w:rPr>
        <w:t>ustaw</w:t>
      </w:r>
      <w:r>
        <w:rPr>
          <w:rFonts w:ascii="Verdana" w:hAnsi="Verdana" w:cs="Arial"/>
          <w:sz w:val="16"/>
          <w:szCs w:val="16"/>
        </w:rPr>
        <w:t>y</w:t>
      </w:r>
      <w:r w:rsidRPr="00A404E2">
        <w:rPr>
          <w:rFonts w:ascii="Verdana" w:hAnsi="Verdana" w:cs="Arial"/>
          <w:sz w:val="16"/>
          <w:szCs w:val="16"/>
        </w:rPr>
        <w:t xml:space="preserve"> z 15 września 2022 r</w:t>
      </w:r>
      <w:r w:rsidRPr="00A404E2">
        <w:rPr>
          <w:rFonts w:ascii="Verdana" w:hAnsi="Verdana" w:cs="Arial"/>
          <w:i/>
          <w:sz w:val="16"/>
          <w:szCs w:val="16"/>
        </w:rPr>
        <w:t>. o zmianie ustawy o dochodach jednostek samorządu terytorialnego oraz niektórych innych ustaw</w:t>
      </w:r>
      <w:r>
        <w:rPr>
          <w:rFonts w:ascii="Verdana" w:hAnsi="Verdana" w:cs="Arial"/>
          <w:sz w:val="16"/>
          <w:szCs w:val="16"/>
        </w:rPr>
        <w:t>,</w:t>
      </w:r>
    </w:p>
    <w:p w:rsidR="00CA374E" w:rsidRPr="00A404E2" w:rsidRDefault="00CA374E" w:rsidP="00CA374E">
      <w:pPr>
        <w:pStyle w:val="Akapitzlist"/>
        <w:numPr>
          <w:ilvl w:val="0"/>
          <w:numId w:val="68"/>
        </w:numPr>
        <w:autoSpaceDE w:val="0"/>
        <w:autoSpaceDN w:val="0"/>
        <w:adjustRightInd w:val="0"/>
        <w:spacing w:before="60" w:after="60"/>
        <w:jc w:val="both"/>
        <w:rPr>
          <w:rFonts w:ascii="Verdana" w:hAnsi="Verdana"/>
          <w:sz w:val="16"/>
          <w:szCs w:val="16"/>
        </w:rPr>
      </w:pPr>
      <w:r w:rsidRPr="00A404E2">
        <w:rPr>
          <w:rFonts w:ascii="Verdana" w:hAnsi="Verdana"/>
          <w:sz w:val="16"/>
          <w:szCs w:val="16"/>
        </w:rPr>
        <w:t>projek</w:t>
      </w:r>
      <w:r>
        <w:rPr>
          <w:rFonts w:ascii="Verdana" w:hAnsi="Verdana"/>
          <w:sz w:val="16"/>
          <w:szCs w:val="16"/>
        </w:rPr>
        <w:t>tu</w:t>
      </w:r>
      <w:r w:rsidRPr="00A404E2">
        <w:rPr>
          <w:rFonts w:ascii="Verdana" w:hAnsi="Verdana"/>
          <w:sz w:val="16"/>
          <w:szCs w:val="16"/>
        </w:rPr>
        <w:t xml:space="preserve"> ustawy o szczególnych rozwiązaniach służących realizacji ustawy budżetowej na rok 2024</w:t>
      </w:r>
      <w:r>
        <w:rPr>
          <w:rFonts w:ascii="Verdana" w:hAnsi="Verdana"/>
          <w:sz w:val="16"/>
          <w:szCs w:val="16"/>
        </w:rPr>
        <w:t>,</w:t>
      </w:r>
    </w:p>
    <w:p w:rsidR="00CA374E" w:rsidRPr="00011AAA" w:rsidRDefault="00CA374E" w:rsidP="00CA374E">
      <w:pPr>
        <w:autoSpaceDE w:val="0"/>
        <w:autoSpaceDN w:val="0"/>
        <w:adjustRightInd w:val="0"/>
        <w:spacing w:before="60" w:after="60"/>
        <w:jc w:val="both"/>
        <w:rPr>
          <w:rFonts w:ascii="Verdana" w:hAnsi="Verdana" w:cs="Arial"/>
          <w:sz w:val="16"/>
          <w:szCs w:val="16"/>
        </w:rPr>
      </w:pPr>
      <w:r w:rsidRPr="00A404E2">
        <w:rPr>
          <w:rFonts w:ascii="Verdana" w:hAnsi="Verdana" w:cs="Arial"/>
          <w:sz w:val="16"/>
          <w:szCs w:val="16"/>
        </w:rPr>
        <w:t>zawie</w:t>
      </w:r>
      <w:r>
        <w:rPr>
          <w:rFonts w:ascii="Verdana" w:hAnsi="Verdana" w:cs="Arial"/>
          <w:sz w:val="16"/>
          <w:szCs w:val="16"/>
        </w:rPr>
        <w:t xml:space="preserve">szono w 2023 r., a następnie także w 2024 r. </w:t>
      </w:r>
      <w:r w:rsidRPr="00A404E2">
        <w:rPr>
          <w:rFonts w:ascii="Verdana" w:hAnsi="Verdana" w:cs="Arial"/>
          <w:sz w:val="16"/>
          <w:szCs w:val="16"/>
        </w:rPr>
        <w:t xml:space="preserve">wypłatę dla wszystkich JST, w tym dla m.st. Warszawy, części </w:t>
      </w:r>
      <w:r w:rsidRPr="00A404E2">
        <w:rPr>
          <w:rFonts w:ascii="Verdana" w:hAnsi="Verdana"/>
          <w:sz w:val="16"/>
          <w:szCs w:val="16"/>
        </w:rPr>
        <w:t>rozwojowej subwencji ogólnej</w:t>
      </w:r>
      <w:r>
        <w:rPr>
          <w:rFonts w:ascii="Verdana" w:hAnsi="Verdana"/>
          <w:sz w:val="16"/>
          <w:szCs w:val="16"/>
        </w:rPr>
        <w:t>.</w:t>
      </w:r>
    </w:p>
    <w:p w:rsidR="00CA374E" w:rsidRDefault="00CA374E" w:rsidP="00CA374E">
      <w:pPr>
        <w:spacing w:before="60" w:after="60"/>
        <w:ind w:firstLine="540"/>
        <w:jc w:val="both"/>
        <w:rPr>
          <w:rFonts w:ascii="Verdana" w:hAnsi="Verdana"/>
          <w:sz w:val="16"/>
          <w:szCs w:val="16"/>
        </w:rPr>
      </w:pPr>
      <w:r>
        <w:rPr>
          <w:rFonts w:ascii="Verdana" w:hAnsi="Verdana"/>
          <w:sz w:val="16"/>
          <w:szCs w:val="16"/>
        </w:rPr>
        <w:t>Zgodnie z obowiązującymi przepisami ustawy o dochodach JST p</w:t>
      </w:r>
      <w:r w:rsidRPr="000A6485">
        <w:rPr>
          <w:rFonts w:ascii="Verdana" w:hAnsi="Verdana"/>
          <w:sz w:val="16"/>
          <w:szCs w:val="16"/>
        </w:rPr>
        <w:t>rognozuje się, że</w:t>
      </w:r>
      <w:r>
        <w:rPr>
          <w:rFonts w:ascii="Verdana" w:hAnsi="Verdana"/>
          <w:sz w:val="16"/>
          <w:szCs w:val="16"/>
        </w:rPr>
        <w:t xml:space="preserve"> w kolejnych latach </w:t>
      </w:r>
      <w:r w:rsidRPr="000A6485">
        <w:rPr>
          <w:rFonts w:ascii="Verdana" w:hAnsi="Verdana"/>
          <w:sz w:val="16"/>
          <w:szCs w:val="16"/>
        </w:rPr>
        <w:t xml:space="preserve">wpływy m.st. Warszawy z </w:t>
      </w:r>
      <w:r>
        <w:rPr>
          <w:rFonts w:ascii="Verdana" w:hAnsi="Verdana" w:cs="Arial"/>
          <w:sz w:val="16"/>
          <w:szCs w:val="16"/>
        </w:rPr>
        <w:t>części rozwojowej subwencji ogólnej</w:t>
      </w:r>
      <w:r>
        <w:rPr>
          <w:rFonts w:ascii="Verdana" w:hAnsi="Verdana"/>
          <w:sz w:val="16"/>
          <w:szCs w:val="16"/>
        </w:rPr>
        <w:t xml:space="preserve"> w </w:t>
      </w:r>
      <w:r w:rsidRPr="000A6485">
        <w:rPr>
          <w:rFonts w:ascii="Verdana" w:hAnsi="Verdana"/>
          <w:sz w:val="16"/>
          <w:szCs w:val="16"/>
        </w:rPr>
        <w:t>okresie od 202</w:t>
      </w:r>
      <w:r>
        <w:rPr>
          <w:rFonts w:ascii="Verdana" w:hAnsi="Verdana"/>
          <w:sz w:val="16"/>
          <w:szCs w:val="16"/>
        </w:rPr>
        <w:t>5</w:t>
      </w:r>
      <w:r w:rsidRPr="000A6485">
        <w:rPr>
          <w:rFonts w:ascii="Verdana" w:hAnsi="Verdana"/>
          <w:sz w:val="16"/>
          <w:szCs w:val="16"/>
        </w:rPr>
        <w:t xml:space="preserve"> do 202</w:t>
      </w:r>
      <w:r>
        <w:rPr>
          <w:rFonts w:ascii="Verdana" w:hAnsi="Verdana"/>
          <w:sz w:val="16"/>
          <w:szCs w:val="16"/>
        </w:rPr>
        <w:t>8</w:t>
      </w:r>
      <w:r w:rsidRPr="000A6485">
        <w:rPr>
          <w:rFonts w:ascii="Verdana" w:hAnsi="Verdana"/>
          <w:sz w:val="16"/>
          <w:szCs w:val="16"/>
        </w:rPr>
        <w:t xml:space="preserve"> r. wyniosą łącznie </w:t>
      </w:r>
      <w:r>
        <w:rPr>
          <w:rFonts w:ascii="Verdana" w:hAnsi="Verdana"/>
          <w:b/>
          <w:sz w:val="16"/>
          <w:szCs w:val="16"/>
        </w:rPr>
        <w:t>215 mln</w:t>
      </w:r>
      <w:r w:rsidRPr="000A6485">
        <w:rPr>
          <w:rFonts w:ascii="Verdana" w:hAnsi="Verdana"/>
          <w:b/>
          <w:sz w:val="16"/>
          <w:szCs w:val="16"/>
        </w:rPr>
        <w:t xml:space="preserve"> zł</w:t>
      </w:r>
      <w:r w:rsidRPr="000A6485">
        <w:rPr>
          <w:rFonts w:ascii="Verdana" w:hAnsi="Verdana"/>
          <w:sz w:val="16"/>
          <w:szCs w:val="16"/>
        </w:rPr>
        <w:t xml:space="preserve">, co będzie stanowiło </w:t>
      </w:r>
      <w:r>
        <w:rPr>
          <w:rFonts w:ascii="Verdana" w:hAnsi="Verdana"/>
          <w:b/>
          <w:sz w:val="16"/>
          <w:szCs w:val="16"/>
        </w:rPr>
        <w:t>0,2</w:t>
      </w:r>
      <w:r w:rsidRPr="000A6485">
        <w:rPr>
          <w:rFonts w:ascii="Verdana" w:hAnsi="Verdana"/>
          <w:b/>
          <w:sz w:val="16"/>
          <w:szCs w:val="16"/>
        </w:rPr>
        <w:t>%</w:t>
      </w:r>
      <w:r w:rsidRPr="000A6485">
        <w:rPr>
          <w:rFonts w:ascii="Verdana" w:hAnsi="Verdana"/>
          <w:sz w:val="16"/>
          <w:szCs w:val="16"/>
        </w:rPr>
        <w:t xml:space="preserve"> planowanych do realizacj</w:t>
      </w:r>
      <w:r>
        <w:rPr>
          <w:rFonts w:ascii="Verdana" w:hAnsi="Verdana"/>
          <w:sz w:val="16"/>
          <w:szCs w:val="16"/>
        </w:rPr>
        <w:t xml:space="preserve">i w tym okresie dochodów ogółem, z tego </w:t>
      </w:r>
      <w:r>
        <w:rPr>
          <w:rFonts w:ascii="Verdana" w:hAnsi="Verdana"/>
          <w:b/>
          <w:sz w:val="16"/>
          <w:szCs w:val="16"/>
        </w:rPr>
        <w:t>45 mln </w:t>
      </w:r>
      <w:r w:rsidRPr="00072D89">
        <w:rPr>
          <w:rFonts w:ascii="Verdana" w:hAnsi="Verdana"/>
          <w:b/>
          <w:sz w:val="16"/>
          <w:szCs w:val="16"/>
        </w:rPr>
        <w:t>zł</w:t>
      </w:r>
      <w:r>
        <w:rPr>
          <w:rFonts w:ascii="Verdana" w:hAnsi="Verdana"/>
          <w:sz w:val="16"/>
          <w:szCs w:val="16"/>
        </w:rPr>
        <w:t xml:space="preserve"> w 2025 r., </w:t>
      </w:r>
      <w:r w:rsidRPr="00072D89">
        <w:rPr>
          <w:rFonts w:ascii="Verdana" w:hAnsi="Verdana"/>
          <w:b/>
          <w:sz w:val="16"/>
          <w:szCs w:val="16"/>
        </w:rPr>
        <w:t>50 mln zł</w:t>
      </w:r>
      <w:r>
        <w:rPr>
          <w:rFonts w:ascii="Verdana" w:hAnsi="Verdana"/>
          <w:sz w:val="16"/>
          <w:szCs w:val="16"/>
        </w:rPr>
        <w:t xml:space="preserve"> w 2026 r. i </w:t>
      </w:r>
      <w:r w:rsidRPr="00072D89">
        <w:rPr>
          <w:rFonts w:ascii="Verdana" w:hAnsi="Verdana"/>
          <w:b/>
          <w:sz w:val="16"/>
          <w:szCs w:val="16"/>
        </w:rPr>
        <w:t>60 mln zł</w:t>
      </w:r>
      <w:r>
        <w:rPr>
          <w:rFonts w:ascii="Verdana" w:hAnsi="Verdana"/>
          <w:sz w:val="16"/>
          <w:szCs w:val="16"/>
        </w:rPr>
        <w:t xml:space="preserve"> w 2027 i 2028 r.</w:t>
      </w:r>
    </w:p>
    <w:p w:rsidR="00CA374E" w:rsidRDefault="00CA374E" w:rsidP="00CA374E">
      <w:pPr>
        <w:tabs>
          <w:tab w:val="left" w:pos="2962"/>
        </w:tabs>
        <w:spacing w:before="60" w:after="60"/>
        <w:jc w:val="both"/>
        <w:rPr>
          <w:rFonts w:ascii="Verdana" w:hAnsi="Verdana"/>
          <w:sz w:val="16"/>
          <w:szCs w:val="16"/>
        </w:rPr>
      </w:pPr>
      <w:r>
        <w:rPr>
          <w:rFonts w:ascii="Verdana" w:hAnsi="Verdana"/>
          <w:sz w:val="16"/>
          <w:szCs w:val="16"/>
        </w:rPr>
        <w:t>Przewiduje się, że od 2029 r. zostanie odnotowana wysoka dynamika wpływów w tym źródle w związku z wzrostem kwoty referencyjnej szybszym od wzrostu dochodów z PIT i CIT. Przykładowo w 2029 r. planuje się dochody z </w:t>
      </w:r>
      <w:r>
        <w:rPr>
          <w:rFonts w:ascii="Verdana" w:hAnsi="Verdana" w:cs="Arial"/>
          <w:sz w:val="16"/>
          <w:szCs w:val="16"/>
        </w:rPr>
        <w:t xml:space="preserve">części </w:t>
      </w:r>
      <w:r w:rsidRPr="00537533">
        <w:rPr>
          <w:rFonts w:ascii="Verdana" w:hAnsi="Verdana"/>
          <w:sz w:val="16"/>
          <w:szCs w:val="16"/>
        </w:rPr>
        <w:t>rozwojow</w:t>
      </w:r>
      <w:r>
        <w:rPr>
          <w:rFonts w:ascii="Verdana" w:hAnsi="Verdana"/>
          <w:sz w:val="16"/>
          <w:szCs w:val="16"/>
        </w:rPr>
        <w:t>ej</w:t>
      </w:r>
      <w:r w:rsidRPr="00537533">
        <w:rPr>
          <w:rFonts w:ascii="Verdana" w:hAnsi="Verdana"/>
          <w:sz w:val="16"/>
          <w:szCs w:val="16"/>
        </w:rPr>
        <w:t xml:space="preserve"> subwencji ogólnej</w:t>
      </w:r>
      <w:r>
        <w:rPr>
          <w:rFonts w:ascii="Verdana" w:hAnsi="Verdana"/>
          <w:sz w:val="16"/>
          <w:szCs w:val="16"/>
        </w:rPr>
        <w:t xml:space="preserve"> w kwocie </w:t>
      </w:r>
      <w:r w:rsidRPr="00684A7A">
        <w:rPr>
          <w:rFonts w:ascii="Verdana" w:hAnsi="Verdana"/>
          <w:b/>
          <w:sz w:val="16"/>
          <w:szCs w:val="16"/>
        </w:rPr>
        <w:t>110</w:t>
      </w:r>
      <w:r w:rsidRPr="0053276C">
        <w:rPr>
          <w:rFonts w:ascii="Verdana" w:hAnsi="Verdana"/>
          <w:b/>
          <w:sz w:val="16"/>
          <w:szCs w:val="16"/>
        </w:rPr>
        <w:t xml:space="preserve"> mln zł</w:t>
      </w:r>
      <w:r>
        <w:rPr>
          <w:rFonts w:ascii="Verdana" w:hAnsi="Verdana"/>
          <w:sz w:val="16"/>
          <w:szCs w:val="16"/>
        </w:rPr>
        <w:t xml:space="preserve"> oraz </w:t>
      </w:r>
      <w:r w:rsidRPr="0053276C">
        <w:rPr>
          <w:rFonts w:ascii="Verdana" w:hAnsi="Verdana"/>
          <w:b/>
          <w:sz w:val="16"/>
          <w:szCs w:val="16"/>
        </w:rPr>
        <w:t>2</w:t>
      </w:r>
      <w:r>
        <w:rPr>
          <w:rFonts w:ascii="Verdana" w:hAnsi="Verdana"/>
          <w:b/>
          <w:sz w:val="16"/>
          <w:szCs w:val="16"/>
        </w:rPr>
        <w:t>40</w:t>
      </w:r>
      <w:r w:rsidRPr="0053276C">
        <w:rPr>
          <w:rFonts w:ascii="Verdana" w:hAnsi="Verdana"/>
          <w:b/>
          <w:sz w:val="16"/>
          <w:szCs w:val="16"/>
        </w:rPr>
        <w:t xml:space="preserve"> mln zł</w:t>
      </w:r>
      <w:r>
        <w:rPr>
          <w:rFonts w:ascii="Verdana" w:hAnsi="Verdana"/>
          <w:sz w:val="16"/>
          <w:szCs w:val="16"/>
        </w:rPr>
        <w:t xml:space="preserve"> w 2030 r.</w:t>
      </w:r>
    </w:p>
    <w:p w:rsidR="00CA374E" w:rsidRPr="000A6485" w:rsidRDefault="00CA374E" w:rsidP="00CA374E">
      <w:pPr>
        <w:spacing w:before="240" w:after="240"/>
        <w:ind w:left="1077" w:hanging="1077"/>
        <w:rPr>
          <w:rFonts w:ascii="Verdana" w:hAnsi="Verdana"/>
          <w:b/>
          <w:bCs/>
          <w:sz w:val="18"/>
          <w:szCs w:val="18"/>
        </w:rPr>
      </w:pPr>
      <w:r w:rsidRPr="000A6485">
        <w:rPr>
          <w:rFonts w:ascii="Verdana" w:hAnsi="Verdana"/>
          <w:b/>
          <w:bCs/>
          <w:sz w:val="18"/>
          <w:szCs w:val="18"/>
        </w:rPr>
        <w:t>7.2.3.4 Prognoza dochodów z dotacji i środków przeznaczonych na cele bieżące</w:t>
      </w:r>
    </w:p>
    <w:p w:rsidR="00CA374E" w:rsidRPr="000A6485" w:rsidRDefault="00CA374E" w:rsidP="00CA374E">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Wykres nr 2</w:t>
      </w:r>
      <w:r>
        <w:rPr>
          <w:rFonts w:ascii="Verdana" w:hAnsi="Verdana"/>
          <w:sz w:val="16"/>
          <w:szCs w:val="16"/>
        </w:rPr>
        <w:t>5</w:t>
      </w:r>
      <w:r w:rsidRPr="000A6485">
        <w:rPr>
          <w:rFonts w:ascii="Verdana" w:hAnsi="Verdana"/>
          <w:sz w:val="16"/>
          <w:szCs w:val="16"/>
        </w:rPr>
        <w:t xml:space="preserve"> prezentuje prognozowane dochody z dotacji i środków przeznaczonych na cele bieżące </w:t>
      </w:r>
      <w:r w:rsidRPr="000A6485">
        <w:rPr>
          <w:rFonts w:ascii="Verdana" w:hAnsi="Verdana"/>
          <w:sz w:val="16"/>
          <w:szCs w:val="16"/>
        </w:rPr>
        <w:br/>
        <w:t>w poszczególnych latach objętych Prognozą.</w:t>
      </w:r>
    </w:p>
    <w:p w:rsidR="00CA374E" w:rsidRPr="000A6485" w:rsidRDefault="00CA374E" w:rsidP="00CA374E">
      <w:pPr>
        <w:tabs>
          <w:tab w:val="left" w:pos="567"/>
        </w:tabs>
        <w:spacing w:before="240" w:after="60" w:line="240" w:lineRule="auto"/>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25</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CELE BIEŻĄCE </w:t>
      </w:r>
      <w:r>
        <w:rPr>
          <w:rFonts w:ascii="Verdana" w:hAnsi="Verdana" w:cs="Arial"/>
          <w:b/>
          <w:bCs/>
          <w:sz w:val="14"/>
          <w:szCs w:val="14"/>
        </w:rPr>
        <w:br/>
        <w:t xml:space="preserve">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0"/>
          <w:szCs w:val="20"/>
        </w:rPr>
      </w:pPr>
      <w:r>
        <w:rPr>
          <w:rFonts w:ascii="Verdana" w:hAnsi="Verdana"/>
          <w:b/>
          <w:bCs/>
          <w:noProof/>
          <w:sz w:val="20"/>
          <w:szCs w:val="20"/>
        </w:rPr>
        <w:pict>
          <v:shape id="_x0000_i1046" type="#_x0000_t75" style="width:451.8pt;height:224.1pt">
            <v:imagedata r:id="rId39" o:title=""/>
          </v:shape>
        </w:pict>
      </w:r>
    </w:p>
    <w:p w:rsidR="00CA374E" w:rsidRDefault="00CA374E" w:rsidP="00CA374E">
      <w:pPr>
        <w:spacing w:before="40" w:after="40"/>
        <w:ind w:firstLine="567"/>
        <w:jc w:val="both"/>
        <w:rPr>
          <w:rFonts w:ascii="Verdana" w:hAnsi="Verdana"/>
          <w:sz w:val="16"/>
          <w:szCs w:val="16"/>
        </w:rPr>
      </w:pPr>
      <w:r w:rsidRPr="00B73DFB">
        <w:rPr>
          <w:rFonts w:ascii="Verdana" w:hAnsi="Verdana"/>
          <w:sz w:val="16"/>
          <w:szCs w:val="16"/>
        </w:rPr>
        <w:t xml:space="preserve">Prognozuje się, że wpływy m.st. Warszawy z dotacji i środków przeznaczonych na cele bieżące w okresie pierwszych pięciu lat prognozy tj. od 2024 do 2028 r. wyniosą łącznie </w:t>
      </w:r>
      <w:r w:rsidRPr="00B73DFB">
        <w:rPr>
          <w:rFonts w:ascii="Verdana" w:hAnsi="Verdana"/>
          <w:b/>
          <w:sz w:val="16"/>
          <w:szCs w:val="16"/>
        </w:rPr>
        <w:t>4,0 mld zł</w:t>
      </w:r>
      <w:r w:rsidRPr="00B73DFB">
        <w:rPr>
          <w:rFonts w:ascii="Verdana" w:hAnsi="Verdana"/>
          <w:sz w:val="16"/>
          <w:szCs w:val="16"/>
        </w:rPr>
        <w:t xml:space="preserve">, co będzie stanowiło </w:t>
      </w:r>
      <w:r w:rsidRPr="00B73DFB">
        <w:rPr>
          <w:rFonts w:ascii="Verdana" w:hAnsi="Verdana"/>
          <w:b/>
          <w:sz w:val="16"/>
          <w:szCs w:val="16"/>
        </w:rPr>
        <w:t>3,1%</w:t>
      </w:r>
      <w:r w:rsidRPr="00B73DFB">
        <w:rPr>
          <w:rFonts w:ascii="Verdana" w:hAnsi="Verdana"/>
          <w:sz w:val="16"/>
          <w:szCs w:val="16"/>
        </w:rPr>
        <w:t xml:space="preserve"> planowanych do realizacji w tym okresie dochodów ogółem.</w:t>
      </w:r>
      <w:r>
        <w:rPr>
          <w:rFonts w:ascii="Verdana" w:hAnsi="Verdana"/>
          <w:sz w:val="16"/>
          <w:szCs w:val="16"/>
        </w:rPr>
        <w:br w:type="page"/>
      </w:r>
    </w:p>
    <w:p w:rsidR="00CA374E" w:rsidRPr="000A6485" w:rsidRDefault="00CA374E" w:rsidP="00CA374E">
      <w:pPr>
        <w:spacing w:before="240" w:after="120" w:line="240" w:lineRule="auto"/>
        <w:rPr>
          <w:rFonts w:ascii="Verdana" w:hAnsi="Verdana"/>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DOTACJI I ŚRODKÓW </w:t>
      </w:r>
      <w:r w:rsidRPr="000A6485">
        <w:rPr>
          <w:rFonts w:ascii="Verdana" w:hAnsi="Verdana" w:cs="Arial"/>
          <w:b/>
          <w:bCs/>
          <w:sz w:val="14"/>
          <w:szCs w:val="14"/>
        </w:rPr>
        <w:br/>
        <w:t xml:space="preserve">                PRZEZNACZONYCH NA CELE BIE</w:t>
      </w:r>
      <w:r>
        <w:rPr>
          <w:rFonts w:ascii="Verdana" w:hAnsi="Verdana" w:cs="Arial"/>
          <w:b/>
          <w:bCs/>
          <w:sz w:val="14"/>
          <w:szCs w:val="14"/>
        </w:rPr>
        <w:t xml:space="preserve">ŻĄCE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spacing w:before="120" w:after="120"/>
        <w:jc w:val="both"/>
        <w:rPr>
          <w:rFonts w:ascii="Verdana" w:hAnsi="Verdana"/>
          <w:sz w:val="18"/>
          <w:szCs w:val="18"/>
        </w:rPr>
      </w:pPr>
      <w:r>
        <w:rPr>
          <w:rFonts w:ascii="Verdana" w:hAnsi="Verdana"/>
          <w:noProof/>
          <w:sz w:val="18"/>
          <w:szCs w:val="18"/>
        </w:rPr>
        <w:pict>
          <v:shape id="_x0000_i1047" type="#_x0000_t75" style="width:454.5pt;height:207.9pt">
            <v:imagedata r:id="rId40" o:title=""/>
          </v:shape>
        </w:pic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W m.st. Warszawa dochody z dotacji i środków przeznaczonych na cele bieżące stanowią głównie:</w:t>
      </w:r>
    </w:p>
    <w:p w:rsidR="00CA374E" w:rsidRPr="00B73DFB" w:rsidRDefault="00CA374E" w:rsidP="00CA374E">
      <w:pPr>
        <w:pStyle w:val="Akapitzlist"/>
        <w:numPr>
          <w:ilvl w:val="0"/>
          <w:numId w:val="11"/>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dotacje celowe z budżetu </w:t>
      </w:r>
      <w:r w:rsidRPr="00B73DFB">
        <w:rPr>
          <w:rFonts w:ascii="Verdana" w:hAnsi="Verdana"/>
          <w:sz w:val="16"/>
          <w:szCs w:val="16"/>
        </w:rPr>
        <w:t xml:space="preserve">państwa na cele bieżące, </w:t>
      </w:r>
    </w:p>
    <w:p w:rsidR="00CA374E" w:rsidRPr="00B73DFB" w:rsidRDefault="00CA374E" w:rsidP="00CA374E">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dotacje z budżetów innych jednostek samorządu terytorialnego, w tym na funkcjonowanie komunikacji podmiejskiej,</w:t>
      </w:r>
    </w:p>
    <w:p w:rsidR="00CA374E" w:rsidRPr="00B73DFB" w:rsidRDefault="00CA374E" w:rsidP="00CA374E">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środki na dofinansowanie projektów realizowanych w ramach programów Unii Europejskiej,</w:t>
      </w:r>
    </w:p>
    <w:p w:rsidR="00CA374E" w:rsidRPr="00B73DFB" w:rsidRDefault="00CA374E" w:rsidP="00CA374E">
      <w:pPr>
        <w:pStyle w:val="Akapitzlist"/>
        <w:numPr>
          <w:ilvl w:val="0"/>
          <w:numId w:val="11"/>
        </w:numPr>
        <w:spacing w:before="60" w:after="60"/>
        <w:ind w:left="567" w:hanging="283"/>
        <w:contextualSpacing w:val="0"/>
        <w:jc w:val="both"/>
        <w:rPr>
          <w:rFonts w:ascii="Verdana" w:hAnsi="Verdana"/>
          <w:sz w:val="16"/>
          <w:szCs w:val="16"/>
        </w:rPr>
      </w:pPr>
      <w:r w:rsidRPr="00B73DFB">
        <w:rPr>
          <w:rFonts w:ascii="Verdana" w:hAnsi="Verdana"/>
          <w:sz w:val="16"/>
          <w:szCs w:val="16"/>
        </w:rPr>
        <w:t>środki na dofinansowanie zadań bieżących pozyskane z innych funduszy.</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Środki otrzymane z tytułu </w:t>
      </w:r>
      <w:r w:rsidRPr="000A6485">
        <w:rPr>
          <w:rFonts w:ascii="Verdana" w:hAnsi="Verdana"/>
          <w:b/>
          <w:sz w:val="16"/>
          <w:szCs w:val="16"/>
        </w:rPr>
        <w:t>dotacji z budżetu państwa</w:t>
      </w:r>
      <w:r w:rsidRPr="000A6485">
        <w:rPr>
          <w:rFonts w:ascii="Verdana" w:hAnsi="Verdana"/>
          <w:sz w:val="16"/>
          <w:szCs w:val="16"/>
        </w:rPr>
        <w:t xml:space="preserve"> są przeznaczone na finansowanie:</w:t>
      </w:r>
    </w:p>
    <w:p w:rsidR="00CA374E" w:rsidRPr="000A6485" w:rsidRDefault="00CA374E" w:rsidP="00CA374E">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własnych, w tym:</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wychowania przedszkolnego,</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i/>
          <w:sz w:val="16"/>
          <w:szCs w:val="16"/>
        </w:rPr>
      </w:pPr>
      <w:r w:rsidRPr="000A6485">
        <w:rPr>
          <w:rFonts w:ascii="Verdana" w:hAnsi="Verdana"/>
          <w:sz w:val="16"/>
          <w:szCs w:val="16"/>
        </w:rPr>
        <w:t>wypłat</w:t>
      </w:r>
      <w:r w:rsidRPr="000A6485">
        <w:rPr>
          <w:rFonts w:ascii="Verdana" w:hAnsi="Verdana"/>
          <w:i/>
          <w:sz w:val="16"/>
          <w:szCs w:val="16"/>
        </w:rPr>
        <w:t xml:space="preserve"> </w:t>
      </w:r>
      <w:r w:rsidRPr="000A6485">
        <w:rPr>
          <w:rFonts w:ascii="Verdana" w:hAnsi="Verdana"/>
          <w:sz w:val="16"/>
          <w:szCs w:val="16"/>
        </w:rPr>
        <w:t>zasiłków stałych,</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pomocy społecznej,</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domów pomocy społecznej,</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dożywiania dla potrzebujących,</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wieloletniego programu w zakresie dożywiania „Posiłek w szkole i w domu”,</w:t>
      </w:r>
    </w:p>
    <w:p w:rsidR="00CA374E" w:rsidRPr="000A6485"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płaconych za osoby pobierające niektóre świadczenia z pomocy społecznej,</w:t>
      </w:r>
    </w:p>
    <w:p w:rsidR="00CA374E" w:rsidRDefault="00CA374E" w:rsidP="00CA374E">
      <w:pPr>
        <w:pStyle w:val="Akapitzlist"/>
        <w:numPr>
          <w:ilvl w:val="0"/>
          <w:numId w:val="13"/>
        </w:numPr>
        <w:spacing w:before="60" w:after="60"/>
        <w:ind w:left="1134" w:hanging="283"/>
        <w:contextualSpacing w:val="0"/>
        <w:jc w:val="both"/>
        <w:rPr>
          <w:rFonts w:ascii="Verdana" w:hAnsi="Verdana"/>
          <w:sz w:val="16"/>
          <w:szCs w:val="16"/>
        </w:rPr>
      </w:pPr>
      <w:r w:rsidRPr="000A6485">
        <w:rPr>
          <w:rFonts w:ascii="Verdana" w:hAnsi="Verdana"/>
          <w:sz w:val="16"/>
          <w:szCs w:val="16"/>
        </w:rPr>
        <w:t>wypłat zasiłków i pomocy w naturze oraz składek na ubezpieczenie emerytalne i rentowe,</w:t>
      </w:r>
    </w:p>
    <w:p w:rsidR="00CA374E" w:rsidRPr="000A6485" w:rsidRDefault="00CA374E" w:rsidP="00CA374E">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zleconych, w tym głównie:</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wypłat świadczeń rodzinnych,</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DC25D4">
        <w:rPr>
          <w:rFonts w:ascii="Verdana" w:hAnsi="Verdana"/>
          <w:sz w:val="16"/>
          <w:szCs w:val="16"/>
        </w:rPr>
        <w:t>dofinansowanie zadań wynikających z programu kompleksowego wsparcia dla rodzin "Za życiem</w:t>
      </w:r>
      <w:r>
        <w:rPr>
          <w:rFonts w:ascii="Verdana" w:hAnsi="Verdana"/>
          <w:sz w:val="16"/>
          <w:szCs w:val="16"/>
        </w:rPr>
        <w:t>”,</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utrzymania Komendy Powiatowej Państwowej Straży Pożarnej,</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opłacenia składek na ubezpieczenie zdrowotne oraz świadczeń dla osób nieobjętych obowią</w:t>
      </w:r>
      <w:r>
        <w:rPr>
          <w:rFonts w:ascii="Verdana" w:hAnsi="Verdana"/>
          <w:sz w:val="16"/>
          <w:szCs w:val="16"/>
        </w:rPr>
        <w:t xml:space="preserve">zkiem ubezpieczenia zdrowotnego, za </w:t>
      </w:r>
      <w:r w:rsidRPr="00D1589B">
        <w:rPr>
          <w:rFonts w:ascii="Verdana" w:hAnsi="Verdana"/>
          <w:sz w:val="16"/>
          <w:szCs w:val="16"/>
        </w:rPr>
        <w:t>osoby pobierające niektóre świadczenia rodzinne</w:t>
      </w:r>
      <w:r>
        <w:rPr>
          <w:rFonts w:ascii="Verdana" w:hAnsi="Verdana"/>
          <w:sz w:val="16"/>
          <w:szCs w:val="16"/>
        </w:rPr>
        <w:t xml:space="preserve">, </w:t>
      </w:r>
      <w:r w:rsidRPr="00D1589B">
        <w:rPr>
          <w:rFonts w:ascii="Verdana" w:hAnsi="Verdana"/>
          <w:sz w:val="16"/>
          <w:szCs w:val="16"/>
        </w:rPr>
        <w:t>za osoby pobierające zasiłki dla opiekunów</w:t>
      </w:r>
      <w:r w:rsidRPr="00B2446D">
        <w:rPr>
          <w:rFonts w:ascii="Verdana" w:hAnsi="Verdana"/>
          <w:sz w:val="16"/>
          <w:szCs w:val="16"/>
        </w:rPr>
        <w:t xml:space="preserve"> </w:t>
      </w:r>
      <w:r w:rsidRPr="00D1589B">
        <w:rPr>
          <w:rFonts w:ascii="Verdana" w:hAnsi="Verdana"/>
          <w:sz w:val="16"/>
          <w:szCs w:val="16"/>
        </w:rPr>
        <w:t>oraz za osoby uczestniczące w zajęciach w centrum integracji społecznej</w:t>
      </w:r>
      <w:r>
        <w:rPr>
          <w:rFonts w:ascii="Verdana" w:hAnsi="Verdana"/>
          <w:sz w:val="16"/>
          <w:szCs w:val="16"/>
        </w:rPr>
        <w:t>,</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realizacji zadań z zakresu administracji rządowej,</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opracowa</w:t>
      </w:r>
      <w:r>
        <w:rPr>
          <w:rFonts w:ascii="Verdana" w:hAnsi="Verdana"/>
          <w:sz w:val="16"/>
          <w:szCs w:val="16"/>
        </w:rPr>
        <w:t>ń</w:t>
      </w:r>
      <w:r w:rsidRPr="000A6485">
        <w:rPr>
          <w:rFonts w:ascii="Verdana" w:hAnsi="Verdana"/>
          <w:sz w:val="16"/>
          <w:szCs w:val="16"/>
        </w:rPr>
        <w:t xml:space="preserve"> i</w:t>
      </w:r>
      <w:r>
        <w:rPr>
          <w:rFonts w:ascii="Verdana" w:hAnsi="Verdana"/>
          <w:sz w:val="16"/>
          <w:szCs w:val="16"/>
        </w:rPr>
        <w:t xml:space="preserve"> prac geodezyjnych</w:t>
      </w:r>
      <w:r w:rsidRPr="000A6485">
        <w:rPr>
          <w:rFonts w:ascii="Verdana" w:hAnsi="Verdana"/>
          <w:sz w:val="16"/>
          <w:szCs w:val="16"/>
        </w:rPr>
        <w:t xml:space="preserve"> i kartograficzn</w:t>
      </w:r>
      <w:r>
        <w:rPr>
          <w:rFonts w:ascii="Verdana" w:hAnsi="Verdana"/>
          <w:sz w:val="16"/>
          <w:szCs w:val="16"/>
        </w:rPr>
        <w:t>ych</w:t>
      </w:r>
      <w:r w:rsidRPr="000A6485">
        <w:rPr>
          <w:rFonts w:ascii="Verdana" w:hAnsi="Verdana"/>
          <w:sz w:val="16"/>
          <w:szCs w:val="16"/>
        </w:rPr>
        <w:t>,</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lastRenderedPageBreak/>
        <w:t>świadcze</w:t>
      </w:r>
      <w:r>
        <w:rPr>
          <w:rFonts w:ascii="Verdana" w:hAnsi="Verdana"/>
          <w:sz w:val="16"/>
          <w:szCs w:val="16"/>
        </w:rPr>
        <w:t>ń</w:t>
      </w:r>
      <w:r w:rsidRPr="000A6485">
        <w:rPr>
          <w:rFonts w:ascii="Verdana" w:hAnsi="Verdana"/>
          <w:sz w:val="16"/>
          <w:szCs w:val="16"/>
        </w:rPr>
        <w:t xml:space="preserve"> opieki zdrowotnej,</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ośrodków wsparcia,</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placówek opiekuńczo-wychowawczych,</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w:t>
      </w:r>
      <w:r w:rsidRPr="00B2446D">
        <w:rPr>
          <w:rFonts w:ascii="Verdana" w:hAnsi="Verdana"/>
          <w:sz w:val="16"/>
          <w:szCs w:val="16"/>
        </w:rPr>
        <w:t xml:space="preserve"> </w:t>
      </w:r>
      <w:r>
        <w:rPr>
          <w:rFonts w:ascii="Verdana" w:hAnsi="Verdana"/>
          <w:sz w:val="16"/>
          <w:szCs w:val="16"/>
        </w:rPr>
        <w:t>ośrodków</w:t>
      </w:r>
      <w:r w:rsidRPr="00D1589B">
        <w:rPr>
          <w:rFonts w:ascii="Verdana" w:hAnsi="Verdana"/>
          <w:sz w:val="16"/>
          <w:szCs w:val="16"/>
        </w:rPr>
        <w:t xml:space="preserve"> pomocy społecznej</w:t>
      </w:r>
      <w:r>
        <w:rPr>
          <w:rFonts w:ascii="Verdana" w:hAnsi="Verdana"/>
          <w:sz w:val="16"/>
          <w:szCs w:val="16"/>
        </w:rPr>
        <w:t>,</w:t>
      </w:r>
    </w:p>
    <w:p w:rsidR="00CA374E" w:rsidRPr="00B2446D"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B2446D">
        <w:rPr>
          <w:rFonts w:ascii="Verdana" w:hAnsi="Verdana"/>
          <w:sz w:val="16"/>
          <w:szCs w:val="16"/>
        </w:rPr>
        <w:t>przec</w:t>
      </w:r>
      <w:r>
        <w:rPr>
          <w:rFonts w:ascii="Verdana" w:hAnsi="Verdana"/>
          <w:sz w:val="16"/>
          <w:szCs w:val="16"/>
        </w:rPr>
        <w:t>iwdziałania przemocy w rodzinie,</w:t>
      </w:r>
    </w:p>
    <w:p w:rsidR="00CA374E" w:rsidRPr="00D1589B"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funkcjonowania zespołów</w:t>
      </w:r>
      <w:r w:rsidRPr="00D1589B">
        <w:rPr>
          <w:rFonts w:ascii="Verdana" w:hAnsi="Verdana"/>
          <w:sz w:val="16"/>
          <w:szCs w:val="16"/>
        </w:rPr>
        <w:t xml:space="preserve"> do spraw</w:t>
      </w:r>
      <w:r>
        <w:rPr>
          <w:rFonts w:ascii="Verdana" w:hAnsi="Verdana"/>
          <w:sz w:val="16"/>
          <w:szCs w:val="16"/>
        </w:rPr>
        <w:t xml:space="preserve"> orzekania o niepełnosprawności,</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funkcjonowania nadzoru budowlanego,</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gospodarki gruntami i nieruchomościami,</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pomocy dla cudzoziemców i repatriantów,</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ewidencji</w:t>
      </w:r>
      <w:r w:rsidRPr="00D1589B">
        <w:rPr>
          <w:rFonts w:ascii="Verdana" w:hAnsi="Verdana"/>
          <w:sz w:val="16"/>
          <w:szCs w:val="16"/>
        </w:rPr>
        <w:t xml:space="preserve"> ludności</w:t>
      </w:r>
      <w:r>
        <w:rPr>
          <w:rFonts w:ascii="Verdana" w:hAnsi="Verdana"/>
          <w:sz w:val="16"/>
          <w:szCs w:val="16"/>
        </w:rPr>
        <w:t>,</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udzielania </w:t>
      </w:r>
      <w:r w:rsidRPr="00D1589B">
        <w:rPr>
          <w:rFonts w:ascii="Verdana" w:hAnsi="Verdana"/>
          <w:sz w:val="16"/>
          <w:szCs w:val="16"/>
        </w:rPr>
        <w:t>nieodpłatn</w:t>
      </w:r>
      <w:r>
        <w:rPr>
          <w:rFonts w:ascii="Verdana" w:hAnsi="Verdana"/>
          <w:sz w:val="16"/>
          <w:szCs w:val="16"/>
        </w:rPr>
        <w:t>ej</w:t>
      </w:r>
      <w:r w:rsidRPr="00D1589B">
        <w:rPr>
          <w:rFonts w:ascii="Verdana" w:hAnsi="Verdana"/>
          <w:sz w:val="16"/>
          <w:szCs w:val="16"/>
        </w:rPr>
        <w:t xml:space="preserve"> pomoc</w:t>
      </w:r>
      <w:r>
        <w:rPr>
          <w:rFonts w:ascii="Verdana" w:hAnsi="Verdana"/>
          <w:sz w:val="16"/>
          <w:szCs w:val="16"/>
        </w:rPr>
        <w:t>y</w:t>
      </w:r>
      <w:r w:rsidRPr="00D1589B">
        <w:rPr>
          <w:rFonts w:ascii="Verdana" w:hAnsi="Verdana"/>
          <w:sz w:val="16"/>
          <w:szCs w:val="16"/>
        </w:rPr>
        <w:t xml:space="preserve"> prawn</w:t>
      </w:r>
      <w:r>
        <w:rPr>
          <w:rFonts w:ascii="Verdana" w:hAnsi="Verdana"/>
          <w:sz w:val="16"/>
          <w:szCs w:val="16"/>
        </w:rPr>
        <w:t>ej,</w:t>
      </w:r>
    </w:p>
    <w:p w:rsidR="00CA374E" w:rsidRPr="00D1589B"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p>
    <w:p w:rsidR="00CA374E" w:rsidRPr="000A6485" w:rsidRDefault="00CA374E" w:rsidP="00CA374E">
      <w:pPr>
        <w:pStyle w:val="Akapitzlist"/>
        <w:numPr>
          <w:ilvl w:val="0"/>
          <w:numId w:val="12"/>
        </w:numPr>
        <w:spacing w:before="60" w:after="60"/>
        <w:ind w:left="567" w:hanging="283"/>
        <w:contextualSpacing w:val="0"/>
        <w:jc w:val="both"/>
        <w:rPr>
          <w:rFonts w:ascii="Verdana" w:hAnsi="Verdana"/>
          <w:sz w:val="16"/>
          <w:szCs w:val="16"/>
        </w:rPr>
      </w:pPr>
      <w:r w:rsidRPr="000A6485">
        <w:rPr>
          <w:rFonts w:ascii="Verdana" w:hAnsi="Verdana"/>
          <w:sz w:val="16"/>
          <w:szCs w:val="16"/>
        </w:rPr>
        <w:t>zadań realizowanych na podstawie porozumień z organami administracji rządowej, w tym głównie:</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grobownictwo wojenne,</w:t>
      </w:r>
    </w:p>
    <w:p w:rsidR="00CA374E"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0A6485">
        <w:rPr>
          <w:rFonts w:ascii="Verdana" w:hAnsi="Verdana"/>
          <w:sz w:val="16"/>
          <w:szCs w:val="16"/>
        </w:rPr>
        <w:t>utrzymanie i funkcjonowanie systemu powiadamiania ratunkowego na terenie kraju,</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sidRPr="00850C52">
        <w:rPr>
          <w:rFonts w:ascii="Verdana" w:hAnsi="Verdana"/>
          <w:sz w:val="16"/>
          <w:szCs w:val="16"/>
        </w:rPr>
        <w:t xml:space="preserve">zadania wynikające z programu kompleksowego </w:t>
      </w:r>
      <w:r>
        <w:rPr>
          <w:rFonts w:ascii="Verdana" w:hAnsi="Verdana"/>
          <w:sz w:val="16"/>
          <w:szCs w:val="16"/>
        </w:rPr>
        <w:t>wsparcia dla rodzin "Za życiem",</w:t>
      </w:r>
    </w:p>
    <w:p w:rsidR="00CA374E" w:rsidRPr="000A6485" w:rsidRDefault="00CA374E" w:rsidP="00CA374E">
      <w:pPr>
        <w:pStyle w:val="Akapitzlist"/>
        <w:numPr>
          <w:ilvl w:val="0"/>
          <w:numId w:val="23"/>
        </w:numPr>
        <w:spacing w:before="60" w:after="60"/>
        <w:ind w:left="1134" w:hanging="283"/>
        <w:contextualSpacing w:val="0"/>
        <w:jc w:val="both"/>
        <w:rPr>
          <w:rFonts w:ascii="Verdana" w:hAnsi="Verdana"/>
          <w:sz w:val="16"/>
          <w:szCs w:val="16"/>
        </w:rPr>
      </w:pPr>
      <w:r>
        <w:rPr>
          <w:rFonts w:ascii="Verdana" w:hAnsi="Verdana"/>
          <w:sz w:val="16"/>
          <w:szCs w:val="16"/>
        </w:rPr>
        <w:t xml:space="preserve">przeprowadzania </w:t>
      </w:r>
      <w:r w:rsidRPr="00D1589B">
        <w:rPr>
          <w:rFonts w:ascii="Verdana" w:hAnsi="Verdana"/>
          <w:sz w:val="16"/>
          <w:szCs w:val="16"/>
        </w:rPr>
        <w:t>kwalifikacj</w:t>
      </w:r>
      <w:r>
        <w:rPr>
          <w:rFonts w:ascii="Verdana" w:hAnsi="Verdana"/>
          <w:sz w:val="16"/>
          <w:szCs w:val="16"/>
        </w:rPr>
        <w:t xml:space="preserve">i </w:t>
      </w:r>
      <w:r w:rsidRPr="00D1589B">
        <w:rPr>
          <w:rFonts w:ascii="Verdana" w:hAnsi="Verdana"/>
          <w:sz w:val="16"/>
          <w:szCs w:val="16"/>
        </w:rPr>
        <w:t>wojskow</w:t>
      </w:r>
      <w:r>
        <w:rPr>
          <w:rFonts w:ascii="Verdana" w:hAnsi="Verdana"/>
          <w:sz w:val="16"/>
          <w:szCs w:val="16"/>
        </w:rPr>
        <w:t>ej</w:t>
      </w:r>
      <w:r w:rsidRPr="000A6485">
        <w:rPr>
          <w:rFonts w:ascii="Verdana" w:hAnsi="Verdana"/>
          <w:sz w:val="16"/>
          <w:szCs w:val="16"/>
        </w:rPr>
        <w:t>.</w:t>
      </w:r>
    </w:p>
    <w:p w:rsidR="00CA374E" w:rsidRPr="00335B50" w:rsidRDefault="00CA374E" w:rsidP="00CA374E">
      <w:pPr>
        <w:pStyle w:val="Default"/>
        <w:spacing w:before="60" w:after="60" w:line="360" w:lineRule="auto"/>
        <w:jc w:val="both"/>
        <w:rPr>
          <w:rFonts w:ascii="Verdana" w:hAnsi="Verdana" w:cs="Times New Roman"/>
          <w:color w:val="auto"/>
          <w:sz w:val="16"/>
          <w:szCs w:val="16"/>
        </w:rPr>
      </w:pPr>
      <w:r w:rsidRPr="000A6485">
        <w:rPr>
          <w:rFonts w:ascii="Verdana" w:hAnsi="Verdana"/>
          <w:b/>
          <w:sz w:val="16"/>
          <w:szCs w:val="16"/>
        </w:rPr>
        <w:t>Dotacje z budżetów innych jednostek samorządu terytorialnego na funkcjonowanie komunikacji podmiejskiej</w:t>
      </w:r>
      <w:r w:rsidRPr="000A6485">
        <w:rPr>
          <w:rFonts w:ascii="Verdana" w:hAnsi="Verdana" w:cs="Times New Roman"/>
          <w:color w:val="auto"/>
          <w:sz w:val="16"/>
          <w:szCs w:val="16"/>
        </w:rPr>
        <w:t xml:space="preserve"> stanowią dotacje celowe z gmin podwarszawskich z tytułu funkcjonowania - w ramach lokalnego transportu zbiorowego organizowanego przez m.st. Warszawa - komunikacji na obszarze tych gmin </w:t>
      </w:r>
      <w:r w:rsidRPr="000A6485">
        <w:rPr>
          <w:rFonts w:ascii="Verdana" w:hAnsi="Verdana" w:cs="Times New Roman"/>
          <w:color w:val="auto"/>
          <w:sz w:val="16"/>
          <w:szCs w:val="16"/>
        </w:rPr>
        <w:br/>
        <w:t xml:space="preserve">na podstawie zawartych porozumień międzygminnych. Założono poziom dochodów z tego tytułu w wysokości </w:t>
      </w:r>
      <w:r>
        <w:rPr>
          <w:rFonts w:ascii="Verdana" w:hAnsi="Verdana" w:cs="Times New Roman"/>
          <w:color w:val="auto"/>
          <w:sz w:val="16"/>
          <w:szCs w:val="16"/>
        </w:rPr>
        <w:br/>
      </w:r>
      <w:r w:rsidRPr="00187E19">
        <w:rPr>
          <w:rFonts w:ascii="Verdana" w:hAnsi="Verdana" w:cs="Times New Roman"/>
          <w:b/>
          <w:color w:val="auto"/>
          <w:sz w:val="16"/>
          <w:szCs w:val="16"/>
        </w:rPr>
        <w:t>124 mln zł</w:t>
      </w:r>
      <w:r>
        <w:rPr>
          <w:rFonts w:ascii="Verdana" w:hAnsi="Verdana" w:cs="Times New Roman"/>
          <w:color w:val="auto"/>
          <w:sz w:val="16"/>
          <w:szCs w:val="16"/>
        </w:rPr>
        <w:t xml:space="preserve"> w 2024 r</w:t>
      </w:r>
      <w:r w:rsidRPr="00335B50">
        <w:rPr>
          <w:rFonts w:ascii="Verdana" w:hAnsi="Verdana" w:cs="Times New Roman"/>
          <w:color w:val="auto"/>
          <w:sz w:val="16"/>
          <w:szCs w:val="16"/>
        </w:rPr>
        <w:t xml:space="preserve">. i w całej perspektywie WPF. </w:t>
      </w:r>
    </w:p>
    <w:p w:rsidR="00CA374E" w:rsidRPr="00205357" w:rsidRDefault="00CA374E" w:rsidP="00CA374E">
      <w:pPr>
        <w:spacing w:before="60" w:after="60"/>
        <w:jc w:val="both"/>
        <w:rPr>
          <w:rFonts w:ascii="Verdana" w:hAnsi="Verdana"/>
          <w:sz w:val="16"/>
          <w:szCs w:val="16"/>
        </w:rPr>
      </w:pPr>
      <w:r w:rsidRPr="00205357">
        <w:rPr>
          <w:rFonts w:ascii="Verdana" w:hAnsi="Verdana"/>
          <w:sz w:val="16"/>
          <w:szCs w:val="16"/>
        </w:rPr>
        <w:t xml:space="preserve">Prognoza dochodów ujmuje </w:t>
      </w:r>
      <w:r w:rsidRPr="00205357">
        <w:rPr>
          <w:rFonts w:ascii="Verdana" w:hAnsi="Verdana"/>
          <w:b/>
          <w:sz w:val="16"/>
          <w:szCs w:val="16"/>
        </w:rPr>
        <w:t>dochody przekazywane z budżetu Unii Europejskiej</w:t>
      </w:r>
      <w:r w:rsidRPr="00205357">
        <w:rPr>
          <w:rFonts w:ascii="Verdana" w:hAnsi="Verdana"/>
          <w:sz w:val="16"/>
          <w:szCs w:val="16"/>
        </w:rPr>
        <w:t xml:space="preserve"> w ramach perspektywy finansowej obejmującej lata 2014-2020</w:t>
      </w:r>
      <w:r>
        <w:rPr>
          <w:rFonts w:ascii="Verdana" w:hAnsi="Verdana"/>
          <w:sz w:val="16"/>
          <w:szCs w:val="16"/>
        </w:rPr>
        <w:t xml:space="preserve"> </w:t>
      </w:r>
      <w:r w:rsidRPr="00583D5A">
        <w:rPr>
          <w:rFonts w:ascii="Verdana" w:hAnsi="Verdana"/>
          <w:sz w:val="16"/>
          <w:szCs w:val="16"/>
        </w:rPr>
        <w:t>oraz lata 2021-2027</w:t>
      </w:r>
      <w:r w:rsidRPr="00205357">
        <w:rPr>
          <w:rFonts w:ascii="Verdana" w:hAnsi="Verdana"/>
          <w:sz w:val="16"/>
          <w:szCs w:val="16"/>
        </w:rPr>
        <w:t>.</w:t>
      </w:r>
    </w:p>
    <w:p w:rsidR="00CA374E" w:rsidRPr="00900054" w:rsidRDefault="00CA374E" w:rsidP="00CA374E">
      <w:pPr>
        <w:spacing w:before="60" w:after="60"/>
        <w:jc w:val="both"/>
        <w:rPr>
          <w:rFonts w:ascii="Verdana" w:hAnsi="Verdana"/>
          <w:sz w:val="16"/>
          <w:szCs w:val="16"/>
        </w:rPr>
      </w:pPr>
      <w:r w:rsidRPr="00900054">
        <w:rPr>
          <w:rFonts w:ascii="Verdana" w:hAnsi="Verdana"/>
          <w:sz w:val="16"/>
          <w:szCs w:val="16"/>
        </w:rPr>
        <w:t>Dochody z tytułu realizacji bieżących programów Unii Europejskiej będ</w:t>
      </w:r>
      <w:r>
        <w:rPr>
          <w:rFonts w:ascii="Verdana" w:hAnsi="Verdana"/>
          <w:sz w:val="16"/>
          <w:szCs w:val="16"/>
        </w:rPr>
        <w:t>ą realizowane w latach 2024-2027</w:t>
      </w:r>
      <w:r w:rsidRPr="00900054">
        <w:rPr>
          <w:rFonts w:ascii="Verdana" w:hAnsi="Verdana"/>
          <w:sz w:val="16"/>
          <w:szCs w:val="16"/>
        </w:rPr>
        <w:t xml:space="preserve"> </w:t>
      </w:r>
      <w:r w:rsidRPr="00900054">
        <w:rPr>
          <w:rFonts w:ascii="Verdana" w:hAnsi="Verdana"/>
          <w:sz w:val="16"/>
          <w:szCs w:val="16"/>
        </w:rPr>
        <w:br/>
        <w:t xml:space="preserve">i wyniosą łącznie </w:t>
      </w:r>
      <w:r>
        <w:rPr>
          <w:rFonts w:ascii="Verdana" w:hAnsi="Verdana"/>
          <w:b/>
          <w:sz w:val="16"/>
          <w:szCs w:val="16"/>
        </w:rPr>
        <w:t>25,9</w:t>
      </w:r>
      <w:r w:rsidRPr="00900054">
        <w:rPr>
          <w:rFonts w:ascii="Verdana" w:hAnsi="Verdana"/>
          <w:b/>
          <w:sz w:val="16"/>
          <w:szCs w:val="16"/>
        </w:rPr>
        <w:t xml:space="preserve"> mln zł</w:t>
      </w:r>
      <w:r w:rsidRPr="00900054">
        <w:rPr>
          <w:rFonts w:ascii="Verdana" w:hAnsi="Verdana"/>
          <w:sz w:val="16"/>
          <w:szCs w:val="16"/>
        </w:rPr>
        <w:t>. W poszczególnych latach będą kształtowały się następująco:</w:t>
      </w:r>
    </w:p>
    <w:p w:rsidR="00CA374E" w:rsidRPr="00900054"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2024 r.:  </w:t>
      </w:r>
      <w:r>
        <w:rPr>
          <w:rFonts w:ascii="Verdana" w:hAnsi="Verdana"/>
          <w:sz w:val="16"/>
          <w:szCs w:val="16"/>
        </w:rPr>
        <w:t xml:space="preserve">  </w:t>
      </w:r>
      <w:r w:rsidRPr="00900054">
        <w:rPr>
          <w:rFonts w:ascii="Verdana" w:hAnsi="Verdana"/>
          <w:sz w:val="16"/>
          <w:szCs w:val="16"/>
        </w:rPr>
        <w:t xml:space="preserve"> </w:t>
      </w:r>
      <w:r>
        <w:rPr>
          <w:rFonts w:ascii="Verdana" w:hAnsi="Verdana"/>
          <w:b/>
          <w:sz w:val="16"/>
          <w:szCs w:val="16"/>
        </w:rPr>
        <w:t>21,8</w:t>
      </w:r>
      <w:r w:rsidRPr="00900054">
        <w:rPr>
          <w:rFonts w:ascii="Verdana" w:hAnsi="Verdana"/>
          <w:b/>
          <w:sz w:val="16"/>
          <w:szCs w:val="16"/>
        </w:rPr>
        <w:t xml:space="preserve"> mln zł</w:t>
      </w:r>
      <w:r>
        <w:rPr>
          <w:rFonts w:ascii="Verdana" w:hAnsi="Verdana"/>
          <w:sz w:val="16"/>
          <w:szCs w:val="16"/>
        </w:rPr>
        <w:t>,</w:t>
      </w:r>
    </w:p>
    <w:p w:rsidR="00CA374E" w:rsidRPr="00900054"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2025 r.:     </w:t>
      </w:r>
      <w:r w:rsidRPr="00900054">
        <w:rPr>
          <w:rFonts w:ascii="Verdana" w:hAnsi="Verdana"/>
          <w:b/>
          <w:sz w:val="16"/>
          <w:szCs w:val="16"/>
        </w:rPr>
        <w:t>3,3 mln zł</w:t>
      </w:r>
      <w:r>
        <w:rPr>
          <w:rFonts w:ascii="Verdana" w:hAnsi="Verdana"/>
          <w:sz w:val="16"/>
          <w:szCs w:val="16"/>
        </w:rPr>
        <w:t>,</w:t>
      </w:r>
    </w:p>
    <w:p w:rsidR="00CA374E" w:rsidRPr="00900054"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2026 r.:     </w:t>
      </w:r>
      <w:r>
        <w:rPr>
          <w:rFonts w:ascii="Verdana" w:hAnsi="Verdana"/>
          <w:b/>
          <w:sz w:val="16"/>
          <w:szCs w:val="16"/>
        </w:rPr>
        <w:t>0,6</w:t>
      </w:r>
      <w:r w:rsidRPr="00900054">
        <w:rPr>
          <w:rFonts w:ascii="Verdana" w:hAnsi="Verdana"/>
          <w:b/>
          <w:sz w:val="16"/>
          <w:szCs w:val="16"/>
        </w:rPr>
        <w:t xml:space="preserve"> mln zł</w:t>
      </w:r>
      <w:r>
        <w:rPr>
          <w:rFonts w:ascii="Verdana" w:hAnsi="Verdana"/>
          <w:sz w:val="16"/>
          <w:szCs w:val="16"/>
        </w:rPr>
        <w:t>,</w:t>
      </w:r>
    </w:p>
    <w:p w:rsidR="00CA374E" w:rsidRPr="00205357"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sidRPr="00900054">
        <w:rPr>
          <w:rFonts w:ascii="Verdana" w:hAnsi="Verdana"/>
          <w:sz w:val="16"/>
          <w:szCs w:val="16"/>
        </w:rPr>
        <w:t xml:space="preserve">2027 r.:     </w:t>
      </w:r>
      <w:r>
        <w:rPr>
          <w:rFonts w:ascii="Verdana" w:hAnsi="Verdana"/>
          <w:b/>
          <w:sz w:val="16"/>
          <w:szCs w:val="16"/>
        </w:rPr>
        <w:t>0,3</w:t>
      </w:r>
      <w:r w:rsidRPr="00900054">
        <w:rPr>
          <w:rFonts w:ascii="Verdana" w:hAnsi="Verdana"/>
          <w:b/>
          <w:sz w:val="16"/>
          <w:szCs w:val="16"/>
        </w:rPr>
        <w:t xml:space="preserve"> mln zł</w:t>
      </w:r>
      <w:r>
        <w:rPr>
          <w:rFonts w:ascii="Verdana" w:hAnsi="Verdana"/>
          <w:sz w:val="16"/>
          <w:szCs w:val="16"/>
        </w:rPr>
        <w:t>.</w:t>
      </w:r>
    </w:p>
    <w:p w:rsidR="00CA374E" w:rsidRPr="00B73DFB" w:rsidRDefault="00CA374E" w:rsidP="00CA374E">
      <w:pPr>
        <w:jc w:val="both"/>
        <w:rPr>
          <w:rFonts w:ascii="Verdana" w:hAnsi="Verdana"/>
          <w:sz w:val="16"/>
          <w:szCs w:val="16"/>
        </w:rPr>
      </w:pPr>
      <w:r w:rsidRPr="00B73DFB">
        <w:rPr>
          <w:rFonts w:ascii="Verdana" w:hAnsi="Verdana"/>
          <w:sz w:val="16"/>
          <w:szCs w:val="16"/>
        </w:rPr>
        <w:t>W prognozie dochodów na dofinansowanie zadań bieżących pozyskanych z innych funduszy ujęto środki Funduszu Medycznego z przeznaczeniem na dofinansowanie przedsięwzięcia - Program profilaktyki i wczesnego wykrywania osteoporozy dla mieszkanek Warszawy - "Niezłomne Warszawianki".</w:t>
      </w:r>
    </w:p>
    <w:p w:rsidR="00CA374E" w:rsidRPr="00B2446D" w:rsidRDefault="00CA374E" w:rsidP="00CA374E">
      <w:pPr>
        <w:jc w:val="both"/>
        <w:rPr>
          <w:rFonts w:ascii="Verdana" w:hAnsi="Verdana"/>
          <w:sz w:val="16"/>
          <w:szCs w:val="16"/>
        </w:rPr>
      </w:pPr>
    </w:p>
    <w:p w:rsidR="00CA374E" w:rsidRDefault="00CA374E" w:rsidP="00CA374E">
      <w:pPr>
        <w:spacing w:before="240" w:after="240"/>
        <w:rPr>
          <w:rFonts w:ascii="Verdana" w:hAnsi="Verdana"/>
          <w:b/>
          <w:bCs/>
          <w:sz w:val="18"/>
          <w:szCs w:val="18"/>
        </w:rPr>
      </w:pPr>
      <w:r>
        <w:rPr>
          <w:rFonts w:ascii="Verdana" w:hAnsi="Verdana"/>
          <w:b/>
          <w:bCs/>
          <w:sz w:val="18"/>
          <w:szCs w:val="18"/>
        </w:rPr>
        <w:br w:type="page"/>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lastRenderedPageBreak/>
        <w:t>7.2.3.5 Prognoza dochodów z podatku od nieruchomości</w:t>
      </w:r>
    </w:p>
    <w:p w:rsidR="00CA374E" w:rsidRPr="000A6485" w:rsidRDefault="00CA374E" w:rsidP="00CA374E">
      <w:pPr>
        <w:tabs>
          <w:tab w:val="left" w:pos="0"/>
        </w:tabs>
        <w:spacing w:before="12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27</w:t>
      </w:r>
      <w:r w:rsidRPr="000A6485">
        <w:rPr>
          <w:rFonts w:ascii="Verdana" w:hAnsi="Verdana"/>
          <w:sz w:val="16"/>
          <w:szCs w:val="16"/>
        </w:rPr>
        <w:t xml:space="preserve"> prezentuje prognozowane dochody z podatku od nieruchomości w poszczególnych latach objętych Prognozą.</w:t>
      </w:r>
    </w:p>
    <w:p w:rsidR="00CA374E" w:rsidRPr="000A6485" w:rsidRDefault="00CA374E" w:rsidP="00CA374E">
      <w:pPr>
        <w:tabs>
          <w:tab w:val="left" w:pos="567"/>
        </w:tabs>
        <w:spacing w:before="120" w:after="60" w:line="240" w:lineRule="auto"/>
        <w:ind w:left="567" w:hanging="567"/>
        <w:rPr>
          <w:rFonts w:ascii="Verdana" w:hAnsi="Verdana" w:cs="Arial"/>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27</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PODATKU OD NIERUCHOMOŚCI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
          <w:bCs/>
          <w:sz w:val="14"/>
          <w:szCs w:val="14"/>
        </w:rPr>
        <w:br/>
      </w:r>
      <w:r w:rsidRPr="000A6485">
        <w:rPr>
          <w:rFonts w:ascii="Verdana" w:hAnsi="Verdana" w:cs="Arial"/>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sz w:val="18"/>
          <w:szCs w:val="18"/>
        </w:rPr>
      </w:pPr>
      <w:r>
        <w:rPr>
          <w:rFonts w:ascii="Verdana" w:hAnsi="Verdana"/>
          <w:b/>
          <w:bCs/>
          <w:noProof/>
          <w:sz w:val="20"/>
          <w:szCs w:val="20"/>
        </w:rPr>
        <w:pict>
          <v:shape id="_x0000_i1048" type="#_x0000_t75" style="width:459.3pt;height:235.5pt">
            <v:imagedata r:id="rId41" o:title=""/>
          </v:shape>
        </w:pict>
      </w:r>
    </w:p>
    <w:p w:rsidR="00CA374E" w:rsidRPr="00A61201" w:rsidRDefault="00CA374E" w:rsidP="00CA374E">
      <w:pPr>
        <w:spacing w:before="60" w:after="60"/>
        <w:ind w:firstLine="539"/>
        <w:jc w:val="both"/>
        <w:rPr>
          <w:rFonts w:ascii="Verdana" w:hAnsi="Verdana"/>
          <w:sz w:val="16"/>
          <w:szCs w:val="16"/>
        </w:rPr>
      </w:pPr>
      <w:r w:rsidRPr="00A61201">
        <w:rPr>
          <w:rFonts w:ascii="Verdana" w:hAnsi="Verdana"/>
          <w:sz w:val="16"/>
          <w:szCs w:val="16"/>
        </w:rPr>
        <w:t>Prognozuje się, że wpływy m.st. Warszawy z podatku od nieruchomości w okresie pierwszych pięciu lat prognozy tj. od 202</w:t>
      </w:r>
      <w:r>
        <w:rPr>
          <w:rFonts w:ascii="Verdana" w:hAnsi="Verdana"/>
          <w:sz w:val="16"/>
          <w:szCs w:val="16"/>
        </w:rPr>
        <w:t>4</w:t>
      </w:r>
      <w:r w:rsidRPr="00A61201">
        <w:rPr>
          <w:rFonts w:ascii="Verdana" w:hAnsi="Verdana"/>
          <w:sz w:val="16"/>
          <w:szCs w:val="16"/>
        </w:rPr>
        <w:t xml:space="preserve"> do 202</w:t>
      </w:r>
      <w:r>
        <w:rPr>
          <w:rFonts w:ascii="Verdana" w:hAnsi="Verdana"/>
          <w:sz w:val="16"/>
          <w:szCs w:val="16"/>
        </w:rPr>
        <w:t>8</w:t>
      </w:r>
      <w:r w:rsidRPr="00A61201">
        <w:rPr>
          <w:rFonts w:ascii="Verdana" w:hAnsi="Verdana"/>
          <w:sz w:val="16"/>
          <w:szCs w:val="16"/>
        </w:rPr>
        <w:t xml:space="preserve"> r. wyniosą łącznie </w:t>
      </w:r>
      <w:r>
        <w:rPr>
          <w:rFonts w:ascii="Verdana" w:hAnsi="Verdana"/>
          <w:b/>
          <w:sz w:val="16"/>
          <w:szCs w:val="16"/>
        </w:rPr>
        <w:t>8,8</w:t>
      </w:r>
      <w:r w:rsidRPr="00F17E33">
        <w:rPr>
          <w:rFonts w:ascii="Verdana" w:hAnsi="Verdana"/>
          <w:b/>
          <w:sz w:val="16"/>
          <w:szCs w:val="16"/>
        </w:rPr>
        <w:t xml:space="preserve"> mld </w:t>
      </w:r>
      <w:r w:rsidRPr="00A61201">
        <w:rPr>
          <w:rFonts w:ascii="Verdana" w:hAnsi="Verdana"/>
          <w:b/>
          <w:sz w:val="16"/>
          <w:szCs w:val="16"/>
        </w:rPr>
        <w:t>zł</w:t>
      </w:r>
      <w:r w:rsidRPr="00A61201">
        <w:rPr>
          <w:rFonts w:ascii="Verdana" w:hAnsi="Verdana"/>
          <w:sz w:val="16"/>
          <w:szCs w:val="16"/>
        </w:rPr>
        <w:t xml:space="preserve">, co będzie stanowiło </w:t>
      </w:r>
      <w:r>
        <w:rPr>
          <w:rFonts w:ascii="Verdana" w:hAnsi="Verdana"/>
          <w:b/>
          <w:sz w:val="16"/>
          <w:szCs w:val="16"/>
        </w:rPr>
        <w:t>6,8</w:t>
      </w:r>
      <w:r w:rsidRPr="00F17E33">
        <w:rPr>
          <w:rFonts w:ascii="Verdana" w:hAnsi="Verdana"/>
          <w:b/>
          <w:sz w:val="16"/>
          <w:szCs w:val="16"/>
        </w:rPr>
        <w:t>%</w:t>
      </w:r>
      <w:r w:rsidRPr="00F17E33">
        <w:rPr>
          <w:rFonts w:ascii="Verdana" w:hAnsi="Verdana"/>
          <w:sz w:val="16"/>
          <w:szCs w:val="16"/>
        </w:rPr>
        <w:t xml:space="preserve"> </w:t>
      </w:r>
      <w:r w:rsidRPr="00A61201">
        <w:rPr>
          <w:rFonts w:ascii="Verdana" w:hAnsi="Verdana"/>
          <w:sz w:val="16"/>
          <w:szCs w:val="16"/>
        </w:rPr>
        <w:t xml:space="preserve">planowanych </w:t>
      </w:r>
      <w:r w:rsidRPr="00A61201">
        <w:rPr>
          <w:rFonts w:ascii="Verdana" w:hAnsi="Verdana"/>
          <w:sz w:val="16"/>
          <w:szCs w:val="16"/>
        </w:rPr>
        <w:br/>
        <w:t>do realizacji w tym okresie dochodów ogółem.</w:t>
      </w:r>
    </w:p>
    <w:p w:rsidR="00CA374E" w:rsidRPr="00A61201" w:rsidRDefault="00CA374E" w:rsidP="00CA374E">
      <w:pPr>
        <w:spacing w:before="60" w:after="60"/>
        <w:jc w:val="both"/>
        <w:rPr>
          <w:rFonts w:ascii="Verdana" w:hAnsi="Verdana"/>
          <w:sz w:val="16"/>
          <w:szCs w:val="16"/>
        </w:rPr>
      </w:pPr>
      <w:r w:rsidRPr="00A61201">
        <w:rPr>
          <w:rFonts w:ascii="Verdana" w:hAnsi="Verdana"/>
          <w:sz w:val="16"/>
          <w:szCs w:val="16"/>
        </w:rPr>
        <w:t>W kalkulacji planu dochodów z</w:t>
      </w:r>
      <w:r w:rsidRPr="00A61201">
        <w:rPr>
          <w:rFonts w:ascii="Verdana" w:hAnsi="Verdana"/>
          <w:b/>
          <w:bCs/>
          <w:sz w:val="16"/>
          <w:szCs w:val="16"/>
        </w:rPr>
        <w:t xml:space="preserve"> </w:t>
      </w:r>
      <w:r w:rsidRPr="00A61201">
        <w:rPr>
          <w:rFonts w:ascii="Verdana" w:hAnsi="Verdana"/>
          <w:sz w:val="16"/>
          <w:szCs w:val="16"/>
        </w:rPr>
        <w:t>podatku od nieruchomości na 202</w:t>
      </w:r>
      <w:r>
        <w:rPr>
          <w:rFonts w:ascii="Verdana" w:hAnsi="Verdana"/>
          <w:sz w:val="16"/>
          <w:szCs w:val="16"/>
        </w:rPr>
        <w:t>4</w:t>
      </w:r>
      <w:r w:rsidRPr="00A61201">
        <w:rPr>
          <w:rFonts w:ascii="Verdana" w:hAnsi="Verdana"/>
          <w:sz w:val="16"/>
          <w:szCs w:val="16"/>
        </w:rPr>
        <w:t xml:space="preserve"> r. uwzględniono bieżący stan bazy podatkowej (podstawa wymiaru podatku) oraz stopień ściągalności</w:t>
      </w:r>
      <w:r>
        <w:rPr>
          <w:rFonts w:ascii="Verdana" w:hAnsi="Verdana"/>
          <w:sz w:val="16"/>
          <w:szCs w:val="16"/>
        </w:rPr>
        <w:t>.</w:t>
      </w:r>
      <w:r w:rsidRPr="00A61201">
        <w:rPr>
          <w:rFonts w:ascii="Verdana" w:hAnsi="Verdana"/>
          <w:sz w:val="16"/>
          <w:szCs w:val="16"/>
        </w:rPr>
        <w:t xml:space="preserve"> </w:t>
      </w:r>
    </w:p>
    <w:p w:rsidR="00CA374E" w:rsidRPr="000A6485" w:rsidRDefault="00CA374E" w:rsidP="00CA374E">
      <w:pPr>
        <w:spacing w:before="60" w:after="60"/>
        <w:ind w:firstLine="567"/>
        <w:jc w:val="both"/>
        <w:rPr>
          <w:rFonts w:ascii="Verdana" w:hAnsi="Verdana"/>
          <w:sz w:val="16"/>
          <w:szCs w:val="16"/>
        </w:rPr>
      </w:pPr>
      <w:r w:rsidRPr="00A61201">
        <w:rPr>
          <w:rFonts w:ascii="Verdana" w:hAnsi="Verdana"/>
          <w:sz w:val="16"/>
          <w:szCs w:val="16"/>
        </w:rPr>
        <w:t xml:space="preserve">Dynamika wpływów z podatku od nieruchomości w dłuższej perspektywie sięgającej 2050 r. będzie zbliżona z prognozowaną </w:t>
      </w:r>
      <w:r>
        <w:rPr>
          <w:rFonts w:ascii="Verdana" w:hAnsi="Verdana"/>
          <w:sz w:val="16"/>
          <w:szCs w:val="16"/>
        </w:rPr>
        <w:t>–</w:t>
      </w:r>
      <w:r w:rsidRPr="00A61201">
        <w:rPr>
          <w:rFonts w:ascii="Verdana" w:hAnsi="Verdana"/>
          <w:sz w:val="16"/>
          <w:szCs w:val="16"/>
        </w:rPr>
        <w:t xml:space="preserve"> </w:t>
      </w:r>
      <w:r>
        <w:rPr>
          <w:rFonts w:ascii="Verdana" w:hAnsi="Verdana"/>
          <w:sz w:val="16"/>
          <w:szCs w:val="16"/>
        </w:rPr>
        <w:t xml:space="preserve">w opublikowanych przez Ministerstwo Finansów </w:t>
      </w:r>
      <w:r>
        <w:rPr>
          <w:rFonts w:ascii="Verdana" w:hAnsi="Verdana"/>
          <w:i/>
          <w:sz w:val="16"/>
          <w:szCs w:val="16"/>
        </w:rPr>
        <w:t>Wytycznych dotyczących</w:t>
      </w:r>
      <w:r w:rsidRPr="003F7795">
        <w:rPr>
          <w:rFonts w:ascii="Verdana" w:hAnsi="Verdana"/>
          <w:i/>
          <w:sz w:val="16"/>
          <w:szCs w:val="16"/>
        </w:rPr>
        <w:t xml:space="preserve"> stosowania jednolitych wskaźników makroekonomicznych będących podstawą oszacowania skutków finansowych projektowanych ustaw – aktualizacja </w:t>
      </w:r>
      <w:r>
        <w:rPr>
          <w:rFonts w:ascii="Verdana" w:hAnsi="Verdana"/>
          <w:i/>
          <w:sz w:val="16"/>
          <w:szCs w:val="16"/>
        </w:rPr>
        <w:t>październik</w:t>
      </w:r>
      <w:r w:rsidRPr="003F7795">
        <w:rPr>
          <w:rFonts w:ascii="Verdana" w:hAnsi="Verdana"/>
          <w:i/>
          <w:sz w:val="16"/>
          <w:szCs w:val="16"/>
        </w:rPr>
        <w:t xml:space="preserve"> 202</w:t>
      </w:r>
      <w:r>
        <w:rPr>
          <w:rFonts w:ascii="Verdana" w:hAnsi="Verdana"/>
          <w:i/>
          <w:sz w:val="16"/>
          <w:szCs w:val="16"/>
        </w:rPr>
        <w:t>3 r.</w:t>
      </w:r>
      <w:r>
        <w:rPr>
          <w:rFonts w:ascii="Verdana" w:hAnsi="Verdana"/>
          <w:sz w:val="16"/>
          <w:szCs w:val="16"/>
        </w:rPr>
        <w:t xml:space="preserve"> – </w:t>
      </w:r>
      <w:r w:rsidRPr="00A61201">
        <w:rPr>
          <w:rFonts w:ascii="Verdana" w:hAnsi="Verdana"/>
          <w:sz w:val="16"/>
          <w:szCs w:val="16"/>
        </w:rPr>
        <w:t xml:space="preserve">dynamiką cen i towarów </w:t>
      </w:r>
      <w:r>
        <w:rPr>
          <w:rFonts w:ascii="Verdana" w:hAnsi="Verdana"/>
          <w:sz w:val="16"/>
          <w:szCs w:val="16"/>
        </w:rPr>
        <w:t>k</w:t>
      </w:r>
      <w:r w:rsidRPr="00A61201">
        <w:rPr>
          <w:rFonts w:ascii="Verdana" w:hAnsi="Verdana"/>
          <w:sz w:val="16"/>
          <w:szCs w:val="16"/>
        </w:rPr>
        <w:t>onsumpcyjnych.</w:t>
      </w:r>
    </w:p>
    <w:p w:rsidR="00CA374E" w:rsidRDefault="00CA374E" w:rsidP="00CA374E">
      <w:pPr>
        <w:spacing w:before="60" w:after="60"/>
        <w:ind w:firstLine="567"/>
        <w:jc w:val="both"/>
        <w:rPr>
          <w:rFonts w:ascii="Verdana" w:hAnsi="Verdana"/>
          <w:sz w:val="16"/>
          <w:szCs w:val="16"/>
        </w:rPr>
      </w:pPr>
      <w:r w:rsidRPr="002751E6">
        <w:rPr>
          <w:rFonts w:ascii="Verdana" w:hAnsi="Verdana"/>
          <w:sz w:val="16"/>
          <w:szCs w:val="16"/>
        </w:rPr>
        <w:t xml:space="preserve">W ostatnich latach dynamika dochodów z podatku od nieruchomości była wyższa od dynamiki stawek podatkowych, </w:t>
      </w:r>
      <w:r w:rsidRPr="009554E3">
        <w:rPr>
          <w:rFonts w:ascii="Verdana" w:hAnsi="Verdana"/>
          <w:sz w:val="16"/>
          <w:szCs w:val="16"/>
        </w:rPr>
        <w:t xml:space="preserve">które zmieniały się w tempie porównywalnym z dynamiką wskaźnika cen towarów i usług konsumpcyjnych. W 2015 r. stawki podatkowe nie zmieniły się, w latach 2016-2017 część uległo obniżeniu, </w:t>
      </w:r>
      <w:r w:rsidRPr="009554E3">
        <w:rPr>
          <w:rFonts w:ascii="Verdana" w:hAnsi="Verdana"/>
          <w:sz w:val="16"/>
          <w:szCs w:val="16"/>
        </w:rPr>
        <w:br/>
        <w:t>w latach 2018-202</w:t>
      </w:r>
      <w:r>
        <w:rPr>
          <w:rFonts w:ascii="Verdana" w:hAnsi="Verdana"/>
          <w:sz w:val="16"/>
          <w:szCs w:val="16"/>
        </w:rPr>
        <w:t>3</w:t>
      </w:r>
      <w:r w:rsidRPr="009554E3">
        <w:rPr>
          <w:rFonts w:ascii="Verdana" w:hAnsi="Verdana"/>
          <w:sz w:val="16"/>
          <w:szCs w:val="16"/>
        </w:rPr>
        <w:t xml:space="preserve"> nastąpił ich wzrost.</w:t>
      </w:r>
    </w:p>
    <w:p w:rsidR="00CA374E"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28</w:t>
      </w:r>
      <w:r w:rsidRPr="000A6485">
        <w:rPr>
          <w:rFonts w:ascii="Verdana" w:hAnsi="Verdana"/>
          <w:sz w:val="16"/>
          <w:szCs w:val="16"/>
        </w:rPr>
        <w:t xml:space="preserve"> prezentuje procentową zmianę rok do roku wysokości dochodów z podatku od nieruchomości </w:t>
      </w:r>
      <w:r w:rsidRPr="000A6485">
        <w:rPr>
          <w:rFonts w:ascii="Verdana" w:hAnsi="Verdana"/>
          <w:sz w:val="16"/>
          <w:szCs w:val="16"/>
        </w:rPr>
        <w:br/>
        <w:t>w poszczególnych latach objętych Prognozą.</w:t>
      </w:r>
    </w:p>
    <w:p w:rsidR="00CA374E" w:rsidRDefault="00CA374E" w:rsidP="00CA374E">
      <w:pPr>
        <w:spacing w:before="120" w:after="120"/>
        <w:jc w:val="both"/>
        <w:rPr>
          <w:rFonts w:ascii="Verdana" w:hAnsi="Verdana" w:cs="Arial"/>
          <w:b/>
          <w:bCs/>
          <w:sz w:val="14"/>
          <w:szCs w:val="14"/>
        </w:rPr>
      </w:pPr>
      <w:r>
        <w:rPr>
          <w:rFonts w:ascii="Verdana" w:hAnsi="Verdana" w:cs="Arial"/>
          <w:b/>
          <w:bCs/>
          <w:sz w:val="14"/>
          <w:szCs w:val="14"/>
        </w:rPr>
        <w:br w:type="page"/>
      </w:r>
    </w:p>
    <w:p w:rsidR="00CA374E" w:rsidRPr="000A6485" w:rsidRDefault="00CA374E" w:rsidP="00CA374E">
      <w:pPr>
        <w:spacing w:before="120" w:after="120"/>
        <w:jc w:val="both"/>
        <w:rPr>
          <w:rFonts w:ascii="Verdana" w:hAnsi="Verdana"/>
          <w:sz w:val="14"/>
          <w:szCs w:val="14"/>
        </w:rPr>
      </w:pPr>
      <w:r w:rsidRPr="000A6485">
        <w:rPr>
          <w:rFonts w:ascii="Verdana" w:hAnsi="Verdana" w:cs="Arial"/>
          <w:b/>
          <w:bCs/>
          <w:sz w:val="14"/>
          <w:szCs w:val="14"/>
        </w:rPr>
        <w:lastRenderedPageBreak/>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28</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DOCHODÓW Z PODATKU OD NIERUCHOMOŚCI </w:t>
      </w:r>
      <w:r w:rsidRPr="000A6485">
        <w:rPr>
          <w:rFonts w:ascii="Verdana" w:hAnsi="Verdana" w:cs="Arial"/>
          <w:b/>
          <w:bCs/>
          <w:sz w:val="14"/>
          <w:szCs w:val="14"/>
        </w:rPr>
        <w:br/>
        <w:t xml:space="preserve">                M.</w:t>
      </w:r>
      <w:r>
        <w:rPr>
          <w:rFonts w:ascii="Verdana" w:hAnsi="Verdana" w:cs="Arial"/>
          <w:b/>
          <w:bCs/>
          <w:sz w:val="14"/>
          <w:szCs w:val="14"/>
        </w:rPr>
        <w:t xml:space="preserve">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spacing w:before="120" w:after="120"/>
        <w:jc w:val="both"/>
        <w:rPr>
          <w:rFonts w:ascii="Verdana" w:hAnsi="Verdana"/>
          <w:sz w:val="18"/>
          <w:szCs w:val="18"/>
        </w:rPr>
      </w:pPr>
      <w:r>
        <w:rPr>
          <w:rFonts w:ascii="Verdana" w:hAnsi="Verdana"/>
          <w:noProof/>
          <w:sz w:val="18"/>
          <w:szCs w:val="18"/>
        </w:rPr>
        <w:pict>
          <v:shape id="_x0000_i1049" type="#_x0000_t75" style="width:454.2pt;height:231pt">
            <v:imagedata r:id="rId42" o:title=""/>
          </v:shape>
        </w:pict>
      </w:r>
    </w:p>
    <w:p w:rsidR="00CA374E" w:rsidRPr="000A6485" w:rsidRDefault="00CA374E" w:rsidP="00CA374E">
      <w:pPr>
        <w:spacing w:before="240" w:after="240"/>
        <w:ind w:left="1077" w:hanging="1077"/>
        <w:rPr>
          <w:rFonts w:ascii="Verdana" w:hAnsi="Verdana"/>
          <w:b/>
          <w:bCs/>
          <w:sz w:val="18"/>
          <w:szCs w:val="18"/>
        </w:rPr>
      </w:pPr>
      <w:r w:rsidRPr="000A6485">
        <w:rPr>
          <w:rFonts w:ascii="Verdana" w:hAnsi="Verdana"/>
          <w:b/>
          <w:bCs/>
          <w:sz w:val="18"/>
          <w:szCs w:val="18"/>
        </w:rPr>
        <w:t>7.2.3.6 Prognoza dochodów ze sprzedaży majątku</w:t>
      </w:r>
    </w:p>
    <w:p w:rsidR="00CA374E" w:rsidRDefault="00CA374E" w:rsidP="00CA374E">
      <w:pPr>
        <w:tabs>
          <w:tab w:val="left" w:pos="0"/>
        </w:tabs>
        <w:spacing w:before="240" w:after="120"/>
        <w:ind w:firstLine="567"/>
        <w:jc w:val="both"/>
        <w:rPr>
          <w:rFonts w:ascii="Verdana" w:hAnsi="Verdana"/>
          <w:sz w:val="16"/>
          <w:szCs w:val="16"/>
        </w:rPr>
      </w:pPr>
      <w:r>
        <w:rPr>
          <w:rFonts w:ascii="Verdana" w:hAnsi="Verdana"/>
          <w:sz w:val="16"/>
          <w:szCs w:val="16"/>
        </w:rPr>
        <w:t>Na obecnym etapie nie są ujmowane potencjalne dochody ze sprzedaży majątku.</w:t>
      </w:r>
    </w:p>
    <w:p w:rsidR="00CA374E" w:rsidRPr="000A6485" w:rsidRDefault="00CA374E" w:rsidP="00CA374E">
      <w:pPr>
        <w:tabs>
          <w:tab w:val="left" w:pos="0"/>
        </w:tabs>
        <w:spacing w:before="24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29</w:t>
      </w:r>
      <w:r w:rsidRPr="000A6485">
        <w:rPr>
          <w:rFonts w:ascii="Verdana" w:hAnsi="Verdana"/>
          <w:sz w:val="16"/>
          <w:szCs w:val="16"/>
        </w:rPr>
        <w:t xml:space="preserve"> prezentuje prognozowane dochody ze sprzedaży majątku w poszczególnych latach objętych Prognozą.</w:t>
      </w:r>
    </w:p>
    <w:p w:rsidR="00CA374E" w:rsidRPr="000A6485" w:rsidRDefault="00CA374E" w:rsidP="00CA374E">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29</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ZE SPRZEDAŻY MAJ</w:t>
      </w:r>
      <w:r>
        <w:rPr>
          <w:rFonts w:ascii="Verdana" w:hAnsi="Verdana" w:cs="Arial"/>
          <w:b/>
          <w:bCs/>
          <w:sz w:val="14"/>
          <w:szCs w:val="14"/>
        </w:rPr>
        <w:t xml:space="preserve">ĄTKU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0"/>
          <w:szCs w:val="20"/>
        </w:rPr>
      </w:pPr>
      <w:r>
        <w:rPr>
          <w:noProof/>
        </w:rPr>
        <w:pict>
          <v:shape id="_x0000_i1050" type="#_x0000_t75" style="width:193.5pt;height:186.6pt">
            <v:imagedata r:id="rId43" o:title=""/>
          </v:shape>
        </w:pict>
      </w:r>
    </w:p>
    <w:p w:rsidR="00CA374E" w:rsidRPr="00CD61A2" w:rsidRDefault="00CA374E" w:rsidP="00CA374E">
      <w:pPr>
        <w:spacing w:before="60" w:after="60"/>
        <w:jc w:val="both"/>
        <w:rPr>
          <w:rFonts w:ascii="Verdana" w:hAnsi="Verdana"/>
          <w:sz w:val="16"/>
          <w:szCs w:val="16"/>
        </w:rPr>
      </w:pPr>
      <w:r w:rsidRPr="00CD61A2">
        <w:rPr>
          <w:rFonts w:ascii="Verdana" w:hAnsi="Verdana"/>
          <w:sz w:val="16"/>
          <w:szCs w:val="16"/>
        </w:rPr>
        <w:t>Prognozuje się, że wpływy m.st. Warszawy ze sprzedaży majątku w okresie objętym prognozą wyniosą:</w:t>
      </w:r>
    </w:p>
    <w:p w:rsidR="00CA374E" w:rsidRPr="00CD61A2"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sidRPr="00CD61A2">
        <w:rPr>
          <w:rFonts w:ascii="Verdana" w:hAnsi="Verdana"/>
          <w:sz w:val="16"/>
          <w:szCs w:val="16"/>
        </w:rPr>
        <w:t>202</w:t>
      </w:r>
      <w:r>
        <w:rPr>
          <w:rFonts w:ascii="Verdana" w:hAnsi="Verdana"/>
          <w:sz w:val="16"/>
          <w:szCs w:val="16"/>
        </w:rPr>
        <w:t>4</w:t>
      </w:r>
      <w:r w:rsidRPr="00CD61A2">
        <w:rPr>
          <w:rFonts w:ascii="Verdana" w:hAnsi="Verdana"/>
          <w:sz w:val="16"/>
          <w:szCs w:val="16"/>
        </w:rPr>
        <w:t xml:space="preserve"> r.: </w:t>
      </w:r>
      <w:r>
        <w:rPr>
          <w:rFonts w:ascii="Verdana" w:hAnsi="Verdana"/>
          <w:b/>
          <w:sz w:val="16"/>
          <w:szCs w:val="16"/>
        </w:rPr>
        <w:t>20</w:t>
      </w:r>
      <w:r w:rsidRPr="00335B50">
        <w:rPr>
          <w:rFonts w:ascii="Verdana" w:hAnsi="Verdana"/>
          <w:b/>
          <w:sz w:val="16"/>
          <w:szCs w:val="16"/>
        </w:rPr>
        <w:t>,</w:t>
      </w:r>
      <w:r>
        <w:rPr>
          <w:rFonts w:ascii="Verdana" w:hAnsi="Verdana"/>
          <w:b/>
          <w:sz w:val="16"/>
          <w:szCs w:val="16"/>
        </w:rPr>
        <w:t>1</w:t>
      </w:r>
      <w:r w:rsidRPr="00CD61A2">
        <w:rPr>
          <w:rFonts w:ascii="Verdana" w:hAnsi="Verdana"/>
          <w:b/>
          <w:sz w:val="16"/>
          <w:szCs w:val="16"/>
        </w:rPr>
        <w:t xml:space="preserve"> mln zł </w:t>
      </w:r>
    </w:p>
    <w:p w:rsidR="00CA374E" w:rsidRPr="001D53B3"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Pr>
          <w:rFonts w:ascii="Verdana" w:hAnsi="Verdana"/>
          <w:sz w:val="16"/>
          <w:szCs w:val="16"/>
        </w:rPr>
        <w:t xml:space="preserve">2025 r.: </w:t>
      </w:r>
      <w:r>
        <w:rPr>
          <w:rFonts w:ascii="Verdana" w:hAnsi="Verdana"/>
          <w:b/>
          <w:sz w:val="16"/>
          <w:szCs w:val="16"/>
        </w:rPr>
        <w:t>6</w:t>
      </w:r>
      <w:r w:rsidRPr="00CD61A2">
        <w:rPr>
          <w:rFonts w:ascii="Verdana" w:hAnsi="Verdana"/>
          <w:b/>
          <w:sz w:val="16"/>
          <w:szCs w:val="16"/>
        </w:rPr>
        <w:t xml:space="preserve"> mln zł</w:t>
      </w:r>
    </w:p>
    <w:p w:rsidR="00CA374E" w:rsidRPr="007E12E5" w:rsidRDefault="00CA374E" w:rsidP="00CA374E">
      <w:pPr>
        <w:numPr>
          <w:ilvl w:val="0"/>
          <w:numId w:val="10"/>
        </w:numPr>
        <w:tabs>
          <w:tab w:val="clear" w:pos="1080"/>
          <w:tab w:val="num" w:pos="540"/>
        </w:tabs>
        <w:spacing w:before="60" w:after="60"/>
        <w:ind w:left="539" w:hanging="255"/>
        <w:jc w:val="both"/>
        <w:rPr>
          <w:rFonts w:ascii="Verdana" w:hAnsi="Verdana"/>
          <w:sz w:val="16"/>
          <w:szCs w:val="16"/>
        </w:rPr>
      </w:pPr>
      <w:r>
        <w:rPr>
          <w:rFonts w:ascii="Verdana" w:hAnsi="Verdana"/>
          <w:sz w:val="16"/>
          <w:szCs w:val="16"/>
        </w:rPr>
        <w:t xml:space="preserve">2026 r.: </w:t>
      </w:r>
      <w:r>
        <w:rPr>
          <w:rFonts w:ascii="Verdana" w:hAnsi="Verdana"/>
          <w:b/>
          <w:sz w:val="16"/>
          <w:szCs w:val="16"/>
        </w:rPr>
        <w:t>74 tys.</w:t>
      </w:r>
      <w:r w:rsidRPr="00CD61A2">
        <w:rPr>
          <w:rFonts w:ascii="Verdana" w:hAnsi="Verdana"/>
          <w:b/>
          <w:sz w:val="16"/>
          <w:szCs w:val="16"/>
        </w:rPr>
        <w:t xml:space="preserve"> zł</w:t>
      </w:r>
    </w:p>
    <w:p w:rsidR="00CA374E" w:rsidRDefault="00CA374E" w:rsidP="00CA374E">
      <w:pPr>
        <w:spacing w:before="60" w:after="60"/>
        <w:jc w:val="both"/>
        <w:rPr>
          <w:rFonts w:ascii="Verdana" w:hAnsi="Verdana"/>
          <w:sz w:val="16"/>
          <w:szCs w:val="16"/>
        </w:rPr>
      </w:pPr>
      <w:r>
        <w:rPr>
          <w:rFonts w:ascii="Verdana" w:hAnsi="Verdana"/>
          <w:sz w:val="16"/>
          <w:szCs w:val="16"/>
        </w:rPr>
        <w:t xml:space="preserve">Na dochody ze sprzedaży majątku w 2024 r. składają się głównie: wpływy ze sprzedaży nieruchomości </w:t>
      </w:r>
      <w:r>
        <w:rPr>
          <w:rFonts w:ascii="Verdana" w:hAnsi="Verdana"/>
          <w:sz w:val="16"/>
          <w:szCs w:val="16"/>
        </w:rPr>
        <w:br/>
        <w:t xml:space="preserve">(15 mln zł), wpływy ze zbycia praw majątkowych i sprzedaży składników majątkowych, tj. na skutek planowanego </w:t>
      </w:r>
      <w:r>
        <w:rPr>
          <w:rFonts w:ascii="Verdana" w:hAnsi="Verdana"/>
          <w:sz w:val="16"/>
          <w:szCs w:val="16"/>
        </w:rPr>
        <w:lastRenderedPageBreak/>
        <w:t xml:space="preserve">zbycia świadectw efektywności energetycznej (5 mln zł) oraz sprzedaży samochodów służbowych wycofanych </w:t>
      </w:r>
      <w:r>
        <w:rPr>
          <w:rFonts w:ascii="Verdana" w:hAnsi="Verdana"/>
          <w:sz w:val="16"/>
          <w:szCs w:val="16"/>
        </w:rPr>
        <w:br/>
        <w:t>z użytku (blisko 60 tys. zł).</w:t>
      </w:r>
    </w:p>
    <w:p w:rsidR="00CA374E" w:rsidRPr="000A6485" w:rsidRDefault="00CA374E" w:rsidP="00CA374E">
      <w:pPr>
        <w:spacing w:before="240" w:after="240"/>
        <w:jc w:val="both"/>
        <w:rPr>
          <w:rFonts w:ascii="Verdana" w:hAnsi="Verdana"/>
          <w:b/>
          <w:bCs/>
          <w:sz w:val="18"/>
          <w:szCs w:val="18"/>
        </w:rPr>
      </w:pPr>
      <w:r w:rsidRPr="002F668E">
        <w:rPr>
          <w:rFonts w:ascii="Verdana" w:hAnsi="Verdana"/>
          <w:sz w:val="16"/>
          <w:szCs w:val="16"/>
        </w:rPr>
        <w:t xml:space="preserve"> </w:t>
      </w:r>
      <w:r w:rsidRPr="000A6485">
        <w:rPr>
          <w:rFonts w:ascii="Verdana" w:hAnsi="Verdana"/>
          <w:b/>
          <w:bCs/>
          <w:sz w:val="18"/>
          <w:szCs w:val="18"/>
        </w:rPr>
        <w:t>7.2.3.7 Prognoza dochodów z dotacji i środków przeznaczonych na inwestycje</w:t>
      </w:r>
    </w:p>
    <w:p w:rsidR="00CA374E" w:rsidRDefault="00CA374E" w:rsidP="00CA374E">
      <w:pPr>
        <w:tabs>
          <w:tab w:val="left" w:pos="0"/>
        </w:tabs>
        <w:spacing w:before="120" w:after="120"/>
        <w:ind w:firstLine="567"/>
        <w:jc w:val="both"/>
        <w:rPr>
          <w:rFonts w:ascii="Verdana" w:hAnsi="Verdana"/>
          <w:sz w:val="16"/>
          <w:szCs w:val="16"/>
        </w:rPr>
      </w:pPr>
      <w:r w:rsidRPr="00C97A2D">
        <w:rPr>
          <w:rFonts w:ascii="Verdana" w:hAnsi="Verdana"/>
          <w:sz w:val="16"/>
          <w:szCs w:val="16"/>
        </w:rPr>
        <w:t>W WPF 2024-2050 nie zostały ujęte potencjalne dochody z</w:t>
      </w:r>
      <w:r>
        <w:rPr>
          <w:rFonts w:ascii="Verdana" w:hAnsi="Verdana"/>
          <w:sz w:val="16"/>
          <w:szCs w:val="16"/>
        </w:rPr>
        <w:t xml:space="preserve"> Krajowego Planu Odbudowy,</w:t>
      </w:r>
      <w:r w:rsidRPr="00A63A52">
        <w:rPr>
          <w:rFonts w:ascii="Verdana" w:hAnsi="Verdana"/>
          <w:sz w:val="16"/>
          <w:szCs w:val="16"/>
        </w:rPr>
        <w:t xml:space="preserve"> </w:t>
      </w:r>
      <w:r w:rsidRPr="00C97A2D">
        <w:rPr>
          <w:rFonts w:ascii="Verdana" w:hAnsi="Verdana"/>
          <w:sz w:val="16"/>
          <w:szCs w:val="16"/>
        </w:rPr>
        <w:t>z uwagi na brak szczegółowych informacji i decyzji w tym zakresie</w:t>
      </w:r>
      <w:r>
        <w:rPr>
          <w:rFonts w:ascii="Verdana" w:hAnsi="Verdana"/>
          <w:sz w:val="16"/>
          <w:szCs w:val="16"/>
        </w:rPr>
        <w:t>. Uw</w:t>
      </w:r>
      <w:r w:rsidRPr="00C97A2D">
        <w:rPr>
          <w:rFonts w:ascii="Verdana" w:hAnsi="Verdana"/>
          <w:sz w:val="16"/>
          <w:szCs w:val="16"/>
        </w:rPr>
        <w:t xml:space="preserve">zględniono niewielkie środki z nowej perspektywy Unii Europejskiej. W miarę formalnego pozyskiwania środków z powyższych tytułów będą one uwzględniane </w:t>
      </w:r>
      <w:r w:rsidRPr="00C97A2D">
        <w:rPr>
          <w:rFonts w:ascii="Verdana" w:hAnsi="Verdana"/>
          <w:sz w:val="16"/>
          <w:szCs w:val="16"/>
        </w:rPr>
        <w:br/>
        <w:t xml:space="preserve">w Wieloletniej Prognozie Finansowej m.st. Warszawy. W ramach „Rządowego programu wsparcia rozwoju miasta stołecznego Warszawy na lata 2023-2030” o wartości 3 mld zł, w budżetach na rok 2023 i rok 2024 oraz w WPF edycji 2023 i 2024 ujęto dotąd środki w łącznej wysokości 15,5 mln zł, z tego 5 mln zł w 2023 r. i 10,5 mln zł </w:t>
      </w:r>
      <w:r w:rsidRPr="00C97A2D">
        <w:rPr>
          <w:rFonts w:ascii="Verdana" w:hAnsi="Verdana"/>
          <w:sz w:val="16"/>
          <w:szCs w:val="16"/>
        </w:rPr>
        <w:br/>
        <w:t>w 2024 r., przeznaczone na dofinansowanie realizacji inwestycji pn. "Budowa przedszkola w rejonie ulicy Krakowiaków" (9,6 mln zł) oraz "Modernizacja Parku Skaryszewskiego" (5,9 mln zł).</w:t>
      </w:r>
    </w:p>
    <w:p w:rsidR="00CA374E" w:rsidRPr="000A6485" w:rsidRDefault="00CA374E" w:rsidP="00CA374E">
      <w:pPr>
        <w:tabs>
          <w:tab w:val="left" w:pos="0"/>
        </w:tabs>
        <w:spacing w:before="120" w:after="120"/>
        <w:ind w:firstLine="567"/>
        <w:jc w:val="both"/>
        <w:rPr>
          <w:rFonts w:ascii="Verdana" w:hAnsi="Verdana" w:cs="Arial"/>
          <w:b/>
          <w:bCs/>
          <w:sz w:val="16"/>
          <w:szCs w:val="16"/>
        </w:rPr>
      </w:pPr>
      <w:r w:rsidRPr="000A6485">
        <w:rPr>
          <w:rFonts w:ascii="Verdana" w:hAnsi="Verdana"/>
          <w:sz w:val="16"/>
          <w:szCs w:val="16"/>
        </w:rPr>
        <w:t xml:space="preserve">Wykres </w:t>
      </w:r>
      <w:r>
        <w:rPr>
          <w:rFonts w:ascii="Verdana" w:hAnsi="Verdana"/>
          <w:sz w:val="16"/>
          <w:szCs w:val="16"/>
        </w:rPr>
        <w:t>nr 30</w:t>
      </w:r>
      <w:r w:rsidRPr="000A6485">
        <w:rPr>
          <w:rFonts w:ascii="Verdana" w:hAnsi="Verdana"/>
          <w:sz w:val="16"/>
          <w:szCs w:val="16"/>
        </w:rPr>
        <w:t xml:space="preserve"> prezentuje prognozowane dochody z dotacji i środków przeznaczonych na inwestycje </w:t>
      </w:r>
      <w:r w:rsidRPr="000A6485">
        <w:rPr>
          <w:rFonts w:ascii="Verdana" w:hAnsi="Verdana"/>
          <w:sz w:val="16"/>
          <w:szCs w:val="16"/>
        </w:rPr>
        <w:br/>
        <w:t>w poszczególnych latach objętych Prognozą.</w:t>
      </w:r>
    </w:p>
    <w:p w:rsidR="00CA374E" w:rsidRPr="000A6485" w:rsidRDefault="00CA374E" w:rsidP="00CA374E">
      <w:pPr>
        <w:tabs>
          <w:tab w:val="left" w:pos="720"/>
        </w:tabs>
        <w:spacing w:before="120" w:after="60" w:line="240" w:lineRule="auto"/>
        <w:ind w:left="720" w:hanging="720"/>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30</w:t>
      </w:r>
      <w:r w:rsidRPr="000A6485">
        <w:rPr>
          <w:rFonts w:ascii="Verdana" w:hAnsi="Verdana" w:cs="Arial"/>
          <w:b/>
          <w:bCs/>
          <w:sz w:val="14"/>
          <w:szCs w:val="14"/>
        </w:rPr>
        <w:fldChar w:fldCharType="end"/>
      </w:r>
      <w:r w:rsidRPr="000A6485">
        <w:rPr>
          <w:rFonts w:ascii="Verdana" w:hAnsi="Verdana" w:cs="Arial"/>
          <w:b/>
          <w:bCs/>
          <w:sz w:val="14"/>
          <w:szCs w:val="14"/>
        </w:rPr>
        <w:t xml:space="preserve">  PROGNOZA DOCHODÓW Z DOTACJI I ŚRODKÓW PRZEZNACZONYCH NA INWESTYCJE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0"/>
          <w:szCs w:val="20"/>
        </w:rPr>
      </w:pPr>
      <w:r>
        <w:rPr>
          <w:rFonts w:ascii="Verdana" w:hAnsi="Verdana"/>
          <w:b/>
          <w:bCs/>
          <w:noProof/>
          <w:sz w:val="20"/>
          <w:szCs w:val="20"/>
        </w:rPr>
        <w:pict>
          <v:shape id="_x0000_i1051" type="#_x0000_t75" style="width:215.1pt;height:193.5pt">
            <v:imagedata r:id="rId44" o:title=""/>
          </v:shape>
        </w:pict>
      </w:r>
    </w:p>
    <w:p w:rsidR="00CA374E" w:rsidRDefault="00CA374E" w:rsidP="00CA374E">
      <w:pPr>
        <w:spacing w:before="120" w:after="120"/>
        <w:jc w:val="both"/>
        <w:rPr>
          <w:rFonts w:ascii="Verdana" w:hAnsi="Verdana"/>
          <w:b/>
          <w:bCs/>
          <w:sz w:val="20"/>
          <w:szCs w:val="20"/>
        </w:rPr>
      </w:pPr>
      <w:r>
        <w:rPr>
          <w:rFonts w:ascii="Verdana" w:hAnsi="Verdana"/>
          <w:sz w:val="16"/>
          <w:szCs w:val="16"/>
        </w:rPr>
        <w:tab/>
        <w:t>Prognozuje się, że wpływy m.st. Warszawy z dotacji i środków przeznaczonych na inwestycje w okresie objętym prognozą wyniosą:</w:t>
      </w:r>
    </w:p>
    <w:p w:rsidR="00CA374E" w:rsidRDefault="00CA374E" w:rsidP="00CA374E">
      <w:pPr>
        <w:pStyle w:val="Akapitzlist"/>
        <w:numPr>
          <w:ilvl w:val="0"/>
          <w:numId w:val="56"/>
        </w:numPr>
        <w:ind w:left="567" w:hanging="283"/>
        <w:jc w:val="both"/>
        <w:rPr>
          <w:rFonts w:ascii="Verdana" w:hAnsi="Verdana"/>
          <w:sz w:val="16"/>
          <w:szCs w:val="16"/>
        </w:rPr>
      </w:pPr>
      <w:r>
        <w:rPr>
          <w:rFonts w:ascii="Verdana" w:hAnsi="Verdana"/>
          <w:sz w:val="16"/>
          <w:szCs w:val="16"/>
        </w:rPr>
        <w:t xml:space="preserve">2024 r.: </w:t>
      </w:r>
      <w:r>
        <w:rPr>
          <w:rFonts w:ascii="Verdana" w:hAnsi="Verdana"/>
          <w:b/>
          <w:bCs/>
          <w:sz w:val="16"/>
          <w:szCs w:val="16"/>
        </w:rPr>
        <w:t>556,3 mln zł</w:t>
      </w:r>
      <w:r>
        <w:rPr>
          <w:rFonts w:ascii="Verdana" w:hAnsi="Verdana"/>
          <w:sz w:val="16"/>
          <w:szCs w:val="16"/>
        </w:rPr>
        <w:t xml:space="preserve">, w tym: środki unijne </w:t>
      </w:r>
      <w:r>
        <w:rPr>
          <w:rFonts w:ascii="Verdana" w:hAnsi="Verdana"/>
          <w:b/>
          <w:bCs/>
          <w:sz w:val="16"/>
          <w:szCs w:val="16"/>
        </w:rPr>
        <w:t>397,1mln zł</w:t>
      </w:r>
      <w:r>
        <w:rPr>
          <w:rFonts w:ascii="Verdana" w:hAnsi="Verdana"/>
          <w:sz w:val="16"/>
          <w:szCs w:val="16"/>
        </w:rPr>
        <w:t xml:space="preserve">, dotacje z innych JST na inwestycje </w:t>
      </w:r>
      <w:r>
        <w:rPr>
          <w:rFonts w:ascii="Verdana" w:hAnsi="Verdana"/>
          <w:b/>
          <w:bCs/>
          <w:sz w:val="16"/>
          <w:szCs w:val="16"/>
        </w:rPr>
        <w:t xml:space="preserve">83,8 mln zł, </w:t>
      </w:r>
      <w:r>
        <w:rPr>
          <w:rFonts w:ascii="Verdana" w:hAnsi="Verdana"/>
          <w:sz w:val="16"/>
          <w:szCs w:val="16"/>
        </w:rPr>
        <w:t xml:space="preserve">środki od inwestorów na budowę dróg publicznych </w:t>
      </w:r>
      <w:r>
        <w:rPr>
          <w:rFonts w:ascii="Verdana" w:hAnsi="Verdana"/>
          <w:b/>
          <w:bCs/>
          <w:sz w:val="16"/>
          <w:szCs w:val="16"/>
        </w:rPr>
        <w:t>34,0 mln zł</w:t>
      </w:r>
      <w:r>
        <w:rPr>
          <w:rFonts w:ascii="Verdana" w:hAnsi="Verdana"/>
          <w:sz w:val="16"/>
          <w:szCs w:val="16"/>
        </w:rPr>
        <w:t xml:space="preserve">, z budżetu państwa </w:t>
      </w:r>
      <w:r>
        <w:rPr>
          <w:rFonts w:ascii="Verdana" w:hAnsi="Verdana"/>
          <w:b/>
          <w:bCs/>
          <w:sz w:val="16"/>
          <w:szCs w:val="16"/>
        </w:rPr>
        <w:t>23,1 mln zł</w:t>
      </w:r>
      <w:r>
        <w:rPr>
          <w:rFonts w:ascii="Verdana" w:hAnsi="Verdana"/>
          <w:sz w:val="16"/>
          <w:szCs w:val="16"/>
        </w:rPr>
        <w:t xml:space="preserve">, dotacje z Narodowego Funduszu Ochrony Środowiska </w:t>
      </w:r>
      <w:r>
        <w:rPr>
          <w:rFonts w:ascii="Verdana" w:hAnsi="Verdana"/>
          <w:b/>
          <w:bCs/>
          <w:sz w:val="16"/>
          <w:szCs w:val="16"/>
        </w:rPr>
        <w:t>9,5 mln zł</w:t>
      </w:r>
      <w:r>
        <w:rPr>
          <w:rFonts w:ascii="Verdana" w:hAnsi="Verdana"/>
          <w:sz w:val="16"/>
          <w:szCs w:val="16"/>
        </w:rPr>
        <w:t xml:space="preserve">, środki z Programu Inwestycji Strategicznych </w:t>
      </w:r>
      <w:r>
        <w:rPr>
          <w:rFonts w:ascii="Verdana" w:hAnsi="Verdana"/>
          <w:b/>
          <w:bCs/>
          <w:sz w:val="16"/>
          <w:szCs w:val="16"/>
        </w:rPr>
        <w:t>5,4 mln zł</w:t>
      </w:r>
      <w:r>
        <w:rPr>
          <w:rFonts w:ascii="Verdana" w:hAnsi="Verdana"/>
          <w:sz w:val="16"/>
          <w:szCs w:val="16"/>
        </w:rPr>
        <w:t xml:space="preserve"> i z Funduszu Termomodernizacji i Remontów </w:t>
      </w:r>
      <w:r>
        <w:rPr>
          <w:rFonts w:ascii="Verdana" w:hAnsi="Verdana"/>
          <w:b/>
          <w:bCs/>
          <w:sz w:val="16"/>
          <w:szCs w:val="16"/>
        </w:rPr>
        <w:t>3,5 mln zł</w:t>
      </w:r>
      <w:r>
        <w:rPr>
          <w:rFonts w:ascii="Verdana" w:hAnsi="Verdana"/>
          <w:sz w:val="16"/>
          <w:szCs w:val="16"/>
        </w:rPr>
        <w:t>,</w:t>
      </w:r>
    </w:p>
    <w:p w:rsidR="00CA374E" w:rsidRDefault="00CA374E" w:rsidP="00CA374E">
      <w:pPr>
        <w:pStyle w:val="Akapitzlist"/>
        <w:numPr>
          <w:ilvl w:val="0"/>
          <w:numId w:val="56"/>
        </w:numPr>
        <w:ind w:left="567" w:hanging="283"/>
        <w:jc w:val="both"/>
        <w:rPr>
          <w:rFonts w:ascii="Verdana" w:hAnsi="Verdana"/>
          <w:sz w:val="16"/>
          <w:szCs w:val="16"/>
        </w:rPr>
      </w:pPr>
      <w:r>
        <w:rPr>
          <w:rFonts w:ascii="Verdana" w:hAnsi="Verdana"/>
          <w:sz w:val="16"/>
          <w:szCs w:val="16"/>
        </w:rPr>
        <w:t xml:space="preserve">2025 r.:  </w:t>
      </w:r>
      <w:r>
        <w:rPr>
          <w:rFonts w:ascii="Verdana" w:hAnsi="Verdana"/>
          <w:b/>
          <w:bCs/>
          <w:sz w:val="16"/>
          <w:szCs w:val="16"/>
        </w:rPr>
        <w:t>254,6 mln zł</w:t>
      </w:r>
      <w:r>
        <w:rPr>
          <w:rFonts w:ascii="Verdana" w:hAnsi="Verdana"/>
          <w:sz w:val="16"/>
          <w:szCs w:val="16"/>
        </w:rPr>
        <w:t xml:space="preserve">, w tym: środki z Programu Inwestycji Strategicznych </w:t>
      </w:r>
      <w:r>
        <w:rPr>
          <w:rFonts w:ascii="Verdana" w:hAnsi="Verdana"/>
          <w:b/>
          <w:bCs/>
          <w:sz w:val="16"/>
          <w:szCs w:val="16"/>
        </w:rPr>
        <w:t>130,1 mln zł,</w:t>
      </w:r>
      <w:r>
        <w:rPr>
          <w:rFonts w:ascii="Verdana" w:hAnsi="Verdana"/>
          <w:sz w:val="16"/>
          <w:szCs w:val="16"/>
        </w:rPr>
        <w:t xml:space="preserve"> środki od inwestorów na budowę dróg publicznych </w:t>
      </w:r>
      <w:r>
        <w:rPr>
          <w:rFonts w:ascii="Verdana" w:hAnsi="Verdana"/>
          <w:b/>
          <w:bCs/>
          <w:sz w:val="16"/>
          <w:szCs w:val="16"/>
        </w:rPr>
        <w:t>41 mln zł</w:t>
      </w:r>
      <w:r>
        <w:rPr>
          <w:rFonts w:ascii="Verdana" w:hAnsi="Verdana"/>
          <w:sz w:val="16"/>
          <w:szCs w:val="16"/>
        </w:rPr>
        <w:t xml:space="preserve">, dotacje z Samorządu Województwa Mazowieckiego na inwestycje </w:t>
      </w:r>
      <w:r>
        <w:rPr>
          <w:rFonts w:ascii="Verdana" w:hAnsi="Verdana"/>
          <w:b/>
          <w:bCs/>
          <w:sz w:val="16"/>
          <w:szCs w:val="16"/>
        </w:rPr>
        <w:t>27,3 mln zł,</w:t>
      </w:r>
      <w:r>
        <w:rPr>
          <w:rFonts w:ascii="Verdana" w:hAnsi="Verdana"/>
          <w:sz w:val="16"/>
          <w:szCs w:val="16"/>
        </w:rPr>
        <w:t xml:space="preserve"> w tym: środki unijne</w:t>
      </w:r>
      <w:r>
        <w:rPr>
          <w:rFonts w:ascii="Verdana" w:hAnsi="Verdana"/>
          <w:b/>
          <w:bCs/>
          <w:sz w:val="16"/>
          <w:szCs w:val="16"/>
        </w:rPr>
        <w:t xml:space="preserve"> 26,2 mln zł</w:t>
      </w:r>
      <w:r>
        <w:rPr>
          <w:rFonts w:ascii="Verdana" w:hAnsi="Verdana"/>
          <w:sz w:val="16"/>
          <w:szCs w:val="16"/>
        </w:rPr>
        <w:t xml:space="preserve">, dotacje z Narodowego Funduszu Ochrony Środowiska </w:t>
      </w:r>
      <w:r>
        <w:rPr>
          <w:rFonts w:ascii="Verdana" w:hAnsi="Verdana"/>
          <w:b/>
          <w:bCs/>
          <w:sz w:val="16"/>
          <w:szCs w:val="16"/>
        </w:rPr>
        <w:t>13,2 mln zł</w:t>
      </w:r>
      <w:r>
        <w:rPr>
          <w:rFonts w:ascii="Verdana" w:hAnsi="Verdana"/>
          <w:sz w:val="16"/>
          <w:szCs w:val="16"/>
        </w:rPr>
        <w:t xml:space="preserve"> i z budżetu państwa </w:t>
      </w:r>
      <w:r>
        <w:rPr>
          <w:rFonts w:ascii="Verdana" w:hAnsi="Verdana"/>
          <w:b/>
          <w:bCs/>
          <w:sz w:val="16"/>
          <w:szCs w:val="16"/>
        </w:rPr>
        <w:t>12,2 mln zł</w:t>
      </w:r>
      <w:r>
        <w:rPr>
          <w:rFonts w:ascii="Verdana" w:hAnsi="Verdana"/>
          <w:sz w:val="16"/>
          <w:szCs w:val="16"/>
        </w:rPr>
        <w:t xml:space="preserve">, </w:t>
      </w:r>
    </w:p>
    <w:p w:rsidR="00CA374E" w:rsidRDefault="00CA374E" w:rsidP="00CA374E">
      <w:pPr>
        <w:pStyle w:val="Akapitzlist"/>
        <w:numPr>
          <w:ilvl w:val="0"/>
          <w:numId w:val="56"/>
        </w:numPr>
        <w:ind w:left="567" w:hanging="283"/>
        <w:jc w:val="both"/>
        <w:rPr>
          <w:rFonts w:ascii="Verdana" w:hAnsi="Verdana"/>
          <w:sz w:val="16"/>
          <w:szCs w:val="16"/>
        </w:rPr>
      </w:pPr>
      <w:r>
        <w:rPr>
          <w:rFonts w:ascii="Verdana" w:hAnsi="Verdana"/>
          <w:sz w:val="16"/>
          <w:szCs w:val="16"/>
        </w:rPr>
        <w:t xml:space="preserve">2026 r.:  </w:t>
      </w:r>
      <w:r>
        <w:rPr>
          <w:rFonts w:ascii="Verdana" w:hAnsi="Verdana"/>
          <w:b/>
          <w:bCs/>
          <w:sz w:val="16"/>
          <w:szCs w:val="16"/>
        </w:rPr>
        <w:t>113,1 mln zł</w:t>
      </w:r>
      <w:r>
        <w:rPr>
          <w:rFonts w:ascii="Verdana" w:hAnsi="Verdana"/>
          <w:sz w:val="16"/>
          <w:szCs w:val="16"/>
        </w:rPr>
        <w:t xml:space="preserve">, w tym: środki z Programu Inwestycji Strategicznych </w:t>
      </w:r>
      <w:r>
        <w:rPr>
          <w:rFonts w:ascii="Verdana" w:hAnsi="Verdana"/>
          <w:b/>
          <w:bCs/>
          <w:sz w:val="16"/>
          <w:szCs w:val="16"/>
        </w:rPr>
        <w:t>100,6 mln zł</w:t>
      </w:r>
      <w:r>
        <w:rPr>
          <w:rFonts w:ascii="Verdana" w:hAnsi="Verdana"/>
          <w:sz w:val="16"/>
          <w:szCs w:val="16"/>
        </w:rPr>
        <w:t xml:space="preserve">, środki od inwestorów na budowę dróg publicznych </w:t>
      </w:r>
      <w:r>
        <w:rPr>
          <w:rFonts w:ascii="Verdana" w:hAnsi="Verdana"/>
          <w:b/>
          <w:bCs/>
          <w:sz w:val="16"/>
          <w:szCs w:val="16"/>
        </w:rPr>
        <w:t>8,7 mln zł</w:t>
      </w:r>
      <w:r>
        <w:rPr>
          <w:rFonts w:ascii="Verdana" w:hAnsi="Verdana"/>
          <w:sz w:val="16"/>
          <w:szCs w:val="16"/>
        </w:rPr>
        <w:t xml:space="preserve"> i dotacje z Narodowego Funduszu Ochrony Środowiska </w:t>
      </w:r>
      <w:r>
        <w:rPr>
          <w:rFonts w:ascii="Verdana" w:hAnsi="Verdana"/>
          <w:b/>
          <w:bCs/>
          <w:sz w:val="16"/>
          <w:szCs w:val="16"/>
        </w:rPr>
        <w:t>50 tys zł</w:t>
      </w:r>
      <w:r>
        <w:rPr>
          <w:rFonts w:ascii="Verdana" w:hAnsi="Verdana"/>
          <w:sz w:val="16"/>
          <w:szCs w:val="16"/>
        </w:rPr>
        <w:t>,</w:t>
      </w:r>
    </w:p>
    <w:p w:rsidR="00CA374E" w:rsidRDefault="00CA374E" w:rsidP="00CA374E">
      <w:pPr>
        <w:pStyle w:val="Akapitzlist"/>
        <w:numPr>
          <w:ilvl w:val="0"/>
          <w:numId w:val="56"/>
        </w:numPr>
        <w:ind w:left="567" w:hanging="283"/>
        <w:jc w:val="both"/>
        <w:rPr>
          <w:rFonts w:ascii="Verdana" w:hAnsi="Verdana"/>
          <w:sz w:val="16"/>
          <w:szCs w:val="16"/>
        </w:rPr>
      </w:pPr>
      <w:r>
        <w:rPr>
          <w:rFonts w:ascii="Verdana" w:hAnsi="Verdana"/>
          <w:sz w:val="16"/>
          <w:szCs w:val="16"/>
        </w:rPr>
        <w:t xml:space="preserve">2027 r.: dotacje z budżetu państwa </w:t>
      </w:r>
      <w:r>
        <w:rPr>
          <w:rFonts w:ascii="Verdana" w:hAnsi="Verdana"/>
          <w:b/>
          <w:bCs/>
          <w:sz w:val="16"/>
          <w:szCs w:val="16"/>
        </w:rPr>
        <w:t>90 mln zł</w:t>
      </w:r>
      <w:r>
        <w:rPr>
          <w:rFonts w:ascii="Verdana" w:hAnsi="Verdana"/>
          <w:sz w:val="16"/>
          <w:szCs w:val="16"/>
        </w:rPr>
        <w:t>.</w:t>
      </w:r>
    </w:p>
    <w:p w:rsidR="00CA374E" w:rsidRDefault="00CA374E" w:rsidP="00CA374E">
      <w:pPr>
        <w:spacing w:before="120" w:after="120"/>
        <w:jc w:val="both"/>
        <w:rPr>
          <w:rFonts w:ascii="Verdana" w:hAnsi="Verdana"/>
          <w:sz w:val="16"/>
          <w:szCs w:val="16"/>
        </w:rPr>
      </w:pPr>
      <w:r>
        <w:rPr>
          <w:rFonts w:ascii="Verdana" w:hAnsi="Verdana"/>
          <w:sz w:val="16"/>
          <w:szCs w:val="16"/>
        </w:rPr>
        <w:lastRenderedPageBreak/>
        <w:t xml:space="preserve">W ramach </w:t>
      </w:r>
      <w:r>
        <w:rPr>
          <w:rFonts w:ascii="Verdana" w:hAnsi="Verdana"/>
          <w:b/>
          <w:bCs/>
          <w:sz w:val="16"/>
          <w:szCs w:val="16"/>
        </w:rPr>
        <w:t>unijnej perspektywy finansowej 2014-2020</w:t>
      </w:r>
      <w:r>
        <w:rPr>
          <w:rFonts w:ascii="Verdana" w:hAnsi="Verdana"/>
          <w:sz w:val="16"/>
          <w:szCs w:val="16"/>
        </w:rPr>
        <w:t>, w latach objętych WPF 2024-2050, przewiduje się realizację dochodów z tytułu dofinansowania unijnego m.in. w związku z realizacją następujących projektów inwestycyjnych:</w:t>
      </w:r>
    </w:p>
    <w:p w:rsidR="00CA374E" w:rsidRDefault="00CA374E" w:rsidP="00CA374E">
      <w:pPr>
        <w:pStyle w:val="Akapitzlist"/>
        <w:numPr>
          <w:ilvl w:val="0"/>
          <w:numId w:val="27"/>
        </w:numPr>
        <w:spacing w:before="120" w:after="120"/>
        <w:ind w:left="709"/>
        <w:jc w:val="both"/>
        <w:rPr>
          <w:rFonts w:ascii="Verdana" w:hAnsi="Verdana"/>
          <w:sz w:val="16"/>
          <w:szCs w:val="16"/>
        </w:rPr>
      </w:pPr>
      <w:r>
        <w:rPr>
          <w:rFonts w:ascii="Verdana" w:hAnsi="Verdana"/>
          <w:sz w:val="16"/>
          <w:szCs w:val="16"/>
        </w:rPr>
        <w:t xml:space="preserve">Budowa II linii metra wraz zakupem taboru - etap III – łączne dofinansowanie w 2024 r. na kwotę </w:t>
      </w:r>
      <w:r>
        <w:rPr>
          <w:rFonts w:ascii="Verdana" w:hAnsi="Verdana"/>
          <w:sz w:val="16"/>
          <w:szCs w:val="16"/>
        </w:rPr>
        <w:br/>
      </w:r>
      <w:r>
        <w:rPr>
          <w:rFonts w:ascii="Verdana" w:hAnsi="Verdana"/>
          <w:b/>
          <w:bCs/>
          <w:sz w:val="16"/>
          <w:szCs w:val="16"/>
        </w:rPr>
        <w:t>310,5 mln zł</w:t>
      </w:r>
      <w:r>
        <w:rPr>
          <w:rFonts w:ascii="Verdana" w:hAnsi="Verdana"/>
          <w:sz w:val="16"/>
          <w:szCs w:val="16"/>
        </w:rPr>
        <w:t>,</w:t>
      </w:r>
    </w:p>
    <w:p w:rsidR="00CA374E" w:rsidRDefault="00CA374E" w:rsidP="00CA374E">
      <w:pPr>
        <w:pStyle w:val="Akapitzlist"/>
        <w:numPr>
          <w:ilvl w:val="0"/>
          <w:numId w:val="27"/>
        </w:numPr>
        <w:spacing w:before="120" w:after="120"/>
        <w:jc w:val="both"/>
        <w:rPr>
          <w:rFonts w:ascii="Verdana" w:hAnsi="Verdana"/>
          <w:sz w:val="16"/>
          <w:szCs w:val="16"/>
        </w:rPr>
      </w:pPr>
      <w:r>
        <w:rPr>
          <w:rFonts w:ascii="Verdana" w:hAnsi="Verdana"/>
          <w:sz w:val="16"/>
          <w:szCs w:val="16"/>
        </w:rPr>
        <w:t xml:space="preserve">Budowa II linii metra, wraz z infrastrukturą towarzyszącą i zakupem taboru - etap II - odcinek 3+3 – łączne dofinansowanie w 2024 r. na kwotę </w:t>
      </w:r>
      <w:r>
        <w:rPr>
          <w:rFonts w:ascii="Verdana" w:hAnsi="Verdana"/>
          <w:b/>
          <w:bCs/>
          <w:sz w:val="16"/>
          <w:szCs w:val="16"/>
        </w:rPr>
        <w:t>34,4 mln zł</w:t>
      </w:r>
      <w:r>
        <w:rPr>
          <w:rFonts w:ascii="Verdana" w:hAnsi="Verdana"/>
          <w:sz w:val="16"/>
          <w:szCs w:val="16"/>
        </w:rPr>
        <w:t>,</w:t>
      </w:r>
    </w:p>
    <w:p w:rsidR="00CA374E" w:rsidRDefault="00CA374E" w:rsidP="00CA374E">
      <w:pPr>
        <w:pStyle w:val="Akapitzlist"/>
        <w:numPr>
          <w:ilvl w:val="0"/>
          <w:numId w:val="27"/>
        </w:numPr>
        <w:spacing w:before="120" w:after="120"/>
        <w:jc w:val="both"/>
        <w:rPr>
          <w:rFonts w:ascii="Verdana" w:hAnsi="Verdana"/>
          <w:sz w:val="16"/>
          <w:szCs w:val="16"/>
        </w:rPr>
      </w:pPr>
      <w:r>
        <w:rPr>
          <w:rFonts w:ascii="Verdana" w:hAnsi="Verdana"/>
          <w:sz w:val="16"/>
          <w:szCs w:val="16"/>
        </w:rPr>
        <w:t xml:space="preserve">Poprawa dostępności infrastruktury sieci TEN-T w ramach węzłów drogowych dróg ekspresowych </w:t>
      </w:r>
      <w:r>
        <w:rPr>
          <w:rFonts w:ascii="Verdana" w:hAnsi="Verdana"/>
          <w:sz w:val="16"/>
          <w:szCs w:val="16"/>
        </w:rPr>
        <w:br/>
        <w:t xml:space="preserve">S8 i S2 w warszawskim węźle sieci bazowej TEN-T - budowa odcinków ul. Gandhi i Lazurowej – łączne dofinansowanie w 2024 r. na kwotę </w:t>
      </w:r>
      <w:r>
        <w:rPr>
          <w:rFonts w:ascii="Verdana" w:hAnsi="Verdana"/>
          <w:b/>
          <w:bCs/>
          <w:sz w:val="16"/>
          <w:szCs w:val="16"/>
        </w:rPr>
        <w:t>20,0 mln zł</w:t>
      </w:r>
      <w:r>
        <w:rPr>
          <w:rFonts w:ascii="Verdana" w:hAnsi="Verdana"/>
          <w:sz w:val="16"/>
          <w:szCs w:val="16"/>
        </w:rPr>
        <w:t>,</w:t>
      </w:r>
    </w:p>
    <w:p w:rsidR="00CA374E" w:rsidRDefault="00CA374E" w:rsidP="00CA374E">
      <w:pPr>
        <w:pStyle w:val="Akapitzlist"/>
        <w:numPr>
          <w:ilvl w:val="0"/>
          <w:numId w:val="27"/>
        </w:numPr>
        <w:spacing w:before="120" w:after="120"/>
        <w:jc w:val="both"/>
        <w:rPr>
          <w:rFonts w:ascii="Verdana" w:hAnsi="Verdana"/>
          <w:sz w:val="16"/>
          <w:szCs w:val="16"/>
        </w:rPr>
      </w:pPr>
      <w:r>
        <w:rPr>
          <w:rFonts w:ascii="Verdana" w:hAnsi="Verdana"/>
          <w:sz w:val="16"/>
          <w:szCs w:val="16"/>
        </w:rPr>
        <w:t xml:space="preserve">Termomodernizacja 6 wybranych budynków oświatowych na terenie m.st. Warszawy - zakres 2 – łączne dofinansowanie w latach 2024-2025 na kwotę </w:t>
      </w:r>
      <w:r>
        <w:rPr>
          <w:rFonts w:ascii="Verdana" w:hAnsi="Verdana"/>
          <w:b/>
          <w:bCs/>
          <w:sz w:val="16"/>
          <w:szCs w:val="16"/>
        </w:rPr>
        <w:t>17,3 mln zł</w:t>
      </w:r>
      <w:r>
        <w:rPr>
          <w:rFonts w:ascii="Verdana" w:hAnsi="Verdana"/>
          <w:sz w:val="16"/>
          <w:szCs w:val="16"/>
        </w:rPr>
        <w:t>,</w:t>
      </w:r>
    </w:p>
    <w:p w:rsidR="00CA374E" w:rsidRDefault="00CA374E" w:rsidP="00CA374E">
      <w:pPr>
        <w:pStyle w:val="Akapitzlist"/>
        <w:numPr>
          <w:ilvl w:val="0"/>
          <w:numId w:val="27"/>
        </w:numPr>
        <w:spacing w:before="120" w:after="120"/>
        <w:jc w:val="both"/>
        <w:rPr>
          <w:rFonts w:ascii="Verdana" w:hAnsi="Verdana"/>
          <w:sz w:val="16"/>
          <w:szCs w:val="16"/>
        </w:rPr>
      </w:pPr>
      <w:r>
        <w:rPr>
          <w:rFonts w:ascii="Verdana" w:hAnsi="Verdana"/>
          <w:sz w:val="16"/>
          <w:szCs w:val="16"/>
        </w:rPr>
        <w:t xml:space="preserve">Poprawa efektywności energetycznej wybranych budynków szkolnych na terenie m.st. Warszawy - zakres 1 – łączne dofinansowanie w latach 2024-2025 na kwotę </w:t>
      </w:r>
      <w:r>
        <w:rPr>
          <w:rFonts w:ascii="Verdana" w:hAnsi="Verdana"/>
          <w:b/>
          <w:bCs/>
          <w:sz w:val="16"/>
          <w:szCs w:val="16"/>
        </w:rPr>
        <w:t>13,1 mln zł</w:t>
      </w:r>
      <w:r>
        <w:rPr>
          <w:rFonts w:ascii="Verdana" w:hAnsi="Verdana"/>
          <w:sz w:val="16"/>
          <w:szCs w:val="16"/>
        </w:rPr>
        <w:t>,</w:t>
      </w:r>
    </w:p>
    <w:p w:rsidR="00CA374E" w:rsidRDefault="00CA374E" w:rsidP="00CA374E">
      <w:pPr>
        <w:pStyle w:val="Akapitzlist"/>
        <w:numPr>
          <w:ilvl w:val="0"/>
          <w:numId w:val="27"/>
        </w:numPr>
        <w:spacing w:before="120" w:after="120"/>
        <w:jc w:val="both"/>
        <w:rPr>
          <w:rFonts w:ascii="Verdana" w:hAnsi="Verdana"/>
          <w:sz w:val="16"/>
          <w:szCs w:val="16"/>
        </w:rPr>
      </w:pPr>
      <w:r>
        <w:rPr>
          <w:rFonts w:ascii="Verdana" w:hAnsi="Verdana"/>
          <w:sz w:val="16"/>
          <w:szCs w:val="16"/>
        </w:rPr>
        <w:t xml:space="preserve">Analiza możliwości rozwoju zintegrowanego transportu w Warszawie w oparciu o metro i multimodalne węzły przesiadkowe – łączne dofinansowanie w latach 2024-2025 na kwotę </w:t>
      </w:r>
      <w:r>
        <w:rPr>
          <w:rFonts w:ascii="Verdana" w:hAnsi="Verdana"/>
          <w:b/>
          <w:bCs/>
          <w:sz w:val="16"/>
          <w:szCs w:val="16"/>
        </w:rPr>
        <w:t>6,1 mln zł.</w:t>
      </w:r>
    </w:p>
    <w:p w:rsidR="00CA374E" w:rsidRDefault="00CA374E" w:rsidP="00CA374E">
      <w:pPr>
        <w:spacing w:before="60" w:after="60"/>
        <w:jc w:val="both"/>
        <w:rPr>
          <w:rFonts w:ascii="Verdana" w:hAnsi="Verdana"/>
          <w:sz w:val="16"/>
          <w:szCs w:val="16"/>
        </w:rPr>
      </w:pPr>
      <w:r>
        <w:rPr>
          <w:rFonts w:ascii="Verdana" w:hAnsi="Verdana"/>
          <w:sz w:val="16"/>
          <w:szCs w:val="16"/>
        </w:rPr>
        <w:t>Uchwałą Nr 84/2021 Rady Ministrów z dnia 1 lipca 2021 r. ustanowiono Rządowy Funduszu Polski Ład: Program Inwestycji Strategicznych. Program realizowany jest ze środków Funduszu Przeciwdziałania COVID-19 z przeznaczeniem na dofinansowanie realizacji lokalnych inwestycji. Uruchomiono dwie edycje programu, w ramach których, każdy samorząd mógł złożyć maksymalnie 3 wnioski o dofinansowanie.</w:t>
      </w:r>
    </w:p>
    <w:p w:rsidR="00CA374E" w:rsidRDefault="00CA374E" w:rsidP="00CA374E">
      <w:pPr>
        <w:spacing w:before="60" w:after="60"/>
        <w:jc w:val="both"/>
        <w:rPr>
          <w:rFonts w:ascii="Verdana" w:hAnsi="Verdana"/>
          <w:sz w:val="16"/>
          <w:szCs w:val="16"/>
        </w:rPr>
      </w:pPr>
      <w:r>
        <w:rPr>
          <w:rFonts w:ascii="Verdana" w:hAnsi="Verdana"/>
          <w:sz w:val="16"/>
          <w:szCs w:val="16"/>
        </w:rPr>
        <w:t>W WPF zostały ujęte poniższe wnioski zgłoszone przez m.st. Warszawę w pierwszych dwóch edycjach programu:</w:t>
      </w:r>
    </w:p>
    <w:p w:rsidR="00CA374E" w:rsidRDefault="00CA374E" w:rsidP="00CA374E">
      <w:pPr>
        <w:spacing w:before="60" w:after="60"/>
        <w:jc w:val="both"/>
        <w:rPr>
          <w:rFonts w:ascii="Verdana" w:hAnsi="Verdana"/>
          <w:sz w:val="16"/>
          <w:szCs w:val="16"/>
          <w:u w:val="single"/>
        </w:rPr>
      </w:pPr>
      <w:r>
        <w:rPr>
          <w:rFonts w:ascii="Verdana" w:hAnsi="Verdana"/>
          <w:sz w:val="16"/>
          <w:szCs w:val="16"/>
          <w:u w:val="single"/>
        </w:rPr>
        <w:t>Edycja 1</w:t>
      </w:r>
    </w:p>
    <w:p w:rsidR="00CA374E" w:rsidRDefault="00CA374E" w:rsidP="00CA374E">
      <w:pPr>
        <w:pStyle w:val="Akapitzlist"/>
        <w:numPr>
          <w:ilvl w:val="0"/>
          <w:numId w:val="27"/>
        </w:numPr>
        <w:spacing w:before="60" w:after="60"/>
        <w:ind w:left="567" w:hanging="283"/>
        <w:jc w:val="both"/>
        <w:rPr>
          <w:rFonts w:ascii="Verdana" w:hAnsi="Verdana"/>
          <w:sz w:val="16"/>
          <w:szCs w:val="16"/>
        </w:rPr>
      </w:pPr>
      <w:r>
        <w:rPr>
          <w:rFonts w:ascii="Verdana" w:hAnsi="Verdana"/>
          <w:sz w:val="16"/>
          <w:szCs w:val="16"/>
        </w:rPr>
        <w:t xml:space="preserve">Modernizacja wiaduktów drogowych nad ul. Paryską w Warszawie: </w:t>
      </w:r>
      <w:r>
        <w:rPr>
          <w:rFonts w:ascii="Verdana" w:hAnsi="Verdana"/>
          <w:b/>
          <w:bCs/>
          <w:sz w:val="16"/>
          <w:szCs w:val="16"/>
        </w:rPr>
        <w:t>101,2 mln zł</w:t>
      </w:r>
      <w:r>
        <w:rPr>
          <w:rFonts w:ascii="Verdana" w:hAnsi="Verdana"/>
          <w:sz w:val="16"/>
          <w:szCs w:val="16"/>
        </w:rPr>
        <w:t xml:space="preserve"> (wartość inwestycji </w:t>
      </w:r>
      <w:r>
        <w:rPr>
          <w:rFonts w:ascii="Verdana" w:hAnsi="Verdana"/>
          <w:sz w:val="16"/>
          <w:szCs w:val="16"/>
        </w:rPr>
        <w:br/>
        <w:t>101,2 mln zł w latach 2025-2026),</w:t>
      </w:r>
    </w:p>
    <w:p w:rsidR="00CA374E" w:rsidRDefault="00CA374E" w:rsidP="00CA374E">
      <w:pPr>
        <w:pStyle w:val="Akapitzlist"/>
        <w:numPr>
          <w:ilvl w:val="0"/>
          <w:numId w:val="27"/>
        </w:numPr>
        <w:spacing w:before="60" w:after="60"/>
        <w:ind w:left="567" w:hanging="283"/>
        <w:jc w:val="both"/>
        <w:rPr>
          <w:rFonts w:ascii="Verdana" w:hAnsi="Verdana"/>
          <w:sz w:val="16"/>
          <w:szCs w:val="16"/>
        </w:rPr>
      </w:pPr>
      <w:r>
        <w:rPr>
          <w:rFonts w:ascii="Verdana" w:hAnsi="Verdana"/>
          <w:sz w:val="16"/>
          <w:szCs w:val="16"/>
        </w:rPr>
        <w:t xml:space="preserve">Budowa i wyposażenie 9 - oddziałowego   przedszkola  będącego  częścią zespołu szkolno - przedszkolnego  przy ul. Gilarskiej w W-wie wraz z zagospodarowaniem terenu: </w:t>
      </w:r>
      <w:r>
        <w:rPr>
          <w:rFonts w:ascii="Verdana" w:hAnsi="Verdana"/>
          <w:b/>
          <w:bCs/>
          <w:sz w:val="16"/>
          <w:szCs w:val="16"/>
        </w:rPr>
        <w:t>14,3 mln zł</w:t>
      </w:r>
      <w:r>
        <w:rPr>
          <w:rFonts w:ascii="Verdana" w:hAnsi="Verdana"/>
          <w:sz w:val="16"/>
          <w:szCs w:val="16"/>
        </w:rPr>
        <w:t xml:space="preserve"> (wartość inwestycji 14,3 mln zł w latach 2024-2025),</w:t>
      </w:r>
    </w:p>
    <w:p w:rsidR="00CA374E" w:rsidRDefault="00CA374E" w:rsidP="00CA374E">
      <w:pPr>
        <w:pStyle w:val="Akapitzlist"/>
        <w:numPr>
          <w:ilvl w:val="0"/>
          <w:numId w:val="27"/>
        </w:numPr>
        <w:spacing w:before="60" w:after="60"/>
        <w:ind w:left="567" w:hanging="283"/>
        <w:jc w:val="both"/>
        <w:rPr>
          <w:rFonts w:ascii="Verdana" w:hAnsi="Verdana"/>
          <w:sz w:val="16"/>
          <w:szCs w:val="16"/>
        </w:rPr>
      </w:pPr>
      <w:r>
        <w:rPr>
          <w:rFonts w:ascii="Verdana" w:hAnsi="Verdana"/>
          <w:sz w:val="16"/>
          <w:szCs w:val="16"/>
        </w:rPr>
        <w:t xml:space="preserve">Poprawa układu drogowego w Dzielnicy Białołęka - rozbudowa drogi powiatowej Kąty Grodziskie na odc. ul. Zdziarska – ul. Berensona: </w:t>
      </w:r>
      <w:r>
        <w:rPr>
          <w:rFonts w:ascii="Verdana" w:hAnsi="Verdana"/>
          <w:b/>
          <w:bCs/>
          <w:sz w:val="16"/>
          <w:szCs w:val="16"/>
        </w:rPr>
        <w:t>5 mln zł</w:t>
      </w:r>
      <w:r>
        <w:rPr>
          <w:rFonts w:ascii="Verdana" w:hAnsi="Verdana"/>
          <w:sz w:val="16"/>
          <w:szCs w:val="16"/>
        </w:rPr>
        <w:t xml:space="preserve"> (2024 r.),</w:t>
      </w:r>
    </w:p>
    <w:p w:rsidR="00CA374E" w:rsidRDefault="00CA374E" w:rsidP="00CA374E">
      <w:pPr>
        <w:spacing w:before="60" w:after="60"/>
        <w:jc w:val="both"/>
        <w:rPr>
          <w:rFonts w:ascii="Verdana" w:hAnsi="Verdana"/>
          <w:sz w:val="16"/>
          <w:szCs w:val="16"/>
          <w:u w:val="single"/>
        </w:rPr>
      </w:pPr>
      <w:r>
        <w:rPr>
          <w:rFonts w:ascii="Verdana" w:hAnsi="Verdana"/>
          <w:sz w:val="16"/>
          <w:szCs w:val="16"/>
          <w:u w:val="single"/>
        </w:rPr>
        <w:t>Edycja 2:</w:t>
      </w:r>
    </w:p>
    <w:p w:rsidR="00CA374E" w:rsidRDefault="00CA374E" w:rsidP="00CA374E">
      <w:pPr>
        <w:pStyle w:val="Akapitzlist"/>
        <w:numPr>
          <w:ilvl w:val="0"/>
          <w:numId w:val="27"/>
        </w:numPr>
        <w:spacing w:before="60" w:after="60"/>
        <w:ind w:left="567" w:hanging="283"/>
        <w:jc w:val="both"/>
        <w:rPr>
          <w:rFonts w:ascii="Verdana" w:hAnsi="Verdana"/>
          <w:sz w:val="16"/>
          <w:szCs w:val="16"/>
        </w:rPr>
      </w:pPr>
      <w:r>
        <w:rPr>
          <w:rFonts w:ascii="Verdana" w:hAnsi="Verdana"/>
          <w:sz w:val="16"/>
          <w:szCs w:val="16"/>
        </w:rPr>
        <w:t xml:space="preserve">Budowa kompleksu oświatowego przy ul. Świderskiej w Warszawie: </w:t>
      </w:r>
      <w:r>
        <w:rPr>
          <w:rFonts w:ascii="Verdana" w:hAnsi="Verdana"/>
          <w:b/>
          <w:bCs/>
          <w:sz w:val="16"/>
          <w:szCs w:val="16"/>
        </w:rPr>
        <w:t>65 mln zł</w:t>
      </w:r>
      <w:r>
        <w:rPr>
          <w:rFonts w:ascii="Verdana" w:hAnsi="Verdana"/>
          <w:sz w:val="16"/>
          <w:szCs w:val="16"/>
        </w:rPr>
        <w:t xml:space="preserve"> (wartość inwestycji </w:t>
      </w:r>
      <w:r>
        <w:rPr>
          <w:rFonts w:ascii="Verdana" w:hAnsi="Verdana"/>
          <w:sz w:val="16"/>
          <w:szCs w:val="16"/>
        </w:rPr>
        <w:br/>
        <w:t>65 mln zł w latach 2025-2026),</w:t>
      </w:r>
    </w:p>
    <w:p w:rsidR="00CA374E" w:rsidRDefault="00CA374E" w:rsidP="00CA374E">
      <w:pPr>
        <w:pStyle w:val="Akapitzlist"/>
        <w:numPr>
          <w:ilvl w:val="0"/>
          <w:numId w:val="27"/>
        </w:numPr>
        <w:rPr>
          <w:rFonts w:ascii="Calibri" w:hAnsi="Calibri" w:cs="Calibri"/>
          <w:sz w:val="22"/>
          <w:szCs w:val="22"/>
        </w:rPr>
      </w:pPr>
      <w:r>
        <w:rPr>
          <w:rFonts w:ascii="Verdana" w:hAnsi="Verdana"/>
          <w:sz w:val="16"/>
          <w:szCs w:val="16"/>
        </w:rPr>
        <w:t xml:space="preserve">Rozbudowa i modernizacja budynków SOSW dla Dzieci Słabowidzących nr 8 w Warszawie wraz z zagospodarowaniem terenu: </w:t>
      </w:r>
      <w:r>
        <w:rPr>
          <w:rFonts w:ascii="Verdana" w:hAnsi="Verdana"/>
          <w:b/>
          <w:bCs/>
          <w:sz w:val="16"/>
          <w:szCs w:val="16"/>
        </w:rPr>
        <w:t xml:space="preserve">30 mln zł </w:t>
      </w:r>
      <w:r>
        <w:rPr>
          <w:rFonts w:ascii="Verdana" w:hAnsi="Verdana"/>
          <w:sz w:val="16"/>
          <w:szCs w:val="16"/>
        </w:rPr>
        <w:t>(wartość inwestycji 30 mln zł w latach 2025-2026).</w:t>
      </w:r>
    </w:p>
    <w:p w:rsidR="00CA374E" w:rsidRDefault="00CA374E" w:rsidP="00CA374E">
      <w:pPr>
        <w:spacing w:before="60" w:after="60"/>
        <w:jc w:val="both"/>
        <w:rPr>
          <w:rFonts w:ascii="Verdana" w:hAnsi="Verdana" w:cs="Arial"/>
          <w:sz w:val="16"/>
          <w:szCs w:val="16"/>
          <w:u w:val="single"/>
        </w:rPr>
      </w:pPr>
      <w:r>
        <w:rPr>
          <w:rFonts w:ascii="Verdana" w:hAnsi="Verdana"/>
          <w:sz w:val="16"/>
          <w:szCs w:val="16"/>
          <w:u w:val="single"/>
        </w:rPr>
        <w:t>Edycja 8:</w:t>
      </w:r>
    </w:p>
    <w:p w:rsidR="00CA374E" w:rsidRDefault="00CA374E" w:rsidP="00CA374E">
      <w:pPr>
        <w:pStyle w:val="Akapitzlist"/>
        <w:numPr>
          <w:ilvl w:val="0"/>
          <w:numId w:val="27"/>
        </w:numPr>
        <w:spacing w:before="60" w:after="60"/>
        <w:jc w:val="both"/>
        <w:rPr>
          <w:rFonts w:ascii="Verdana" w:hAnsi="Verdana"/>
          <w:sz w:val="16"/>
          <w:szCs w:val="16"/>
        </w:rPr>
      </w:pPr>
      <w:r>
        <w:rPr>
          <w:rFonts w:ascii="Verdana" w:hAnsi="Verdana"/>
          <w:sz w:val="16"/>
          <w:szCs w:val="16"/>
        </w:rPr>
        <w:t xml:space="preserve">Budowa ronda na skrzyżowaniu ul. Augustówka z ul. Zawodzie w m.st. Warszawie: </w:t>
      </w:r>
      <w:r>
        <w:rPr>
          <w:rFonts w:ascii="Verdana" w:hAnsi="Verdana"/>
          <w:b/>
          <w:bCs/>
          <w:sz w:val="16"/>
          <w:szCs w:val="16"/>
        </w:rPr>
        <w:t>10,5 mln zł</w:t>
      </w:r>
      <w:r>
        <w:rPr>
          <w:rFonts w:ascii="Verdana" w:hAnsi="Verdana"/>
          <w:sz w:val="16"/>
          <w:szCs w:val="16"/>
        </w:rPr>
        <w:t xml:space="preserve"> </w:t>
      </w:r>
      <w:r>
        <w:rPr>
          <w:rFonts w:ascii="Verdana" w:hAnsi="Verdana"/>
          <w:sz w:val="16"/>
          <w:szCs w:val="16"/>
        </w:rPr>
        <w:br/>
        <w:t>(2025 r.),</w:t>
      </w:r>
    </w:p>
    <w:p w:rsidR="00CA374E" w:rsidRPr="00711B0A" w:rsidRDefault="00CA374E" w:rsidP="00CA374E">
      <w:pPr>
        <w:pStyle w:val="Akapitzlist"/>
        <w:numPr>
          <w:ilvl w:val="0"/>
          <w:numId w:val="27"/>
        </w:numPr>
        <w:rPr>
          <w:rFonts w:ascii="Calibri" w:hAnsi="Calibri" w:cs="Calibri"/>
          <w:sz w:val="22"/>
          <w:szCs w:val="22"/>
        </w:rPr>
      </w:pPr>
      <w:r>
        <w:rPr>
          <w:rFonts w:ascii="Verdana" w:hAnsi="Verdana"/>
          <w:sz w:val="16"/>
          <w:szCs w:val="16"/>
        </w:rPr>
        <w:t xml:space="preserve">Budowa ronda ul. Krasińskiego z ul. Przasnyską: </w:t>
      </w:r>
      <w:r>
        <w:rPr>
          <w:rFonts w:ascii="Verdana" w:hAnsi="Verdana"/>
          <w:b/>
          <w:bCs/>
          <w:sz w:val="16"/>
          <w:szCs w:val="16"/>
        </w:rPr>
        <w:t xml:space="preserve">8 mln zł </w:t>
      </w:r>
      <w:r>
        <w:rPr>
          <w:rFonts w:ascii="Verdana" w:hAnsi="Verdana"/>
          <w:sz w:val="16"/>
          <w:szCs w:val="16"/>
        </w:rPr>
        <w:t>(2025 r.),</w:t>
      </w:r>
    </w:p>
    <w:p w:rsidR="00CA374E" w:rsidRPr="00711B0A" w:rsidRDefault="00CA374E" w:rsidP="00CA374E">
      <w:pPr>
        <w:pStyle w:val="Akapitzlist"/>
        <w:numPr>
          <w:ilvl w:val="0"/>
          <w:numId w:val="27"/>
        </w:numPr>
        <w:spacing w:before="120" w:after="120"/>
        <w:jc w:val="both"/>
        <w:rPr>
          <w:rFonts w:ascii="Calibri" w:hAnsi="Calibri" w:cs="Calibri"/>
          <w:sz w:val="22"/>
          <w:szCs w:val="22"/>
        </w:rPr>
      </w:pPr>
      <w:r w:rsidRPr="00711B0A">
        <w:rPr>
          <w:rFonts w:ascii="Verdana" w:hAnsi="Verdana"/>
          <w:sz w:val="16"/>
          <w:szCs w:val="16"/>
        </w:rPr>
        <w:t xml:space="preserve">Rewitalizacja skweru Gwary Warszawskiej: </w:t>
      </w:r>
      <w:r w:rsidRPr="00711B0A">
        <w:rPr>
          <w:rFonts w:ascii="Verdana" w:hAnsi="Verdana"/>
          <w:b/>
          <w:bCs/>
          <w:sz w:val="16"/>
          <w:szCs w:val="16"/>
        </w:rPr>
        <w:t xml:space="preserve">2 mln zł </w:t>
      </w:r>
      <w:r w:rsidRPr="00711B0A">
        <w:rPr>
          <w:rFonts w:ascii="Verdana" w:hAnsi="Verdana"/>
          <w:sz w:val="16"/>
          <w:szCs w:val="16"/>
        </w:rPr>
        <w:t>(2025 r.).</w:t>
      </w:r>
    </w:p>
    <w:p w:rsidR="00CA374E" w:rsidRDefault="00CA374E" w:rsidP="00CA374E">
      <w:pPr>
        <w:spacing w:before="120" w:after="120"/>
        <w:ind w:firstLine="539"/>
        <w:jc w:val="both"/>
        <w:rPr>
          <w:rFonts w:ascii="Verdana" w:hAnsi="Verdana"/>
          <w:b/>
          <w:bCs/>
          <w:sz w:val="20"/>
          <w:szCs w:val="20"/>
        </w:rPr>
      </w:pPr>
      <w:r>
        <w:rPr>
          <w:rFonts w:ascii="Verdana" w:hAnsi="Verdana"/>
          <w:b/>
          <w:bCs/>
          <w:sz w:val="20"/>
          <w:szCs w:val="20"/>
        </w:rPr>
        <w:br w:type="page"/>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lastRenderedPageBreak/>
        <w:t>7.3 Wynik zbiorczy prognozy wydatków</w:t>
      </w:r>
    </w:p>
    <w:p w:rsidR="00CA374E" w:rsidRPr="000A6485" w:rsidRDefault="00CA374E" w:rsidP="00CA374E">
      <w:pPr>
        <w:spacing w:before="240" w:after="240"/>
        <w:rPr>
          <w:rFonts w:ascii="Verdana" w:hAnsi="Verdana"/>
          <w:b/>
          <w:bCs/>
          <w:sz w:val="18"/>
          <w:szCs w:val="18"/>
        </w:rPr>
      </w:pPr>
      <w:r w:rsidRPr="000A6485">
        <w:rPr>
          <w:rFonts w:ascii="Verdana" w:hAnsi="Verdana"/>
          <w:b/>
          <w:bCs/>
          <w:sz w:val="18"/>
          <w:szCs w:val="18"/>
        </w:rPr>
        <w:t>7.3.1 Prognoza wydatków ogółem</w:t>
      </w:r>
    </w:p>
    <w:p w:rsidR="00CA374E" w:rsidRPr="000A6485" w:rsidRDefault="00CA374E" w:rsidP="00CA374E">
      <w:pPr>
        <w:spacing w:before="240" w:after="120"/>
        <w:ind w:firstLine="567"/>
        <w:jc w:val="both"/>
        <w:rPr>
          <w:rFonts w:ascii="Verdana" w:hAnsi="Verdana"/>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w:t>
      </w:r>
      <w:r>
        <w:rPr>
          <w:rFonts w:ascii="Verdana" w:hAnsi="Verdana"/>
          <w:sz w:val="16"/>
          <w:szCs w:val="16"/>
        </w:rPr>
        <w:t>nr 31 i 32</w:t>
      </w:r>
      <w:r w:rsidRPr="000A6485">
        <w:rPr>
          <w:rFonts w:ascii="Verdana" w:hAnsi="Verdana"/>
          <w:sz w:val="16"/>
          <w:szCs w:val="16"/>
        </w:rPr>
        <w:t xml:space="preserve"> </w:t>
      </w:r>
      <w:r>
        <w:rPr>
          <w:rFonts w:ascii="Verdana" w:hAnsi="Verdana"/>
          <w:sz w:val="16"/>
          <w:szCs w:val="16"/>
        </w:rPr>
        <w:t>prezentują</w:t>
      </w:r>
      <w:r w:rsidRPr="000A6485">
        <w:rPr>
          <w:rFonts w:ascii="Verdana" w:hAnsi="Verdana"/>
          <w:sz w:val="16"/>
          <w:szCs w:val="16"/>
        </w:rPr>
        <w:t xml:space="preserve"> prognozowane wydatki ogółem w poszczególnych latach objętych Prognozą.</w: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31</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 xml:space="preserve">ÓŁEM M.ST. WARSZAWY NA LATA </w:t>
      </w:r>
      <w:r w:rsidRPr="008F3935">
        <w:rPr>
          <w:rFonts w:ascii="Verdana" w:hAnsi="Verdana" w:cs="Arial"/>
          <w:b/>
          <w:bCs/>
          <w:sz w:val="14"/>
          <w:szCs w:val="14"/>
        </w:rPr>
        <w:t>2024</w:t>
      </w:r>
      <w:r w:rsidRPr="000A6485">
        <w:rPr>
          <w:rFonts w:ascii="Verdana" w:hAnsi="Verdana" w:cs="Arial"/>
          <w:b/>
          <w:bCs/>
          <w:sz w:val="14"/>
          <w:szCs w:val="14"/>
        </w:rPr>
        <w:t>-20</w:t>
      </w:r>
      <w:r>
        <w:rPr>
          <w:rFonts w:ascii="Verdana" w:hAnsi="Verdana" w:cs="Arial"/>
          <w:b/>
          <w:bCs/>
          <w:sz w:val="14"/>
          <w:szCs w:val="14"/>
        </w:rPr>
        <w:t>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2"/>
          <w:szCs w:val="22"/>
        </w:rPr>
      </w:pPr>
      <w:r>
        <w:rPr>
          <w:noProof/>
        </w:rPr>
        <w:pict>
          <v:shape id="_x0000_i1052" type="#_x0000_t75" style="width:150.9pt;height:227.7pt">
            <v:imagedata r:id="rId45" o:title=""/>
          </v:shape>
        </w:pic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32</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OG</w:t>
      </w:r>
      <w:r>
        <w:rPr>
          <w:rFonts w:ascii="Verdana" w:hAnsi="Verdana" w:cs="Arial"/>
          <w:b/>
          <w:bCs/>
          <w:sz w:val="14"/>
          <w:szCs w:val="14"/>
        </w:rPr>
        <w:t>ÓŁEM M.ST. WARSZAWY NA LATA 2029</w:t>
      </w:r>
      <w:r w:rsidRPr="000A6485">
        <w:rPr>
          <w:rFonts w:ascii="Verdana" w:hAnsi="Verdana" w:cs="Arial"/>
          <w:b/>
          <w:bCs/>
          <w:sz w:val="14"/>
          <w:szCs w:val="14"/>
        </w:rPr>
        <w:t>-20</w:t>
      </w:r>
      <w:r>
        <w:rPr>
          <w:rFonts w:ascii="Verdana" w:hAnsi="Verdana" w:cs="Arial"/>
          <w:b/>
          <w:bCs/>
          <w:sz w:val="14"/>
          <w:szCs w:val="14"/>
        </w:rPr>
        <w:t>50</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2"/>
          <w:szCs w:val="22"/>
        </w:rPr>
      </w:pPr>
      <w:r>
        <w:rPr>
          <w:noProof/>
        </w:rPr>
        <w:pict>
          <v:shape id="_x0000_i1053" type="#_x0000_t75" style="width:459pt;height:227.7pt">
            <v:imagedata r:id="rId46" o:title=""/>
          </v:shape>
        </w:pict>
      </w:r>
    </w:p>
    <w:p w:rsidR="00CA374E" w:rsidRDefault="00CA374E" w:rsidP="00CA374E">
      <w:pPr>
        <w:spacing w:before="60" w:after="60"/>
        <w:jc w:val="both"/>
        <w:rPr>
          <w:rFonts w:ascii="Verdana" w:hAnsi="Verdana"/>
          <w:sz w:val="16"/>
          <w:szCs w:val="16"/>
        </w:rPr>
      </w:pPr>
    </w:p>
    <w:p w:rsidR="00CA374E"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Założony poziom wydatków zdeterminowany jest prognozowaną wielkością dochodów oraz zakresem realizowanych zadań, w tym kształtem programu inwestycyjnego, </w:t>
      </w:r>
      <w:r>
        <w:rPr>
          <w:rFonts w:ascii="Verdana" w:hAnsi="Verdana"/>
          <w:sz w:val="16"/>
          <w:szCs w:val="16"/>
        </w:rPr>
        <w:t>przy maksymalnym możliwym wsparciu środkami dłużnymi do poziomu nieprzekraczającego 55% długu w relacji do dochodów ogółem z zachowaniem bufora bezpieczeństwa w związku z u</w:t>
      </w:r>
      <w:r>
        <w:rPr>
          <w:rFonts w:ascii="Verdana" w:hAnsi="Verdana" w:cs="Verdana"/>
          <w:sz w:val="16"/>
          <w:szCs w:val="16"/>
          <w:lang w:eastAsia="ko-KR"/>
        </w:rPr>
        <w:t>trzymującymi się czynnikami ryzyka w zakresie niestabilności otoczenia makroekonomicznego, a w szczególności dynamiki procesów inflacyjnych</w:t>
      </w:r>
      <w:r>
        <w:rPr>
          <w:rFonts w:ascii="Verdana" w:hAnsi="Verdana"/>
          <w:sz w:val="16"/>
          <w:szCs w:val="16"/>
        </w:rPr>
        <w:t xml:space="preserve">. </w:t>
      </w:r>
      <w:r w:rsidRPr="000A6485">
        <w:rPr>
          <w:rFonts w:ascii="Verdana" w:hAnsi="Verdana"/>
          <w:sz w:val="16"/>
          <w:szCs w:val="16"/>
        </w:rPr>
        <w:t xml:space="preserve">Przyjęty pułap wydatków powiązany jest również z realizacją programu ograniczania deficytu budżetu Miasta z perspektywą generowania nadwyżek </w:t>
      </w:r>
      <w:r w:rsidRPr="000A6485">
        <w:rPr>
          <w:rFonts w:ascii="Verdana" w:hAnsi="Verdana"/>
          <w:sz w:val="16"/>
          <w:szCs w:val="16"/>
        </w:rPr>
        <w:lastRenderedPageBreak/>
        <w:t>budżetowych począwszy od 202</w:t>
      </w:r>
      <w:r>
        <w:rPr>
          <w:rFonts w:ascii="Verdana" w:hAnsi="Verdana"/>
          <w:sz w:val="16"/>
          <w:szCs w:val="16"/>
        </w:rPr>
        <w:t>8</w:t>
      </w:r>
      <w:r w:rsidRPr="000A6485">
        <w:rPr>
          <w:rFonts w:ascii="Verdana" w:hAnsi="Verdana"/>
          <w:sz w:val="16"/>
          <w:szCs w:val="16"/>
        </w:rPr>
        <w:t xml:space="preserve"> r.</w:t>
      </w:r>
      <w:r>
        <w:rPr>
          <w:rFonts w:ascii="Verdana" w:hAnsi="Verdana"/>
          <w:sz w:val="16"/>
          <w:szCs w:val="16"/>
        </w:rPr>
        <w:t xml:space="preserve"> celem spłaty już zaciągniętych i planowanych do zaciągnięcia zobowiązań dłużnych.</w:t>
      </w:r>
      <w:r w:rsidRPr="000A6485">
        <w:rPr>
          <w:rFonts w:ascii="Verdana" w:hAnsi="Verdana"/>
          <w:sz w:val="16"/>
          <w:szCs w:val="16"/>
        </w:rPr>
        <w:t xml:space="preserve"> Założony poziom wydatków służyć będzie poprawie jakości życia mieszkańców Warszawy, gwarantując środki na finansow</w:t>
      </w:r>
      <w:r>
        <w:rPr>
          <w:rFonts w:ascii="Verdana" w:hAnsi="Verdana"/>
          <w:sz w:val="16"/>
          <w:szCs w:val="16"/>
        </w:rPr>
        <w:t>anie inwestycji prorozwojowych, w ramach możliwości finansowych determinowanych znaczącym ograniczeniem strony dochodowej z uwagi na wprowadzone rozwiązania legislacyjne trwale zmniejszające dochody z podatku dochodowego od osób fizycznych (PIT) i dochody z opłat za użytkowanie wieczyste nieruchomości, w warunkach utrzymujących się w niektórych obszarach negatywnych następstw pandemii koronawirusa SARS-CoV-2</w:t>
      </w:r>
      <w:r w:rsidRPr="003F230E">
        <w:rPr>
          <w:rFonts w:ascii="Verdana" w:hAnsi="Verdana"/>
          <w:sz w:val="16"/>
          <w:szCs w:val="16"/>
        </w:rPr>
        <w:t xml:space="preserve"> </w:t>
      </w:r>
      <w:r>
        <w:rPr>
          <w:rFonts w:ascii="Verdana" w:hAnsi="Verdana"/>
          <w:sz w:val="16"/>
          <w:szCs w:val="16"/>
        </w:rPr>
        <w:t xml:space="preserve">dla dochodów m.st. Warszawy oraz wyzwań wydatkowych związanych </w:t>
      </w:r>
      <w:r>
        <w:rPr>
          <w:rFonts w:ascii="Verdana" w:hAnsi="Verdana"/>
          <w:sz w:val="16"/>
          <w:szCs w:val="16"/>
        </w:rPr>
        <w:br/>
        <w:t>z pakietem pomocowym dla obywateli Ukrainy w związku z konfliktem zbrojnym toczonym na terytorium tego kraju.</w:t>
      </w:r>
    </w:p>
    <w:p w:rsidR="00CA374E"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W ramach wydatków </w:t>
      </w:r>
      <w:r>
        <w:rPr>
          <w:rFonts w:ascii="Verdana" w:hAnsi="Verdana"/>
          <w:sz w:val="16"/>
          <w:szCs w:val="16"/>
        </w:rPr>
        <w:t>założono realizację projektów współfinansowanych</w:t>
      </w:r>
      <w:r w:rsidRPr="000A6485">
        <w:rPr>
          <w:rFonts w:ascii="Verdana" w:hAnsi="Verdana"/>
          <w:sz w:val="16"/>
          <w:szCs w:val="16"/>
        </w:rPr>
        <w:t xml:space="preserve"> ze środków Unii Europejskiej</w:t>
      </w:r>
      <w:r>
        <w:rPr>
          <w:rFonts w:ascii="Verdana" w:hAnsi="Verdana"/>
          <w:sz w:val="16"/>
          <w:szCs w:val="16"/>
        </w:rPr>
        <w:t xml:space="preserve"> wyłącznie z perspektywy finansowej 2014-2020</w:t>
      </w:r>
      <w:r w:rsidRPr="000A6485">
        <w:rPr>
          <w:rFonts w:ascii="Verdana" w:hAnsi="Verdana"/>
          <w:sz w:val="16"/>
          <w:szCs w:val="16"/>
        </w:rPr>
        <w:t xml:space="preserve">. Wartość tych projektów </w:t>
      </w:r>
      <w:r>
        <w:rPr>
          <w:rFonts w:ascii="Verdana" w:hAnsi="Verdana"/>
          <w:sz w:val="16"/>
          <w:szCs w:val="16"/>
        </w:rPr>
        <w:t xml:space="preserve">ujętych </w:t>
      </w:r>
      <w:r w:rsidRPr="000A6485">
        <w:rPr>
          <w:rFonts w:ascii="Verdana" w:hAnsi="Verdana"/>
          <w:sz w:val="16"/>
          <w:szCs w:val="16"/>
        </w:rPr>
        <w:t>w ra</w:t>
      </w:r>
      <w:r>
        <w:rPr>
          <w:rFonts w:ascii="Verdana" w:hAnsi="Verdana"/>
          <w:sz w:val="16"/>
          <w:szCs w:val="16"/>
        </w:rPr>
        <w:t>mach wydatków bieżących wynosi</w:t>
      </w:r>
      <w:r w:rsidRPr="000A6485">
        <w:rPr>
          <w:rFonts w:ascii="Verdana" w:hAnsi="Verdana"/>
          <w:sz w:val="16"/>
          <w:szCs w:val="16"/>
        </w:rPr>
        <w:t xml:space="preserve"> łącznie </w:t>
      </w:r>
      <w:r>
        <w:rPr>
          <w:rFonts w:ascii="Verdana" w:hAnsi="Verdana"/>
          <w:b/>
          <w:sz w:val="16"/>
          <w:szCs w:val="16"/>
        </w:rPr>
        <w:t>27,6</w:t>
      </w:r>
      <w:r w:rsidRPr="000A6485">
        <w:rPr>
          <w:rFonts w:ascii="Verdana" w:hAnsi="Verdana"/>
          <w:b/>
          <w:sz w:val="16"/>
          <w:szCs w:val="16"/>
        </w:rPr>
        <w:t xml:space="preserve"> mln zł</w:t>
      </w:r>
      <w:r w:rsidRPr="000A6485">
        <w:rPr>
          <w:rFonts w:ascii="Verdana" w:hAnsi="Verdana"/>
          <w:sz w:val="16"/>
          <w:szCs w:val="16"/>
        </w:rPr>
        <w:t xml:space="preserve">, natomiast </w:t>
      </w:r>
      <w:r>
        <w:rPr>
          <w:rFonts w:ascii="Verdana" w:hAnsi="Verdana"/>
          <w:sz w:val="16"/>
          <w:szCs w:val="16"/>
        </w:rPr>
        <w:t>projekty inwestycyjne</w:t>
      </w:r>
      <w:r w:rsidRPr="000A6485">
        <w:rPr>
          <w:rFonts w:ascii="Verdana" w:hAnsi="Verdana"/>
          <w:sz w:val="16"/>
          <w:szCs w:val="16"/>
        </w:rPr>
        <w:t xml:space="preserve"> z udz</w:t>
      </w:r>
      <w:r>
        <w:rPr>
          <w:rFonts w:ascii="Verdana" w:hAnsi="Verdana"/>
          <w:sz w:val="16"/>
          <w:szCs w:val="16"/>
        </w:rPr>
        <w:t>iałem środków unijnych pociągną</w:t>
      </w:r>
      <w:r w:rsidRPr="000A6485">
        <w:rPr>
          <w:rFonts w:ascii="Verdana" w:hAnsi="Verdana"/>
          <w:sz w:val="16"/>
          <w:szCs w:val="16"/>
        </w:rPr>
        <w:t xml:space="preserve"> za sobą wydatki w łącznej wysokości </w:t>
      </w:r>
      <w:r>
        <w:rPr>
          <w:rFonts w:ascii="Verdana" w:hAnsi="Verdana"/>
          <w:b/>
          <w:sz w:val="16"/>
          <w:szCs w:val="16"/>
        </w:rPr>
        <w:t>97,6 mln</w:t>
      </w:r>
      <w:r w:rsidRPr="000A6485">
        <w:rPr>
          <w:rFonts w:ascii="Verdana" w:hAnsi="Verdana"/>
          <w:b/>
          <w:sz w:val="16"/>
          <w:szCs w:val="16"/>
        </w:rPr>
        <w:t xml:space="preserve"> zł</w:t>
      </w:r>
      <w:r w:rsidRPr="000A6485">
        <w:rPr>
          <w:rFonts w:ascii="Verdana" w:hAnsi="Verdana"/>
          <w:sz w:val="16"/>
          <w:szCs w:val="16"/>
        </w:rPr>
        <w:t>.</w:t>
      </w:r>
      <w:r>
        <w:rPr>
          <w:rFonts w:ascii="Verdana" w:hAnsi="Verdana"/>
          <w:sz w:val="16"/>
          <w:szCs w:val="16"/>
        </w:rPr>
        <w:t xml:space="preserve"> Prognozuje się, że</w:t>
      </w:r>
      <w:r w:rsidRPr="000A6485">
        <w:rPr>
          <w:rFonts w:ascii="Verdana" w:hAnsi="Verdana"/>
          <w:sz w:val="16"/>
          <w:szCs w:val="16"/>
        </w:rPr>
        <w:t xml:space="preserve"> dofinansowanie z budżetu Unii Europejskiej do projektów realizowanych przez m.st. Warszawa wyniesie </w:t>
      </w:r>
      <w:r>
        <w:rPr>
          <w:rFonts w:ascii="Verdana" w:hAnsi="Verdana"/>
          <w:b/>
          <w:sz w:val="16"/>
          <w:szCs w:val="16"/>
        </w:rPr>
        <w:t>449,1 mln</w:t>
      </w:r>
      <w:r w:rsidRPr="000A6485">
        <w:rPr>
          <w:rFonts w:ascii="Verdana" w:hAnsi="Verdana"/>
          <w:b/>
          <w:sz w:val="16"/>
          <w:szCs w:val="16"/>
        </w:rPr>
        <w:t xml:space="preserve"> zł</w:t>
      </w:r>
      <w:r w:rsidRPr="000A6485">
        <w:rPr>
          <w:rFonts w:ascii="Verdana" w:hAnsi="Verdana"/>
          <w:sz w:val="16"/>
          <w:szCs w:val="16"/>
        </w:rPr>
        <w:t xml:space="preserve">, z czego </w:t>
      </w:r>
      <w:r>
        <w:rPr>
          <w:rFonts w:ascii="Verdana" w:hAnsi="Verdana"/>
          <w:b/>
          <w:sz w:val="16"/>
          <w:szCs w:val="16"/>
        </w:rPr>
        <w:t>25,9</w:t>
      </w:r>
      <w:r w:rsidRPr="000A6485">
        <w:rPr>
          <w:rFonts w:ascii="Verdana" w:hAnsi="Verdana"/>
          <w:b/>
          <w:sz w:val="16"/>
          <w:szCs w:val="16"/>
        </w:rPr>
        <w:t xml:space="preserve"> mln zł </w:t>
      </w:r>
      <w:r w:rsidRPr="000A6485">
        <w:rPr>
          <w:rFonts w:ascii="Verdana" w:hAnsi="Verdana"/>
          <w:sz w:val="16"/>
          <w:szCs w:val="16"/>
        </w:rPr>
        <w:t>będzie</w:t>
      </w:r>
      <w:r>
        <w:rPr>
          <w:rFonts w:ascii="Verdana" w:hAnsi="Verdana"/>
          <w:sz w:val="16"/>
          <w:szCs w:val="16"/>
        </w:rPr>
        <w:t xml:space="preserve"> dotyczyło projektów bieżących oraz</w:t>
      </w:r>
      <w:r w:rsidRPr="000A6485">
        <w:rPr>
          <w:rFonts w:ascii="Verdana" w:hAnsi="Verdana"/>
          <w:sz w:val="16"/>
          <w:szCs w:val="16"/>
        </w:rPr>
        <w:t xml:space="preserve"> </w:t>
      </w:r>
      <w:r>
        <w:rPr>
          <w:rFonts w:ascii="Verdana" w:hAnsi="Verdana"/>
          <w:b/>
          <w:sz w:val="16"/>
          <w:szCs w:val="16"/>
        </w:rPr>
        <w:t>423,2 mln</w:t>
      </w:r>
      <w:r w:rsidRPr="000A6485">
        <w:rPr>
          <w:rFonts w:ascii="Verdana" w:hAnsi="Verdana"/>
          <w:b/>
          <w:sz w:val="16"/>
          <w:szCs w:val="16"/>
        </w:rPr>
        <w:t xml:space="preserve"> zł</w:t>
      </w:r>
      <w:r w:rsidRPr="000A6485">
        <w:rPr>
          <w:rFonts w:ascii="Verdana" w:hAnsi="Verdana"/>
          <w:sz w:val="16"/>
          <w:szCs w:val="16"/>
        </w:rPr>
        <w:t xml:space="preserve"> projektów inwestycyjnych.</w:t>
      </w:r>
      <w:r>
        <w:rPr>
          <w:rFonts w:ascii="Verdana" w:hAnsi="Verdana"/>
          <w:sz w:val="16"/>
          <w:szCs w:val="16"/>
        </w:rPr>
        <w:t xml:space="preserve"> </w:t>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33</w:t>
      </w:r>
      <w:r w:rsidRPr="000A6485">
        <w:rPr>
          <w:rFonts w:ascii="Verdana" w:hAnsi="Verdana"/>
          <w:sz w:val="16"/>
          <w:szCs w:val="16"/>
        </w:rPr>
        <w:t xml:space="preserve"> prezentuje procentową zmianę rok do roku wysokości wydatków ogółem w poszczególnych latach objętych Prognozą.</w:t>
      </w:r>
    </w:p>
    <w:p w:rsidR="00CA374E" w:rsidRPr="000A6485" w:rsidRDefault="00CA374E" w:rsidP="00CA374E">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33</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OGÓŁEM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spacing w:before="120" w:after="120"/>
        <w:jc w:val="both"/>
        <w:rPr>
          <w:rFonts w:ascii="Verdana" w:hAnsi="Verdana"/>
          <w:sz w:val="18"/>
          <w:szCs w:val="18"/>
        </w:rPr>
      </w:pPr>
      <w:r>
        <w:rPr>
          <w:rFonts w:ascii="Verdana" w:hAnsi="Verdana"/>
          <w:noProof/>
          <w:sz w:val="18"/>
          <w:szCs w:val="18"/>
        </w:rPr>
        <w:pict>
          <v:shape id="_x0000_i1054" type="#_x0000_t75" style="width:451.8pt;height:222.9pt">
            <v:imagedata r:id="rId47" o:title=""/>
          </v:shape>
        </w:pict>
      </w:r>
    </w:p>
    <w:p w:rsidR="00CA374E" w:rsidRDefault="00CA374E" w:rsidP="00CA374E">
      <w:pPr>
        <w:spacing w:before="240" w:after="240"/>
        <w:jc w:val="both"/>
        <w:rPr>
          <w:rFonts w:ascii="Verdana" w:hAnsi="Verdana"/>
          <w:b/>
          <w:bCs/>
          <w:sz w:val="18"/>
          <w:szCs w:val="18"/>
        </w:rPr>
      </w:pPr>
      <w:r>
        <w:rPr>
          <w:rFonts w:ascii="Verdana" w:hAnsi="Verdana"/>
          <w:b/>
          <w:bCs/>
          <w:sz w:val="18"/>
          <w:szCs w:val="18"/>
        </w:rPr>
        <w:br w:type="page"/>
      </w:r>
    </w:p>
    <w:p w:rsidR="00CA374E" w:rsidRPr="000A6485" w:rsidRDefault="00CA374E" w:rsidP="00CA374E">
      <w:pPr>
        <w:spacing w:before="240" w:after="240"/>
        <w:jc w:val="both"/>
        <w:rPr>
          <w:rFonts w:ascii="Verdana" w:hAnsi="Verdana"/>
          <w:b/>
          <w:bCs/>
          <w:sz w:val="18"/>
          <w:szCs w:val="18"/>
        </w:rPr>
      </w:pPr>
      <w:r w:rsidRPr="000A6485">
        <w:rPr>
          <w:rFonts w:ascii="Verdana" w:hAnsi="Verdana"/>
          <w:b/>
          <w:bCs/>
          <w:sz w:val="18"/>
          <w:szCs w:val="18"/>
        </w:rPr>
        <w:lastRenderedPageBreak/>
        <w:t>7.3.2 Wynik zbiorczy prognozy wydatków bieżących</w:t>
      </w:r>
    </w:p>
    <w:p w:rsidR="00CA374E" w:rsidRPr="000A6485" w:rsidRDefault="00CA374E" w:rsidP="00CA374E">
      <w:pPr>
        <w:spacing w:before="60" w:after="60"/>
        <w:ind w:firstLine="567"/>
        <w:jc w:val="both"/>
        <w:rPr>
          <w:rFonts w:ascii="Verdana" w:hAnsi="Verdana"/>
          <w:b/>
          <w:bCs/>
          <w:sz w:val="16"/>
          <w:szCs w:val="16"/>
        </w:rPr>
      </w:pPr>
      <w:r w:rsidRPr="000A6485">
        <w:rPr>
          <w:rFonts w:ascii="Verdana" w:hAnsi="Verdana"/>
          <w:sz w:val="16"/>
          <w:szCs w:val="16"/>
        </w:rPr>
        <w:t>Wykres</w:t>
      </w:r>
      <w:r>
        <w:rPr>
          <w:rFonts w:ascii="Verdana" w:hAnsi="Verdana"/>
          <w:sz w:val="16"/>
          <w:szCs w:val="16"/>
        </w:rPr>
        <w:t>y</w:t>
      </w:r>
      <w:r w:rsidRPr="000A6485">
        <w:rPr>
          <w:rFonts w:ascii="Verdana" w:hAnsi="Verdana"/>
          <w:sz w:val="16"/>
          <w:szCs w:val="16"/>
        </w:rPr>
        <w:t xml:space="preserve"> </w:t>
      </w:r>
      <w:r>
        <w:rPr>
          <w:rFonts w:ascii="Verdana" w:hAnsi="Verdana"/>
          <w:sz w:val="16"/>
          <w:szCs w:val="16"/>
        </w:rPr>
        <w:t>nr 34 i 35</w:t>
      </w:r>
      <w:r w:rsidRPr="000A6485">
        <w:rPr>
          <w:rFonts w:ascii="Verdana" w:hAnsi="Verdana"/>
          <w:sz w:val="16"/>
          <w:szCs w:val="16"/>
        </w:rPr>
        <w:t xml:space="preserve"> </w:t>
      </w:r>
      <w:r>
        <w:rPr>
          <w:rFonts w:ascii="Verdana" w:hAnsi="Verdana"/>
          <w:sz w:val="16"/>
          <w:szCs w:val="16"/>
        </w:rPr>
        <w:t>prezentują</w:t>
      </w:r>
      <w:r w:rsidRPr="000A6485">
        <w:rPr>
          <w:rFonts w:ascii="Verdana" w:hAnsi="Verdana"/>
          <w:sz w:val="16"/>
          <w:szCs w:val="16"/>
        </w:rPr>
        <w:t xml:space="preserve"> prognozowane wydatki bieżące w poszczególnych latach objętych Prognozą.</w: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34</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sidRPr="008F3935">
        <w:rPr>
          <w:rFonts w:ascii="Verdana" w:hAnsi="Verdana" w:cs="Arial"/>
          <w:b/>
          <w:bCs/>
          <w:sz w:val="14"/>
          <w:szCs w:val="14"/>
        </w:rPr>
        <w:t>2024</w:t>
      </w:r>
      <w:r w:rsidRPr="000A6485">
        <w:rPr>
          <w:rFonts w:ascii="Verdana" w:hAnsi="Verdana" w:cs="Arial"/>
          <w:b/>
          <w:bCs/>
          <w:sz w:val="14"/>
          <w:szCs w:val="14"/>
        </w:rPr>
        <w:t>-20</w:t>
      </w:r>
      <w:r>
        <w:rPr>
          <w:rFonts w:ascii="Verdana" w:hAnsi="Verdana" w:cs="Arial"/>
          <w:b/>
          <w:bCs/>
          <w:sz w:val="14"/>
          <w:szCs w:val="14"/>
        </w:rPr>
        <w:t>28</w:t>
      </w:r>
      <w:r w:rsidRPr="000A6485">
        <w:rPr>
          <w:rFonts w:ascii="Verdana" w:hAnsi="Verdana" w:cs="Arial"/>
          <w:b/>
          <w:bCs/>
          <w:sz w:val="14"/>
          <w:szCs w:val="14"/>
        </w:rPr>
        <w:t xml:space="preserve">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jc w:val="both"/>
        <w:rPr>
          <w:rFonts w:ascii="Verdana" w:hAnsi="Verdana"/>
          <w:b/>
          <w:bCs/>
          <w:sz w:val="20"/>
          <w:szCs w:val="20"/>
        </w:rPr>
      </w:pPr>
      <w:r>
        <w:rPr>
          <w:noProof/>
        </w:rPr>
        <w:pict>
          <v:shape id="_x0000_i1055" type="#_x0000_t75" style="width:174pt;height:242.4pt">
            <v:imagedata r:id="rId48" o:title=""/>
          </v:shape>
        </w:pic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35</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BIEŻĄCYCH M.ST. WARSZAWY NA LATA </w:t>
      </w:r>
      <w:r>
        <w:rPr>
          <w:rFonts w:ascii="Verdana" w:hAnsi="Verdana" w:cs="Arial"/>
          <w:b/>
          <w:bCs/>
          <w:sz w:val="14"/>
          <w:szCs w:val="14"/>
        </w:rPr>
        <w:t>2029</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Default="00E91E8C" w:rsidP="00CA374E">
      <w:pPr>
        <w:spacing w:before="60" w:after="60"/>
        <w:jc w:val="both"/>
        <w:rPr>
          <w:rFonts w:ascii="Verdana" w:hAnsi="Verdana"/>
          <w:sz w:val="16"/>
          <w:szCs w:val="16"/>
        </w:rPr>
      </w:pPr>
      <w:r>
        <w:rPr>
          <w:noProof/>
        </w:rPr>
        <w:pict>
          <v:shape id="_x0000_i1056" type="#_x0000_t75" style="width:459pt;height:243pt">
            <v:imagedata r:id="rId49" o:title=""/>
          </v:shape>
        </w:pict>
      </w:r>
    </w:p>
    <w:p w:rsidR="00CA374E" w:rsidRDefault="00CA374E" w:rsidP="00CA374E">
      <w:pPr>
        <w:spacing w:before="60" w:after="60"/>
        <w:ind w:firstLine="539"/>
        <w:jc w:val="both"/>
        <w:rPr>
          <w:rFonts w:ascii="Verdana" w:hAnsi="Verdana"/>
          <w:sz w:val="16"/>
          <w:szCs w:val="16"/>
        </w:rPr>
      </w:pPr>
      <w:r w:rsidRPr="000A6485">
        <w:rPr>
          <w:rFonts w:ascii="Verdana" w:hAnsi="Verdana"/>
          <w:sz w:val="16"/>
          <w:szCs w:val="16"/>
        </w:rPr>
        <w:t>Prognozuje się, że łączne wydatki bieżące Miasta w okresie pierwszych pięciu lat prognozy</w:t>
      </w:r>
      <w:r>
        <w:rPr>
          <w:rFonts w:ascii="Verdana" w:hAnsi="Verdana"/>
          <w:sz w:val="16"/>
          <w:szCs w:val="16"/>
        </w:rPr>
        <w:t xml:space="preserve"> (2024</w:t>
      </w: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wyniosą </w:t>
      </w:r>
      <w:r>
        <w:rPr>
          <w:rFonts w:ascii="Verdana" w:hAnsi="Verdana"/>
          <w:b/>
          <w:sz w:val="16"/>
          <w:szCs w:val="16"/>
        </w:rPr>
        <w:t>123,1</w:t>
      </w:r>
      <w:r w:rsidRPr="000A6485">
        <w:rPr>
          <w:rFonts w:ascii="Verdana" w:hAnsi="Verdana"/>
          <w:b/>
          <w:sz w:val="16"/>
          <w:szCs w:val="16"/>
        </w:rPr>
        <w:t xml:space="preserve"> mld zł</w:t>
      </w:r>
      <w:r w:rsidRPr="000A6485">
        <w:rPr>
          <w:rFonts w:ascii="Verdana" w:hAnsi="Verdana"/>
          <w:sz w:val="16"/>
          <w:szCs w:val="16"/>
        </w:rPr>
        <w:t xml:space="preserve">, co będzie stanowiło </w:t>
      </w:r>
      <w:r>
        <w:rPr>
          <w:rFonts w:ascii="Verdana" w:hAnsi="Verdana"/>
          <w:b/>
          <w:sz w:val="16"/>
          <w:szCs w:val="16"/>
        </w:rPr>
        <w:t>91</w:t>
      </w:r>
      <w:r w:rsidRPr="000A6485">
        <w:rPr>
          <w:rFonts w:ascii="Verdana" w:hAnsi="Verdana"/>
          <w:b/>
          <w:sz w:val="16"/>
          <w:szCs w:val="16"/>
        </w:rPr>
        <w:t>%</w:t>
      </w:r>
      <w:r w:rsidRPr="000A6485">
        <w:rPr>
          <w:rFonts w:ascii="Verdana" w:hAnsi="Verdana"/>
          <w:sz w:val="16"/>
          <w:szCs w:val="16"/>
        </w:rPr>
        <w:t xml:space="preserve"> prognozowanych na ten okres wydatków ogółem.</w:t>
      </w:r>
      <w:r>
        <w:rPr>
          <w:rFonts w:ascii="Verdana" w:hAnsi="Verdana"/>
          <w:sz w:val="16"/>
          <w:szCs w:val="16"/>
        </w:rPr>
        <w:br w:type="page"/>
      </w:r>
    </w:p>
    <w:p w:rsidR="00CA374E" w:rsidRPr="000A6485" w:rsidRDefault="00CA374E" w:rsidP="00CA374E">
      <w:pPr>
        <w:spacing w:before="60" w:after="60"/>
        <w:ind w:firstLine="539"/>
        <w:jc w:val="both"/>
        <w:rPr>
          <w:rFonts w:ascii="Verdana" w:hAnsi="Verdana"/>
          <w:sz w:val="16"/>
          <w:szCs w:val="16"/>
        </w:rPr>
      </w:pPr>
      <w:r w:rsidRPr="000A6485">
        <w:rPr>
          <w:rFonts w:ascii="Verdana" w:hAnsi="Verdana"/>
          <w:sz w:val="16"/>
          <w:szCs w:val="16"/>
        </w:rPr>
        <w:lastRenderedPageBreak/>
        <w:t xml:space="preserve">Wykres </w:t>
      </w:r>
      <w:r>
        <w:rPr>
          <w:rFonts w:ascii="Verdana" w:hAnsi="Verdana"/>
          <w:sz w:val="16"/>
          <w:szCs w:val="16"/>
        </w:rPr>
        <w:t>nr 36</w:t>
      </w:r>
      <w:r w:rsidRPr="000A6485">
        <w:rPr>
          <w:rFonts w:ascii="Verdana" w:hAnsi="Verdana"/>
          <w:sz w:val="16"/>
          <w:szCs w:val="16"/>
        </w:rPr>
        <w:t xml:space="preserve"> prezentuje procentową zmianę rok do roku wysokości wydatków bieżących w poszczególnych latach objętych Prognozą.</w:t>
      </w:r>
    </w:p>
    <w:p w:rsidR="00CA374E" w:rsidRPr="000A6485" w:rsidRDefault="00CA374E" w:rsidP="00CA374E">
      <w:pPr>
        <w:spacing w:before="120" w:after="120" w:line="240" w:lineRule="auto"/>
        <w:rPr>
          <w:rFonts w:ascii="Verdana" w:hAnsi="Verdana"/>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36</w:t>
      </w:r>
      <w:r w:rsidRPr="000A6485">
        <w:rPr>
          <w:rFonts w:ascii="Verdana" w:hAnsi="Verdana" w:cs="Arial"/>
          <w:b/>
          <w:bCs/>
          <w:sz w:val="14"/>
          <w:szCs w:val="14"/>
        </w:rPr>
        <w:fldChar w:fldCharType="end"/>
      </w:r>
      <w:r w:rsidRPr="000A6485">
        <w:rPr>
          <w:rFonts w:ascii="Verdana" w:hAnsi="Verdana" w:cs="Arial"/>
          <w:b/>
          <w:bCs/>
          <w:sz w:val="14"/>
          <w:szCs w:val="14"/>
        </w:rPr>
        <w:t xml:space="preserve">  PROGNOZOWANA ZMIANA PROCENTOWA ROK DO ROKU WYDATKÓW BIEŻĄCYCH M.ST. WARSZAWY </w:t>
      </w:r>
      <w:r w:rsidRPr="000A6485">
        <w:rPr>
          <w:rFonts w:ascii="Verdana" w:hAnsi="Verdana" w:cs="Arial"/>
          <w:b/>
          <w:bCs/>
          <w:sz w:val="14"/>
          <w:szCs w:val="14"/>
        </w:rPr>
        <w:br/>
        <w:t xml:space="preserve">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sidRPr="000A6485">
        <w:rPr>
          <w:rFonts w:ascii="Verdana" w:hAnsi="Verdana" w:cs="Arial"/>
          <w:bCs/>
          <w:sz w:val="14"/>
          <w:szCs w:val="14"/>
        </w:rPr>
        <w:t>[</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autoSpaceDE w:val="0"/>
        <w:autoSpaceDN w:val="0"/>
        <w:adjustRightInd w:val="0"/>
        <w:spacing w:before="120" w:after="120"/>
        <w:jc w:val="both"/>
        <w:rPr>
          <w:rFonts w:ascii="Verdana" w:hAnsi="Verdana" w:cs="Verdana"/>
          <w:sz w:val="18"/>
          <w:szCs w:val="18"/>
          <w:lang w:eastAsia="ko-KR"/>
        </w:rPr>
      </w:pPr>
      <w:r>
        <w:rPr>
          <w:rFonts w:ascii="Verdana" w:hAnsi="Verdana" w:cs="Verdana"/>
          <w:noProof/>
          <w:sz w:val="18"/>
          <w:szCs w:val="18"/>
        </w:rPr>
        <w:pict>
          <v:shape id="_x0000_i1057" type="#_x0000_t75" style="width:454.5pt;height:217.2pt">
            <v:imagedata r:id="rId50" o:title=""/>
          </v:shape>
        </w:pict>
      </w:r>
    </w:p>
    <w:p w:rsidR="00CA374E" w:rsidRDefault="00CA374E" w:rsidP="00CA374E">
      <w:pPr>
        <w:tabs>
          <w:tab w:val="left" w:pos="360"/>
        </w:tabs>
        <w:spacing w:before="60" w:after="60"/>
        <w:ind w:firstLine="567"/>
        <w:jc w:val="both"/>
        <w:rPr>
          <w:rFonts w:ascii="Verdana" w:hAnsi="Verdana"/>
          <w:bCs/>
          <w:sz w:val="16"/>
          <w:szCs w:val="16"/>
        </w:rPr>
      </w:pPr>
      <w:r>
        <w:rPr>
          <w:rFonts w:ascii="Verdana" w:hAnsi="Verdana"/>
          <w:bCs/>
          <w:sz w:val="16"/>
          <w:szCs w:val="16"/>
        </w:rPr>
        <w:t xml:space="preserve">Z uwagi na trwały ubytek dochodów w wyniku zmian legislacyjnych </w:t>
      </w:r>
      <w:r w:rsidRPr="000A6485">
        <w:rPr>
          <w:rFonts w:ascii="Verdana" w:hAnsi="Verdana"/>
          <w:bCs/>
          <w:sz w:val="16"/>
          <w:szCs w:val="16"/>
        </w:rPr>
        <w:t>(</w:t>
      </w:r>
      <w:r>
        <w:rPr>
          <w:rFonts w:ascii="Verdana" w:hAnsi="Verdana"/>
          <w:bCs/>
          <w:sz w:val="16"/>
          <w:szCs w:val="16"/>
        </w:rPr>
        <w:t xml:space="preserve">poruszane kwestie dochodów z opłat za użytkowanie wieczyste nieruchomości w pkt 5.1.1 oraz z udziału w PIT w pkt 5.1.2 i 5.1.3), a także w związku z koniecznością respektowania ustawowych reguł </w:t>
      </w:r>
      <w:r w:rsidRPr="000A6485">
        <w:rPr>
          <w:rFonts w:ascii="Verdana" w:hAnsi="Verdana"/>
          <w:bCs/>
          <w:sz w:val="16"/>
          <w:szCs w:val="16"/>
        </w:rPr>
        <w:t>s</w:t>
      </w:r>
      <w:r>
        <w:rPr>
          <w:rFonts w:ascii="Verdana" w:hAnsi="Verdana"/>
          <w:bCs/>
          <w:sz w:val="16"/>
          <w:szCs w:val="16"/>
        </w:rPr>
        <w:t>ystemowych limitujących</w:t>
      </w:r>
      <w:r w:rsidRPr="000A6485">
        <w:rPr>
          <w:rFonts w:ascii="Verdana" w:hAnsi="Verdana"/>
          <w:bCs/>
          <w:sz w:val="16"/>
          <w:szCs w:val="16"/>
        </w:rPr>
        <w:t xml:space="preserve"> bezpośrednio (art. 242</w:t>
      </w:r>
      <w:r>
        <w:rPr>
          <w:rFonts w:ascii="Verdana" w:hAnsi="Verdana"/>
          <w:bCs/>
          <w:sz w:val="16"/>
          <w:szCs w:val="16"/>
        </w:rPr>
        <w:t xml:space="preserve"> ustawy </w:t>
      </w:r>
      <w:r>
        <w:rPr>
          <w:rFonts w:ascii="Verdana" w:hAnsi="Verdana"/>
          <w:bCs/>
          <w:sz w:val="16"/>
          <w:szCs w:val="16"/>
        </w:rPr>
        <w:br/>
        <w:t>o finansach publicznych</w:t>
      </w:r>
      <w:r w:rsidRPr="000A6485">
        <w:rPr>
          <w:rFonts w:ascii="Verdana" w:hAnsi="Verdana"/>
          <w:bCs/>
          <w:sz w:val="16"/>
          <w:szCs w:val="16"/>
        </w:rPr>
        <w:t>) lub pośrednio (art. 243</w:t>
      </w:r>
      <w:r>
        <w:rPr>
          <w:rFonts w:ascii="Verdana" w:hAnsi="Verdana"/>
          <w:bCs/>
          <w:sz w:val="16"/>
          <w:szCs w:val="16"/>
        </w:rPr>
        <w:t xml:space="preserve"> ustawy o finansach publicznych</w:t>
      </w:r>
      <w:r w:rsidRPr="000A6485">
        <w:rPr>
          <w:rFonts w:ascii="Verdana" w:hAnsi="Verdana"/>
          <w:bCs/>
          <w:sz w:val="16"/>
          <w:szCs w:val="16"/>
        </w:rPr>
        <w:t>) dopuszczalny poziom wydatków bieżących w jednostkach sektora samorządowego (pkt 4.1 niniejszego opracowania), planowany poziom wydatków bieżących w najbliższej perspektywie finansowe</w:t>
      </w:r>
      <w:r>
        <w:rPr>
          <w:rFonts w:ascii="Verdana" w:hAnsi="Verdana"/>
          <w:bCs/>
          <w:sz w:val="16"/>
          <w:szCs w:val="16"/>
        </w:rPr>
        <w:t>j</w:t>
      </w:r>
      <w:r w:rsidRPr="000A6485">
        <w:rPr>
          <w:rFonts w:ascii="Verdana" w:hAnsi="Verdana"/>
          <w:bCs/>
          <w:sz w:val="16"/>
          <w:szCs w:val="16"/>
        </w:rPr>
        <w:t xml:space="preserve"> dostosowany został do poziomu </w:t>
      </w:r>
      <w:r>
        <w:rPr>
          <w:rFonts w:ascii="Verdana" w:hAnsi="Verdana"/>
          <w:bCs/>
          <w:sz w:val="16"/>
          <w:szCs w:val="16"/>
        </w:rPr>
        <w:t>prognozowanych</w:t>
      </w:r>
      <w:r w:rsidRPr="000A6485">
        <w:rPr>
          <w:rFonts w:ascii="Verdana" w:hAnsi="Verdana"/>
          <w:bCs/>
          <w:sz w:val="16"/>
          <w:szCs w:val="16"/>
        </w:rPr>
        <w:t xml:space="preserve"> do osiągnięcia dochodów bieżących z uwzględnieniem adekwatnej do obsługi zadłużenia wysokości nadwyżki operacyjnej (nadwyżka dochodów bie</w:t>
      </w:r>
      <w:r>
        <w:rPr>
          <w:rFonts w:ascii="Verdana" w:hAnsi="Verdana"/>
          <w:bCs/>
          <w:sz w:val="16"/>
          <w:szCs w:val="16"/>
        </w:rPr>
        <w:t xml:space="preserve">żących nad wydatkami bieżącymi), z czasowym wystąpieniem deficytu operacyjnego w 2024 r. podobnie jak przewiduje plan na 2023 r., przy wsparciu potencjału wydatkowego Miasta poprzez maksymalne podwyższenie programu kredytowego limitowanego wewnętrzną regułą ostrożnościową zakładającą nieprzekraczanie przez dług poziomu 55% dochodów ogółem, z zachowaniem bufora bezpieczeństwa w związku z dużą niepewnością rozwoju sytuacji makroekonomicznej. </w:t>
      </w:r>
      <w:r w:rsidRPr="00474DCE">
        <w:rPr>
          <w:rFonts w:ascii="Verdana" w:hAnsi="Verdana" w:cs="Verdana"/>
          <w:b/>
          <w:sz w:val="16"/>
          <w:szCs w:val="16"/>
        </w:rPr>
        <w:t>W celu minimalizacji negatywnych następstw</w:t>
      </w:r>
      <w:r>
        <w:rPr>
          <w:rFonts w:ascii="Verdana" w:hAnsi="Verdana" w:cs="Verdana"/>
          <w:b/>
          <w:sz w:val="16"/>
          <w:szCs w:val="16"/>
        </w:rPr>
        <w:t xml:space="preserve"> rządowego Programu Polski Ład, polegających na</w:t>
      </w:r>
      <w:r w:rsidRPr="00474DCE">
        <w:rPr>
          <w:rFonts w:ascii="Verdana" w:hAnsi="Verdana" w:cs="Verdana"/>
          <w:b/>
          <w:sz w:val="16"/>
          <w:szCs w:val="16"/>
        </w:rPr>
        <w:t xml:space="preserve"> </w:t>
      </w:r>
      <w:r>
        <w:rPr>
          <w:rFonts w:ascii="Verdana" w:hAnsi="Verdana" w:cs="Verdana"/>
          <w:b/>
          <w:sz w:val="16"/>
          <w:szCs w:val="16"/>
        </w:rPr>
        <w:t xml:space="preserve">znaczącej skali trwałego obniżenia od 2022 r. dochodów </w:t>
      </w:r>
      <w:r w:rsidRPr="00474DCE">
        <w:rPr>
          <w:rFonts w:ascii="Verdana" w:hAnsi="Verdana" w:cs="Verdana"/>
          <w:b/>
          <w:sz w:val="16"/>
          <w:szCs w:val="16"/>
        </w:rPr>
        <w:t>m.st. Warszawy</w:t>
      </w:r>
      <w:r>
        <w:rPr>
          <w:rFonts w:ascii="Verdana" w:hAnsi="Verdana" w:cs="Verdana"/>
          <w:b/>
          <w:sz w:val="16"/>
          <w:szCs w:val="16"/>
        </w:rPr>
        <w:t xml:space="preserve"> z udziału w PIT bez adekwatnych rekompensat</w:t>
      </w:r>
      <w:r w:rsidRPr="00474DCE">
        <w:rPr>
          <w:rFonts w:ascii="Verdana" w:hAnsi="Verdana" w:cs="Verdana"/>
          <w:b/>
          <w:sz w:val="16"/>
          <w:szCs w:val="16"/>
        </w:rPr>
        <w:t xml:space="preserve">, </w:t>
      </w:r>
      <w:r>
        <w:rPr>
          <w:rFonts w:ascii="Verdana" w:hAnsi="Verdana" w:cs="Verdana"/>
          <w:b/>
          <w:sz w:val="16"/>
          <w:szCs w:val="16"/>
        </w:rPr>
        <w:t>WPF 2024-2050 zakłada</w:t>
      </w:r>
      <w:r w:rsidRPr="00474DCE">
        <w:rPr>
          <w:rFonts w:ascii="Verdana" w:hAnsi="Verdana" w:cs="Verdana"/>
          <w:b/>
          <w:sz w:val="16"/>
          <w:szCs w:val="16"/>
        </w:rPr>
        <w:t xml:space="preserve"> </w:t>
      </w:r>
      <w:r>
        <w:rPr>
          <w:rFonts w:ascii="Verdana" w:hAnsi="Verdana" w:cs="Verdana"/>
          <w:b/>
          <w:sz w:val="16"/>
          <w:szCs w:val="16"/>
        </w:rPr>
        <w:t xml:space="preserve">kontynuację realizacji założeń przyjętych w WPF poprzednich dwóch edycji, czyli ewolucyjne </w:t>
      </w:r>
      <w:r w:rsidRPr="00474DCE">
        <w:rPr>
          <w:rFonts w:ascii="Verdana" w:hAnsi="Verdana" w:cs="Verdana"/>
          <w:b/>
          <w:sz w:val="16"/>
          <w:szCs w:val="16"/>
        </w:rPr>
        <w:t>dostosow</w:t>
      </w:r>
      <w:r>
        <w:rPr>
          <w:rFonts w:ascii="Verdana" w:hAnsi="Verdana" w:cs="Verdana"/>
          <w:b/>
          <w:sz w:val="16"/>
          <w:szCs w:val="16"/>
        </w:rPr>
        <w:t>ywanie</w:t>
      </w:r>
      <w:r w:rsidRPr="00474DCE">
        <w:rPr>
          <w:rFonts w:ascii="Verdana" w:hAnsi="Verdana" w:cs="Verdana"/>
          <w:b/>
          <w:sz w:val="16"/>
          <w:szCs w:val="16"/>
        </w:rPr>
        <w:t xml:space="preserve"> </w:t>
      </w:r>
      <w:r>
        <w:rPr>
          <w:rFonts w:ascii="Verdana" w:hAnsi="Verdana" w:cs="Verdana"/>
          <w:b/>
          <w:sz w:val="16"/>
          <w:szCs w:val="16"/>
        </w:rPr>
        <w:t>wydatków bieżących</w:t>
      </w:r>
      <w:r w:rsidRPr="00474DCE">
        <w:rPr>
          <w:rFonts w:ascii="Verdana" w:hAnsi="Verdana" w:cs="Verdana"/>
          <w:b/>
          <w:sz w:val="16"/>
          <w:szCs w:val="16"/>
        </w:rPr>
        <w:t xml:space="preserve"> d</w:t>
      </w:r>
      <w:r>
        <w:rPr>
          <w:rFonts w:ascii="Verdana" w:hAnsi="Verdana" w:cs="Verdana"/>
          <w:b/>
          <w:sz w:val="16"/>
          <w:szCs w:val="16"/>
        </w:rPr>
        <w:t>o trwale ograniczonych dochodów, tzn.</w:t>
      </w:r>
      <w:r w:rsidRPr="00474DCE">
        <w:rPr>
          <w:rFonts w:ascii="Verdana" w:hAnsi="Verdana" w:cs="Verdana"/>
          <w:b/>
          <w:sz w:val="16"/>
          <w:szCs w:val="16"/>
        </w:rPr>
        <w:t xml:space="preserve"> </w:t>
      </w:r>
      <w:r>
        <w:rPr>
          <w:rFonts w:ascii="Verdana" w:hAnsi="Verdana" w:cs="Verdana"/>
          <w:b/>
          <w:sz w:val="16"/>
          <w:szCs w:val="16"/>
        </w:rPr>
        <w:t xml:space="preserve">negatywne skutki </w:t>
      </w:r>
      <w:r w:rsidRPr="00474DCE">
        <w:rPr>
          <w:rFonts w:ascii="Verdana" w:hAnsi="Verdana" w:cs="Verdana"/>
          <w:b/>
          <w:sz w:val="16"/>
          <w:szCs w:val="16"/>
        </w:rPr>
        <w:t>zostaną rozłożone w czasie.</w:t>
      </w:r>
      <w:r w:rsidRPr="003E130B">
        <w:rPr>
          <w:rFonts w:ascii="Verdana" w:hAnsi="Verdana" w:cs="Verdana"/>
          <w:sz w:val="16"/>
          <w:szCs w:val="16"/>
        </w:rPr>
        <w:t xml:space="preserve"> </w:t>
      </w:r>
      <w:r>
        <w:rPr>
          <w:rFonts w:ascii="Verdana" w:hAnsi="Verdana" w:cs="Verdana"/>
          <w:b/>
          <w:sz w:val="16"/>
          <w:szCs w:val="16"/>
        </w:rPr>
        <w:t xml:space="preserve">Program adaptacji zakładający </w:t>
      </w:r>
      <w:r w:rsidRPr="003E130B">
        <w:rPr>
          <w:rFonts w:ascii="Verdana" w:hAnsi="Verdana" w:cs="Verdana"/>
          <w:b/>
          <w:sz w:val="16"/>
          <w:szCs w:val="16"/>
        </w:rPr>
        <w:t>stopniowe dostosowania budżeto</w:t>
      </w:r>
      <w:r>
        <w:rPr>
          <w:rFonts w:ascii="Verdana" w:hAnsi="Verdana" w:cs="Verdana"/>
          <w:b/>
          <w:sz w:val="16"/>
          <w:szCs w:val="16"/>
        </w:rPr>
        <w:t>we do ograniczonych dochodów przewiduje wystąpienie w latach 2023-2024</w:t>
      </w:r>
      <w:r w:rsidRPr="003E130B">
        <w:rPr>
          <w:rFonts w:ascii="Verdana" w:hAnsi="Verdana" w:cs="Verdana"/>
          <w:b/>
          <w:sz w:val="16"/>
          <w:szCs w:val="16"/>
        </w:rPr>
        <w:t xml:space="preserve"> </w:t>
      </w:r>
      <w:r w:rsidRPr="00474DCE">
        <w:rPr>
          <w:rFonts w:ascii="Verdana" w:hAnsi="Verdana" w:cs="Verdana"/>
          <w:b/>
          <w:sz w:val="16"/>
          <w:szCs w:val="16"/>
        </w:rPr>
        <w:t>deficytu operacyjnego</w:t>
      </w:r>
      <w:r>
        <w:rPr>
          <w:rFonts w:ascii="Verdana" w:hAnsi="Verdana" w:cs="Verdana"/>
          <w:sz w:val="16"/>
          <w:szCs w:val="16"/>
        </w:rPr>
        <w:t xml:space="preserve">, </w:t>
      </w:r>
      <w:r w:rsidRPr="003E130B">
        <w:rPr>
          <w:rFonts w:ascii="Verdana" w:hAnsi="Verdana" w:cs="Verdana"/>
          <w:b/>
          <w:sz w:val="16"/>
          <w:szCs w:val="16"/>
        </w:rPr>
        <w:t>oznaczającego nierównowagę dochodów bieżących i wydatków bieżących</w:t>
      </w:r>
      <w:r>
        <w:rPr>
          <w:rFonts w:ascii="Verdana" w:hAnsi="Verdana" w:cs="Verdana"/>
          <w:b/>
          <w:sz w:val="16"/>
          <w:szCs w:val="16"/>
        </w:rPr>
        <w:t xml:space="preserve">. </w:t>
      </w:r>
      <w:r w:rsidRPr="003E130B">
        <w:rPr>
          <w:rFonts w:ascii="Verdana" w:hAnsi="Verdana" w:cs="Verdana"/>
          <w:b/>
          <w:sz w:val="16"/>
          <w:szCs w:val="16"/>
        </w:rPr>
        <w:t xml:space="preserve">Założona ścieżka </w:t>
      </w:r>
      <w:r>
        <w:rPr>
          <w:rFonts w:ascii="Verdana" w:hAnsi="Verdana" w:cs="Verdana"/>
          <w:b/>
          <w:sz w:val="16"/>
          <w:szCs w:val="16"/>
        </w:rPr>
        <w:t>możliwie łagodnej absorbcji następstw szoku dochodowego</w:t>
      </w:r>
      <w:r w:rsidRPr="003E130B">
        <w:rPr>
          <w:rFonts w:ascii="Verdana" w:hAnsi="Verdana" w:cs="Verdana"/>
          <w:b/>
          <w:sz w:val="16"/>
          <w:szCs w:val="16"/>
        </w:rPr>
        <w:t xml:space="preserve"> </w:t>
      </w:r>
      <w:r>
        <w:rPr>
          <w:rFonts w:ascii="Verdana" w:hAnsi="Verdana" w:cs="Verdana"/>
          <w:b/>
          <w:sz w:val="16"/>
          <w:szCs w:val="16"/>
        </w:rPr>
        <w:t xml:space="preserve">przewiduje w latach 2026-2030 zawężoną </w:t>
      </w:r>
      <w:r w:rsidRPr="005A3BE4">
        <w:rPr>
          <w:rFonts w:ascii="Verdana" w:hAnsi="Verdana" w:cs="Verdana"/>
          <w:b/>
          <w:sz w:val="16"/>
          <w:szCs w:val="16"/>
        </w:rPr>
        <w:t xml:space="preserve">przestrzeń między ustawowym limitem a wskaźnikiem obsługi długu </w:t>
      </w:r>
      <w:r>
        <w:rPr>
          <w:rFonts w:ascii="Verdana" w:hAnsi="Verdana" w:cs="Verdana"/>
          <w:b/>
          <w:sz w:val="16"/>
          <w:szCs w:val="16"/>
        </w:rPr>
        <w:t xml:space="preserve">z minimalnym poziomem </w:t>
      </w:r>
      <w:r w:rsidRPr="005A3BE4">
        <w:rPr>
          <w:rFonts w:ascii="Verdana" w:hAnsi="Verdana" w:cs="Verdana"/>
          <w:b/>
          <w:sz w:val="16"/>
          <w:szCs w:val="16"/>
        </w:rPr>
        <w:t>0,</w:t>
      </w:r>
      <w:r>
        <w:rPr>
          <w:rFonts w:ascii="Verdana" w:hAnsi="Verdana" w:cs="Verdana"/>
          <w:b/>
          <w:sz w:val="16"/>
          <w:szCs w:val="16"/>
        </w:rPr>
        <w:t>22</w:t>
      </w:r>
      <w:r w:rsidRPr="005A3BE4">
        <w:rPr>
          <w:rFonts w:ascii="Verdana" w:hAnsi="Verdana" w:cs="Verdana"/>
          <w:b/>
          <w:sz w:val="16"/>
          <w:szCs w:val="16"/>
        </w:rPr>
        <w:t xml:space="preserve"> pkt proc. wyst</w:t>
      </w:r>
      <w:r>
        <w:rPr>
          <w:rFonts w:ascii="Verdana" w:hAnsi="Verdana" w:cs="Verdana"/>
          <w:b/>
          <w:sz w:val="16"/>
          <w:szCs w:val="16"/>
        </w:rPr>
        <w:t>ępującym w 2030 r. (wskaźnik 4,5</w:t>
      </w:r>
      <w:r w:rsidRPr="005A3BE4">
        <w:rPr>
          <w:rFonts w:ascii="Verdana" w:hAnsi="Verdana" w:cs="Verdana"/>
          <w:b/>
          <w:sz w:val="16"/>
          <w:szCs w:val="16"/>
        </w:rPr>
        <w:t xml:space="preserve">% wobec limitu </w:t>
      </w:r>
      <w:r>
        <w:rPr>
          <w:rFonts w:ascii="Verdana" w:hAnsi="Verdana" w:cs="Verdana"/>
          <w:b/>
          <w:sz w:val="16"/>
          <w:szCs w:val="16"/>
        </w:rPr>
        <w:t>4,72</w:t>
      </w:r>
      <w:r w:rsidRPr="005A3BE4">
        <w:rPr>
          <w:rFonts w:ascii="Verdana" w:hAnsi="Verdana" w:cs="Verdana"/>
          <w:b/>
          <w:sz w:val="16"/>
          <w:szCs w:val="16"/>
        </w:rPr>
        <w:t>%)</w:t>
      </w:r>
      <w:r>
        <w:rPr>
          <w:rFonts w:ascii="Verdana" w:hAnsi="Verdana" w:cs="Verdana"/>
          <w:b/>
          <w:sz w:val="16"/>
          <w:szCs w:val="16"/>
        </w:rPr>
        <w:t>.</w:t>
      </w:r>
    </w:p>
    <w:p w:rsidR="00CA374E" w:rsidRDefault="00CA374E" w:rsidP="00CA374E">
      <w:pPr>
        <w:tabs>
          <w:tab w:val="left" w:pos="360"/>
        </w:tabs>
        <w:spacing w:before="60" w:after="60"/>
        <w:ind w:firstLine="567"/>
        <w:jc w:val="both"/>
        <w:rPr>
          <w:rFonts w:ascii="Verdana" w:hAnsi="Verdana" w:cs="Verdana"/>
          <w:sz w:val="16"/>
          <w:szCs w:val="16"/>
        </w:rPr>
      </w:pPr>
      <w:r>
        <w:rPr>
          <w:rFonts w:ascii="Verdana" w:hAnsi="Verdana" w:cs="Verdana"/>
          <w:sz w:val="16"/>
          <w:szCs w:val="16"/>
        </w:rPr>
        <w:t>Ze względu na skalę ubytku dochodów z udziału w PIT, pomimo założonej w Wieloletniej Prognozie Finansowej na lata 2024-2050 minimalnej przestrzeni między ustawowymi limitem a wskaźnikiem obsługi długu, możliwy poziom wydatków bieżących jest ograniczony, w szczególności w kontekście zachodzących zjawisk inflacyjnych</w:t>
      </w:r>
      <w:r w:rsidRPr="001266D0">
        <w:rPr>
          <w:rFonts w:ascii="Verdana" w:hAnsi="Verdana" w:cs="Verdana"/>
          <w:sz w:val="16"/>
          <w:szCs w:val="16"/>
        </w:rPr>
        <w:t xml:space="preserve">. </w:t>
      </w:r>
      <w:r w:rsidRPr="000A6485">
        <w:rPr>
          <w:rFonts w:ascii="Verdana" w:hAnsi="Verdana" w:cs="Arial"/>
          <w:iCs/>
          <w:sz w:val="16"/>
          <w:szCs w:val="16"/>
        </w:rPr>
        <w:t xml:space="preserve">Z uwagi na </w:t>
      </w:r>
      <w:r>
        <w:rPr>
          <w:rFonts w:ascii="Verdana" w:hAnsi="Verdana" w:cs="Arial"/>
          <w:iCs/>
          <w:sz w:val="16"/>
          <w:szCs w:val="16"/>
        </w:rPr>
        <w:t>dynamicznie zmieniającą się sytuację makroekonomiczną obarczającą dużym ryzykiem formułowanie prognoz gospodarczych szczególnie w dłuższym okresie oraz ze względu na niepewność oszacowań skutków Programu Polski Ład</w:t>
      </w:r>
      <w:r w:rsidRPr="000A6485">
        <w:rPr>
          <w:rFonts w:ascii="Verdana" w:hAnsi="Verdana" w:cs="Arial"/>
          <w:iCs/>
          <w:sz w:val="16"/>
          <w:szCs w:val="16"/>
        </w:rPr>
        <w:t xml:space="preserve">, dla zachowania bezpieczeństwa finansowego m.st. Warszawy, </w:t>
      </w:r>
      <w:r>
        <w:rPr>
          <w:rFonts w:ascii="Verdana" w:hAnsi="Verdana" w:cs="Arial"/>
          <w:iCs/>
          <w:sz w:val="16"/>
          <w:szCs w:val="16"/>
        </w:rPr>
        <w:t xml:space="preserve">zakłada się ryzyko </w:t>
      </w:r>
      <w:r>
        <w:rPr>
          <w:rFonts w:ascii="Verdana" w:hAnsi="Verdana" w:cs="Arial"/>
          <w:iCs/>
          <w:sz w:val="16"/>
          <w:szCs w:val="16"/>
        </w:rPr>
        <w:lastRenderedPageBreak/>
        <w:t xml:space="preserve">braku możliwości utrzymania w latach 2025-2026 nawet bezwzględnego poziomu wydatków bieżących ustalonego na 2024 r., co znalazło odzwierciedlenie w limitach wydatków zawartych w WPF </w:t>
      </w:r>
      <w:r w:rsidRPr="008F3935">
        <w:rPr>
          <w:rFonts w:ascii="Verdana" w:eastAsiaTheme="minorEastAsia" w:hAnsi="Verdana" w:cs="Verdana"/>
          <w:color w:val="000000"/>
          <w:sz w:val="16"/>
          <w:szCs w:val="16"/>
        </w:rPr>
        <w:t>2024</w:t>
      </w:r>
      <w:r>
        <w:rPr>
          <w:rFonts w:ascii="Verdana" w:hAnsi="Verdana" w:cs="Arial"/>
          <w:iCs/>
          <w:sz w:val="16"/>
          <w:szCs w:val="16"/>
        </w:rPr>
        <w:t xml:space="preserve">-2050.  </w:t>
      </w:r>
      <w:r>
        <w:rPr>
          <w:rFonts w:ascii="Verdana" w:hAnsi="Verdana" w:cs="Verdana"/>
          <w:sz w:val="16"/>
          <w:szCs w:val="16"/>
        </w:rPr>
        <w:t xml:space="preserve">Dla kolejnych lat WPF </w:t>
      </w:r>
      <w:r w:rsidRPr="008F3935">
        <w:rPr>
          <w:rFonts w:ascii="Verdana" w:eastAsiaTheme="minorEastAsia" w:hAnsi="Verdana" w:cs="Verdana"/>
          <w:color w:val="000000"/>
          <w:sz w:val="16"/>
          <w:szCs w:val="16"/>
        </w:rPr>
        <w:t>2024</w:t>
      </w:r>
      <w:r>
        <w:rPr>
          <w:rFonts w:ascii="Verdana" w:hAnsi="Verdana" w:cs="Verdana"/>
          <w:sz w:val="16"/>
          <w:szCs w:val="16"/>
        </w:rPr>
        <w:t>-2050 przewiduje rokroczny wzrost wydatków bieżących uzależniony od prognozowanego potencjału wzrostu dochodów i zakładanego rozkładu spłaty już zaciągniętych i planowanych do pozyskania zwrotnych środków dłużnych.</w:t>
      </w:r>
    </w:p>
    <w:p w:rsidR="00CA374E" w:rsidRDefault="00CA374E" w:rsidP="00CA374E">
      <w:pPr>
        <w:autoSpaceDE w:val="0"/>
        <w:autoSpaceDN w:val="0"/>
        <w:adjustRightInd w:val="0"/>
        <w:spacing w:before="60" w:after="60"/>
        <w:jc w:val="both"/>
        <w:rPr>
          <w:rFonts w:ascii="Verdana" w:eastAsiaTheme="minorHAnsi" w:hAnsi="Verdana" w:cs="Verdana"/>
          <w:color w:val="000000"/>
          <w:sz w:val="16"/>
          <w:szCs w:val="16"/>
          <w:lang w:eastAsia="en-US"/>
        </w:rPr>
      </w:pPr>
      <w:r>
        <w:rPr>
          <w:rFonts w:ascii="Verdana" w:eastAsiaTheme="minorHAnsi" w:hAnsi="Verdana" w:cs="Verdana"/>
          <w:color w:val="000000"/>
          <w:sz w:val="16"/>
          <w:szCs w:val="16"/>
          <w:lang w:eastAsia="en-US"/>
        </w:rPr>
        <w:t xml:space="preserve">Ewolucyjny proces dostosowań budżetowych do znacząco ograniczonego potencjału dochodowego </w:t>
      </w:r>
      <w:r>
        <w:rPr>
          <w:rFonts w:ascii="Verdana" w:eastAsiaTheme="minorHAnsi" w:hAnsi="Verdana" w:cs="Verdana"/>
          <w:color w:val="000000"/>
          <w:sz w:val="16"/>
          <w:szCs w:val="16"/>
          <w:lang w:eastAsia="en-US"/>
        </w:rPr>
        <w:br/>
        <w:t xml:space="preserve">m.st. Warszawy będącego konsekwencją rozwiązań programu Polski Ład przewiduje na 2024 r. realizację zadań bieżących w ramach limitu wydatkowego wynoszącego </w:t>
      </w:r>
      <w:r>
        <w:rPr>
          <w:rFonts w:ascii="Verdana" w:eastAsiaTheme="minorHAnsi" w:hAnsi="Verdana" w:cs="Verdana"/>
          <w:b/>
          <w:color w:val="000000"/>
          <w:sz w:val="16"/>
          <w:szCs w:val="16"/>
          <w:lang w:eastAsia="en-US"/>
        </w:rPr>
        <w:t>24,722</w:t>
      </w:r>
      <w:r w:rsidRPr="00C176F6">
        <w:rPr>
          <w:rFonts w:ascii="Verdana" w:eastAsiaTheme="minorHAnsi" w:hAnsi="Verdana" w:cs="Verdana"/>
          <w:b/>
          <w:color w:val="000000"/>
          <w:sz w:val="16"/>
          <w:szCs w:val="16"/>
          <w:lang w:eastAsia="en-US"/>
        </w:rPr>
        <w:t xml:space="preserve"> mld zł</w:t>
      </w:r>
      <w:r w:rsidRPr="00F17202">
        <w:rPr>
          <w:rFonts w:ascii="Verdana" w:eastAsiaTheme="minorHAnsi" w:hAnsi="Verdana" w:cs="Verdana"/>
          <w:color w:val="000000"/>
          <w:sz w:val="16"/>
          <w:szCs w:val="16"/>
          <w:lang w:eastAsia="en-US"/>
        </w:rPr>
        <w:t>.</w:t>
      </w:r>
      <w:r>
        <w:rPr>
          <w:rFonts w:ascii="Verdana" w:eastAsiaTheme="minorHAnsi" w:hAnsi="Verdana" w:cs="Verdana"/>
          <w:b/>
          <w:color w:val="000000"/>
          <w:sz w:val="16"/>
          <w:szCs w:val="16"/>
          <w:lang w:eastAsia="en-US"/>
        </w:rPr>
        <w:t xml:space="preserve"> </w:t>
      </w:r>
      <w:r>
        <w:rPr>
          <w:rFonts w:ascii="Verdana" w:eastAsiaTheme="minorHAnsi" w:hAnsi="Verdana" w:cs="Verdana"/>
          <w:color w:val="000000"/>
          <w:sz w:val="16"/>
          <w:szCs w:val="16"/>
          <w:lang w:eastAsia="en-US"/>
        </w:rPr>
        <w:t>U</w:t>
      </w:r>
      <w:r>
        <w:rPr>
          <w:rFonts w:ascii="Verdana" w:hAnsi="Verdana" w:cstheme="minorHAnsi"/>
          <w:sz w:val="16"/>
          <w:szCs w:val="16"/>
        </w:rPr>
        <w:t xml:space="preserve">stalony na 2024 r. poziom wydatków bieżących </w:t>
      </w:r>
      <w:r w:rsidRPr="004A7DA9">
        <w:rPr>
          <w:rFonts w:ascii="Verdana" w:hAnsi="Verdana" w:cstheme="minorHAnsi"/>
          <w:b/>
          <w:sz w:val="16"/>
          <w:szCs w:val="16"/>
        </w:rPr>
        <w:t>zabezpiecza funkcjonowanie realizowanych zadań i polityk miejskich</w:t>
      </w:r>
      <w:r>
        <w:rPr>
          <w:rFonts w:ascii="Verdana" w:hAnsi="Verdana" w:cstheme="minorHAnsi"/>
          <w:sz w:val="16"/>
          <w:szCs w:val="16"/>
        </w:rPr>
        <w:t xml:space="preserve"> bez konieczności ich drastycznych ograniczeń z uwagi na znaczące negatywne skutki dochodowe Polskiego Ładu. </w:t>
      </w:r>
      <w:r w:rsidRPr="004A7DA9">
        <w:rPr>
          <w:rFonts w:ascii="Verdana" w:hAnsi="Verdana" w:cstheme="minorHAnsi"/>
          <w:b/>
          <w:sz w:val="16"/>
          <w:szCs w:val="16"/>
        </w:rPr>
        <w:t>Konsekwencją jest wystąpienie w 2024 r. planowanego drugi rok z rzędu po 2023 r. wysokiego deficytu budżetowego</w:t>
      </w:r>
      <w:r>
        <w:rPr>
          <w:rFonts w:ascii="Verdana" w:hAnsi="Verdana" w:cstheme="minorHAnsi"/>
          <w:sz w:val="16"/>
          <w:szCs w:val="16"/>
        </w:rPr>
        <w:t xml:space="preserve"> (4,051 mld zł w 2023 r. i 3,255 mld zł w 2024 r.) </w:t>
      </w:r>
      <w:r w:rsidRPr="004A7DA9">
        <w:rPr>
          <w:rFonts w:ascii="Verdana" w:hAnsi="Verdana" w:cstheme="minorHAnsi"/>
          <w:b/>
          <w:sz w:val="16"/>
          <w:szCs w:val="16"/>
        </w:rPr>
        <w:t>i deficytu operacyjnego</w:t>
      </w:r>
      <w:r>
        <w:rPr>
          <w:rFonts w:ascii="Verdana" w:hAnsi="Verdana" w:cstheme="minorHAnsi"/>
          <w:sz w:val="16"/>
          <w:szCs w:val="16"/>
        </w:rPr>
        <w:t xml:space="preserve"> (1,319 mld zł w 2023 r. i 809 mln zł w 2024 r.)</w:t>
      </w:r>
      <w:r>
        <w:rPr>
          <w:rFonts w:ascii="Verdana" w:eastAsiaTheme="minorHAnsi" w:hAnsi="Verdana" w:cs="Verdana"/>
          <w:color w:val="000000"/>
          <w:sz w:val="16"/>
          <w:szCs w:val="16"/>
          <w:lang w:eastAsia="en-US"/>
        </w:rPr>
        <w:t xml:space="preserve">. Utrzymanie w dłuższym okresie nierównowagi w finansowaniu wydatków stałych dochodami cyklicznymi nie jest możliwe, tak z uwagi na wymogi prawne (art. 242 i 243 ustawy o finansach publicznych), jak i uwarunkowania ekonomiczne. Nierównowaga w zakresie wyniku operacyjnego może mieć wyłącznie charakter czasowy ponieważ źródłem finansowania wydatków bieżących ponad poziom dochodów bieżących mogą być ograniczone środki wynikające z rozliczenia wykonania za lata ubiegłe i sprzedaży majątku i to też tylko do </w:t>
      </w:r>
      <w:r>
        <w:rPr>
          <w:rFonts w:ascii="Verdana" w:eastAsiaTheme="minorHAnsi" w:hAnsi="Verdana" w:cs="Verdana"/>
          <w:color w:val="000000"/>
          <w:sz w:val="16"/>
          <w:szCs w:val="16"/>
          <w:lang w:eastAsia="en-US"/>
        </w:rPr>
        <w:br/>
        <w:t>2025 r. z uwagi na uregulowania formalne (art. 242 ustawy o finansach publicznych).</w:t>
      </w:r>
      <w:r w:rsidRPr="002F0AEB">
        <w:rPr>
          <w:rFonts w:ascii="Verdana" w:hAnsi="Verdana"/>
          <w:noProof/>
          <w:sz w:val="16"/>
          <w:szCs w:val="16"/>
        </w:rPr>
        <w:t xml:space="preserve"> </w:t>
      </w:r>
      <w:r>
        <w:rPr>
          <w:rFonts w:ascii="Verdana" w:hAnsi="Verdana"/>
          <w:noProof/>
          <w:sz w:val="16"/>
          <w:szCs w:val="16"/>
        </w:rPr>
        <w:t>Ustalony budżecie</w:t>
      </w:r>
      <w:r w:rsidRPr="007D44FD">
        <w:rPr>
          <w:rFonts w:ascii="Verdana" w:hAnsi="Verdana"/>
          <w:noProof/>
          <w:sz w:val="16"/>
          <w:szCs w:val="16"/>
        </w:rPr>
        <w:t xml:space="preserve"> na </w:t>
      </w:r>
      <w:r>
        <w:rPr>
          <w:rFonts w:ascii="Verdana" w:hAnsi="Verdana"/>
          <w:noProof/>
          <w:sz w:val="16"/>
          <w:szCs w:val="16"/>
        </w:rPr>
        <w:br/>
        <w:t xml:space="preserve">2024 r. limit wydatków bieżących obejmuje już środki w wysokości </w:t>
      </w:r>
      <w:r>
        <w:rPr>
          <w:rFonts w:ascii="Verdana" w:hAnsi="Verdana"/>
          <w:b/>
          <w:noProof/>
          <w:sz w:val="16"/>
          <w:szCs w:val="16"/>
        </w:rPr>
        <w:t>405</w:t>
      </w:r>
      <w:r w:rsidRPr="00FF4034">
        <w:rPr>
          <w:rFonts w:ascii="Verdana" w:hAnsi="Verdana"/>
          <w:b/>
          <w:noProof/>
          <w:sz w:val="16"/>
          <w:szCs w:val="16"/>
        </w:rPr>
        <w:t xml:space="preserve"> mln zł</w:t>
      </w:r>
      <w:r>
        <w:rPr>
          <w:rFonts w:ascii="Verdana" w:hAnsi="Verdana"/>
          <w:noProof/>
          <w:sz w:val="16"/>
          <w:szCs w:val="16"/>
        </w:rPr>
        <w:t xml:space="preserve"> pochodzące z przewidywanych oszczędności planu wydatków bieżących w 2023 r. (kwota ta została ujętą w przychodach z tzw. wolnych środków). Ewentualne środki pochodzące z wyższych oszczędności w zakresie wydatków bieżących w 2023 r. posłużą finansowaniu wydatków bieżących w 2025 r. i latach kolejnych, w zależności od zidentyfikownych potrzeb.</w:t>
      </w:r>
    </w:p>
    <w:p w:rsidR="00CA374E" w:rsidRDefault="00CA374E" w:rsidP="00CA374E">
      <w:pPr>
        <w:tabs>
          <w:tab w:val="left" w:pos="567"/>
        </w:tabs>
        <w:spacing w:before="120" w:after="120"/>
        <w:jc w:val="both"/>
        <w:rPr>
          <w:rFonts w:ascii="Verdana" w:hAnsi="Verdana" w:cstheme="minorHAnsi"/>
          <w:sz w:val="16"/>
          <w:szCs w:val="16"/>
        </w:rPr>
      </w:pPr>
      <w:r w:rsidRPr="00094A8E">
        <w:rPr>
          <w:rFonts w:ascii="Verdana" w:hAnsi="Verdana" w:cstheme="minorHAnsi"/>
          <w:b/>
          <w:sz w:val="16"/>
          <w:szCs w:val="16"/>
        </w:rPr>
        <w:t xml:space="preserve">W sytuacji braku zmian regulacji prawnych przywracających możliwości dochodowe m.st. Warszawy sprzed Polskiego Ładu, konieczne będzie wejście w realizację </w:t>
      </w:r>
      <w:r>
        <w:rPr>
          <w:rFonts w:ascii="Verdana" w:hAnsi="Verdana" w:cstheme="minorHAnsi"/>
          <w:b/>
          <w:sz w:val="16"/>
          <w:szCs w:val="16"/>
        </w:rPr>
        <w:t>scenariusza ujętego w niniejszej</w:t>
      </w:r>
      <w:r w:rsidRPr="00094A8E">
        <w:rPr>
          <w:rFonts w:ascii="Verdana" w:hAnsi="Verdana" w:cstheme="minorHAnsi"/>
          <w:b/>
          <w:sz w:val="16"/>
          <w:szCs w:val="16"/>
        </w:rPr>
        <w:t xml:space="preserve"> WPF 2024-2050.</w:t>
      </w:r>
      <w:r>
        <w:rPr>
          <w:rFonts w:ascii="Verdana" w:hAnsi="Verdana" w:cstheme="minorHAnsi"/>
          <w:sz w:val="16"/>
          <w:szCs w:val="16"/>
        </w:rPr>
        <w:t xml:space="preserve"> Oznacza to, że w WPF nie zostały ujęte efekty ewentualnych zmian przepisów korzystnie wpływających na dochody JST. </w:t>
      </w:r>
    </w:p>
    <w:p w:rsidR="00CA374E" w:rsidRDefault="00CA374E" w:rsidP="00CA374E">
      <w:pPr>
        <w:autoSpaceDE w:val="0"/>
        <w:autoSpaceDN w:val="0"/>
        <w:adjustRightInd w:val="0"/>
        <w:spacing w:before="60" w:after="60"/>
        <w:jc w:val="both"/>
        <w:rPr>
          <w:rFonts w:ascii="Verdana" w:hAnsi="Verdana"/>
          <w:b/>
          <w:noProof/>
          <w:sz w:val="16"/>
          <w:szCs w:val="16"/>
        </w:rPr>
      </w:pPr>
      <w:r>
        <w:rPr>
          <w:rFonts w:ascii="Verdana" w:hAnsi="Verdana"/>
          <w:sz w:val="16"/>
          <w:szCs w:val="16"/>
        </w:rPr>
        <w:t xml:space="preserve">W związku z powyższym z uwagi na konieczność dostosowania poziomu wydatków bieżących do możliwych do uzyskania dochodów bieżących, przy wymogu respektowania ustawowej reguły limitu obsługi długu powiązanej </w:t>
      </w:r>
      <w:r>
        <w:rPr>
          <w:rFonts w:ascii="Verdana" w:hAnsi="Verdana"/>
          <w:sz w:val="16"/>
          <w:szCs w:val="16"/>
        </w:rPr>
        <w:br/>
        <w:t xml:space="preserve">z wysokością uzyskiwanych wyników operacyjnych (art. 243 ustawy o finansach publicznych) oraz wzrastających obciążeń budżetu spłatą długu, </w:t>
      </w:r>
      <w:r w:rsidRPr="000B1C13">
        <w:rPr>
          <w:rFonts w:ascii="Verdana" w:hAnsi="Verdana"/>
          <w:b/>
          <w:sz w:val="16"/>
          <w:szCs w:val="16"/>
        </w:rPr>
        <w:t xml:space="preserve">w średnim terminie </w:t>
      </w:r>
      <w:r>
        <w:rPr>
          <w:rFonts w:ascii="Verdana" w:hAnsi="Verdana"/>
          <w:b/>
          <w:sz w:val="16"/>
          <w:szCs w:val="16"/>
        </w:rPr>
        <w:t>konieczne może być</w:t>
      </w:r>
      <w:r w:rsidRPr="000B1C13">
        <w:rPr>
          <w:rFonts w:ascii="Verdana" w:hAnsi="Verdana"/>
          <w:b/>
          <w:sz w:val="16"/>
          <w:szCs w:val="16"/>
        </w:rPr>
        <w:t xml:space="preserve"> obniżenie limitów wydatków bieżących w stosunku do 2024 r. </w:t>
      </w:r>
      <w:r>
        <w:rPr>
          <w:rFonts w:ascii="Verdana" w:hAnsi="Verdana"/>
          <w:b/>
          <w:sz w:val="16"/>
          <w:szCs w:val="16"/>
        </w:rPr>
        <w:t>oznaczające</w:t>
      </w:r>
      <w:r w:rsidRPr="000B1C13">
        <w:rPr>
          <w:rFonts w:ascii="Verdana" w:hAnsi="Verdana"/>
          <w:b/>
          <w:sz w:val="16"/>
          <w:szCs w:val="16"/>
        </w:rPr>
        <w:t xml:space="preserve"> brak możliwości utrzymania realnego poziomu wydatków bieżących z 2024 r</w:t>
      </w:r>
      <w:r>
        <w:rPr>
          <w:rFonts w:ascii="Verdana" w:hAnsi="Verdana"/>
          <w:b/>
          <w:noProof/>
          <w:sz w:val="16"/>
          <w:szCs w:val="16"/>
        </w:rPr>
        <w:t>.</w:t>
      </w:r>
      <w:r w:rsidRPr="00AA5770">
        <w:rPr>
          <w:rFonts w:ascii="Verdana" w:hAnsi="Verdana"/>
          <w:b/>
          <w:noProof/>
          <w:sz w:val="16"/>
          <w:szCs w:val="16"/>
        </w:rPr>
        <w:t xml:space="preserve"> </w:t>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37</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PLANOWANE DLA LAT 2024-2030 LIMITY WYDATKÓW BIEŻĄCYCH W WPF 2024-2050 M.ST. WARSZAWY </w:t>
      </w:r>
      <w:r>
        <w:rPr>
          <w:rFonts w:ascii="Verdana" w:hAnsi="Verdana" w:cs="Arial"/>
          <w:b/>
          <w:bCs/>
          <w:iCs/>
          <w:sz w:val="14"/>
          <w:szCs w:val="14"/>
        </w:rPr>
        <w:br/>
        <w:t xml:space="preserve">     </w:t>
      </w:r>
      <w:r>
        <w:rPr>
          <w:rFonts w:ascii="Verdana" w:hAnsi="Verdana" w:cs="Arial"/>
          <w:bCs/>
          <w:iCs/>
          <w:sz w:val="14"/>
          <w:szCs w:val="14"/>
        </w:rPr>
        <w:t>[w mln zł]</w:t>
      </w:r>
    </w:p>
    <w:p w:rsidR="00CA374E" w:rsidRDefault="00E91E8C" w:rsidP="00CA374E">
      <w:pPr>
        <w:spacing w:before="60" w:after="60"/>
        <w:jc w:val="both"/>
        <w:rPr>
          <w:rFonts w:ascii="Verdana" w:hAnsi="Verdana" w:cs="Verdana"/>
          <w:noProof/>
          <w:sz w:val="16"/>
          <w:szCs w:val="16"/>
        </w:rPr>
      </w:pPr>
      <w:r>
        <w:rPr>
          <w:rFonts w:ascii="Verdana" w:hAnsi="Verdana" w:cs="Verdana"/>
          <w:noProof/>
          <w:sz w:val="16"/>
          <w:szCs w:val="16"/>
        </w:rPr>
        <w:pict>
          <v:shape id="_x0000_i1058" type="#_x0000_t75" style="width:407.7pt;height:192.3pt">
            <v:imagedata r:id="rId51" o:title=""/>
          </v:shape>
        </w:pict>
      </w:r>
      <w:r w:rsidR="00CA374E">
        <w:rPr>
          <w:rFonts w:ascii="Verdana" w:hAnsi="Verdana" w:cs="Verdana"/>
          <w:noProof/>
          <w:sz w:val="16"/>
          <w:szCs w:val="16"/>
        </w:rPr>
        <w:br w:type="page"/>
      </w:r>
    </w:p>
    <w:p w:rsidR="00CA374E" w:rsidRDefault="00CA374E" w:rsidP="00CA374E">
      <w:pPr>
        <w:tabs>
          <w:tab w:val="left" w:pos="567"/>
        </w:tabs>
        <w:spacing w:before="120" w:after="60" w:line="240" w:lineRule="auto"/>
        <w:ind w:left="567" w:hanging="567"/>
        <w:rPr>
          <w:rFonts w:ascii="Verdana" w:hAnsi="Verdana" w:cs="Verdana"/>
          <w:sz w:val="16"/>
          <w:szCs w:val="16"/>
        </w:rPr>
      </w:pPr>
      <w:r w:rsidRPr="00011AAA">
        <w:rPr>
          <w:rFonts w:ascii="Verdana" w:hAnsi="Verdana"/>
          <w:b/>
          <w:bCs/>
          <w:iCs/>
          <w:sz w:val="14"/>
          <w:szCs w:val="14"/>
        </w:rPr>
        <w:lastRenderedPageBreak/>
        <w:t xml:space="preserve">WYK. </w:t>
      </w:r>
      <w:r w:rsidRPr="00011AAA">
        <w:rPr>
          <w:rFonts w:ascii="Verdana" w:hAnsi="Verdana"/>
          <w:b/>
          <w:bCs/>
          <w:iCs/>
          <w:sz w:val="14"/>
          <w:szCs w:val="14"/>
        </w:rPr>
        <w:fldChar w:fldCharType="begin"/>
      </w:r>
      <w:r w:rsidRPr="00011AAA">
        <w:rPr>
          <w:rFonts w:ascii="Verdana" w:hAnsi="Verdana"/>
          <w:b/>
          <w:bCs/>
          <w:iCs/>
          <w:sz w:val="14"/>
          <w:szCs w:val="14"/>
        </w:rPr>
        <w:instrText xml:space="preserve"> SEQ Wyk. \* ARABIC </w:instrText>
      </w:r>
      <w:r w:rsidRPr="00011AAA">
        <w:rPr>
          <w:rFonts w:ascii="Verdana" w:hAnsi="Verdana"/>
          <w:b/>
          <w:bCs/>
          <w:iCs/>
          <w:sz w:val="14"/>
          <w:szCs w:val="14"/>
        </w:rPr>
        <w:fldChar w:fldCharType="separate"/>
      </w:r>
      <w:r>
        <w:rPr>
          <w:rFonts w:ascii="Verdana" w:hAnsi="Verdana"/>
          <w:b/>
          <w:bCs/>
          <w:iCs/>
          <w:noProof/>
          <w:sz w:val="14"/>
          <w:szCs w:val="14"/>
        </w:rPr>
        <w:t>38</w:t>
      </w:r>
      <w:r w:rsidRPr="00011AAA">
        <w:rPr>
          <w:rFonts w:ascii="Verdana" w:hAnsi="Verdana"/>
          <w:b/>
          <w:bCs/>
          <w:iCs/>
          <w:sz w:val="14"/>
          <w:szCs w:val="14"/>
        </w:rPr>
        <w:fldChar w:fldCharType="end"/>
      </w:r>
      <w:r w:rsidRPr="00011AAA">
        <w:rPr>
          <w:rFonts w:ascii="Verdana" w:hAnsi="Verdana"/>
          <w:b/>
          <w:bCs/>
          <w:iCs/>
          <w:sz w:val="14"/>
          <w:szCs w:val="14"/>
        </w:rPr>
        <w:t>.</w:t>
      </w:r>
      <w:r w:rsidRPr="00011AAA">
        <w:rPr>
          <w:rFonts w:ascii="Verdana" w:hAnsi="Verdana" w:cs="Arial"/>
          <w:b/>
          <w:bCs/>
          <w:iCs/>
          <w:sz w:val="14"/>
          <w:szCs w:val="14"/>
        </w:rPr>
        <w:t xml:space="preserve"> </w:t>
      </w:r>
      <w:r w:rsidRPr="00011AAA">
        <w:rPr>
          <w:b/>
          <w:bCs/>
          <w:iCs/>
          <w:sz w:val="14"/>
          <w:szCs w:val="14"/>
        </w:rPr>
        <w:t xml:space="preserve"> </w:t>
      </w:r>
      <w:r>
        <w:rPr>
          <w:rFonts w:ascii="Verdana" w:hAnsi="Verdana" w:cs="Arial"/>
          <w:b/>
          <w:bCs/>
          <w:iCs/>
          <w:sz w:val="14"/>
          <w:szCs w:val="14"/>
        </w:rPr>
        <w:t xml:space="preserve">BRAKUJĄCE W WPF 2024-2050 M.ST. WARSZAWY DLA LAT 2025-2030 KWOTY DLA UTRZYMANIA  </w:t>
      </w:r>
      <w:r>
        <w:rPr>
          <w:rFonts w:ascii="Verdana" w:hAnsi="Verdana" w:cs="Arial"/>
          <w:b/>
          <w:bCs/>
          <w:iCs/>
          <w:sz w:val="14"/>
          <w:szCs w:val="14"/>
        </w:rPr>
        <w:br/>
        <w:t xml:space="preserve">     REALNEGO POZIOMU WYDATKÓW BIEŻĄCYCH Z 2024 R. PO UWZGLĘDNIENIU INFLACJI </w:t>
      </w:r>
      <w:r>
        <w:rPr>
          <w:rFonts w:ascii="Verdana" w:hAnsi="Verdana" w:cs="Arial"/>
          <w:bCs/>
          <w:iCs/>
          <w:sz w:val="14"/>
          <w:szCs w:val="14"/>
        </w:rPr>
        <w:t>[w mln zł]</w:t>
      </w:r>
    </w:p>
    <w:p w:rsidR="00CA374E" w:rsidRDefault="00E91E8C" w:rsidP="00CA374E">
      <w:pPr>
        <w:spacing w:before="60" w:after="60"/>
        <w:jc w:val="both"/>
        <w:rPr>
          <w:rFonts w:ascii="Verdana" w:eastAsiaTheme="minorHAnsi" w:hAnsi="Verdana" w:cs="Verdana"/>
          <w:sz w:val="16"/>
          <w:szCs w:val="16"/>
          <w:lang w:eastAsia="en-US"/>
        </w:rPr>
      </w:pPr>
      <w:r>
        <w:rPr>
          <w:rFonts w:ascii="Verdana" w:hAnsi="Verdana" w:cs="Verdana"/>
          <w:noProof/>
          <w:sz w:val="16"/>
          <w:szCs w:val="16"/>
        </w:rPr>
        <w:pict>
          <v:shape id="_x0000_i1059" type="#_x0000_t75" style="width:407.7pt;height:190.2pt">
            <v:imagedata r:id="rId52" o:title=""/>
          </v:shape>
        </w:pict>
      </w:r>
    </w:p>
    <w:p w:rsidR="00CA374E" w:rsidRPr="000A6485" w:rsidRDefault="00CA374E" w:rsidP="00CA374E">
      <w:pPr>
        <w:autoSpaceDE w:val="0"/>
        <w:autoSpaceDN w:val="0"/>
        <w:adjustRightInd w:val="0"/>
        <w:spacing w:before="60" w:after="60"/>
        <w:ind w:firstLine="600"/>
        <w:jc w:val="both"/>
        <w:rPr>
          <w:rFonts w:ascii="Verdana" w:hAnsi="Verdana" w:cs="Verdana"/>
          <w:sz w:val="16"/>
          <w:szCs w:val="16"/>
          <w:lang w:eastAsia="ko-KR"/>
        </w:rPr>
      </w:pPr>
      <w:r w:rsidRPr="000A6485">
        <w:rPr>
          <w:rFonts w:ascii="Verdana" w:hAnsi="Verdana" w:cs="Verdana"/>
          <w:sz w:val="16"/>
          <w:szCs w:val="16"/>
          <w:lang w:eastAsia="ko-KR"/>
        </w:rPr>
        <w:t xml:space="preserve">Priorytetem w zakresie planowania wydatków bieżących będzie zapewnienie prawidłowego funkcjonowania obiektów i urządzeń miejskiej infrastruktury społecznej i technicznej oraz zaspokojenie bieżących potrzeb </w:t>
      </w:r>
      <w:r>
        <w:rPr>
          <w:rFonts w:ascii="Verdana" w:hAnsi="Verdana" w:cs="Verdana"/>
          <w:sz w:val="16"/>
          <w:szCs w:val="16"/>
          <w:lang w:eastAsia="ko-KR"/>
        </w:rPr>
        <w:br/>
      </w:r>
      <w:r w:rsidRPr="000A6485">
        <w:rPr>
          <w:rFonts w:ascii="Verdana" w:hAnsi="Verdana" w:cs="Verdana"/>
          <w:sz w:val="16"/>
          <w:szCs w:val="16"/>
          <w:lang w:eastAsia="ko-KR"/>
        </w:rPr>
        <w:t xml:space="preserve">w związku z realizacją zadań Miasta jako gminy i powiatu, w tym zadań powierzonych </w:t>
      </w:r>
      <w:r w:rsidRPr="000A6485">
        <w:rPr>
          <w:rFonts w:ascii="Verdana" w:hAnsi="Verdana" w:cs="Verdana"/>
          <w:sz w:val="16"/>
          <w:szCs w:val="16"/>
          <w:lang w:eastAsia="ko-KR"/>
        </w:rPr>
        <w:br/>
        <w:t>do realizacji dzielnicom. Jednocześnie w prognozie ujęto konieczność finansowania:</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obligatoryjnych wpłat do budżetu państwa z przeznaczeniem na część równoważącą subwencji ogólnej </w:t>
      </w:r>
      <w:r w:rsidRPr="000A6485">
        <w:rPr>
          <w:rFonts w:ascii="Verdana" w:hAnsi="Verdana" w:cs="Verdana"/>
          <w:sz w:val="16"/>
          <w:szCs w:val="16"/>
          <w:lang w:eastAsia="ko-KR"/>
        </w:rPr>
        <w:br/>
        <w:t>dla gmin i powiatów (</w:t>
      </w:r>
      <w:r>
        <w:rPr>
          <w:rFonts w:ascii="Verdana" w:hAnsi="Verdana" w:cs="Verdana"/>
          <w:sz w:val="16"/>
          <w:szCs w:val="16"/>
          <w:lang w:eastAsia="ko-KR"/>
        </w:rPr>
        <w:t>tzw. J</w:t>
      </w:r>
      <w:r w:rsidRPr="000A6485">
        <w:rPr>
          <w:rFonts w:ascii="Verdana" w:hAnsi="Verdana" w:cs="Verdana"/>
          <w:sz w:val="16"/>
          <w:szCs w:val="16"/>
          <w:lang w:eastAsia="ko-KR"/>
        </w:rPr>
        <w:t>anosikowe),</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Pr>
          <w:rFonts w:ascii="Verdana" w:hAnsi="Verdana" w:cs="Verdana"/>
          <w:sz w:val="16"/>
          <w:szCs w:val="16"/>
          <w:lang w:eastAsia="ko-KR"/>
        </w:rPr>
        <w:t xml:space="preserve">podwyższonych ze względu na sytuację rynkową </w:t>
      </w:r>
      <w:r w:rsidRPr="000A6485">
        <w:rPr>
          <w:rFonts w:ascii="Verdana" w:hAnsi="Verdana" w:cs="Verdana"/>
          <w:sz w:val="16"/>
          <w:szCs w:val="16"/>
          <w:lang w:eastAsia="ko-KR"/>
        </w:rPr>
        <w:t xml:space="preserve">kosztów obsługi długu w związku z zaciągniętymi </w:t>
      </w:r>
      <w:r>
        <w:rPr>
          <w:rFonts w:ascii="Verdana" w:hAnsi="Verdana" w:cs="Verdana"/>
          <w:sz w:val="16"/>
          <w:szCs w:val="16"/>
          <w:lang w:eastAsia="ko-KR"/>
        </w:rPr>
        <w:br/>
      </w:r>
      <w:r w:rsidRPr="000A6485">
        <w:rPr>
          <w:rFonts w:ascii="Verdana" w:hAnsi="Verdana" w:cs="Verdana"/>
          <w:sz w:val="16"/>
          <w:szCs w:val="16"/>
          <w:lang w:eastAsia="ko-KR"/>
        </w:rPr>
        <w:t xml:space="preserve">w poprzednich latach i planowanymi do podjęcia w latach </w:t>
      </w:r>
      <w:r>
        <w:rPr>
          <w:rFonts w:ascii="Verdana" w:hAnsi="Verdana" w:cs="Verdana"/>
          <w:sz w:val="16"/>
          <w:szCs w:val="16"/>
          <w:lang w:eastAsia="ko-KR"/>
        </w:rPr>
        <w:t>2023</w:t>
      </w:r>
      <w:r w:rsidRPr="000A6485">
        <w:rPr>
          <w:rFonts w:ascii="Verdana" w:hAnsi="Verdana" w:cs="Verdana"/>
          <w:sz w:val="16"/>
          <w:szCs w:val="16"/>
          <w:lang w:eastAsia="ko-KR"/>
        </w:rPr>
        <w:t>-20</w:t>
      </w:r>
      <w:r>
        <w:rPr>
          <w:rFonts w:ascii="Verdana" w:hAnsi="Verdana" w:cs="Verdana"/>
          <w:sz w:val="16"/>
          <w:szCs w:val="16"/>
          <w:lang w:eastAsia="ko-KR"/>
        </w:rPr>
        <w:t>27</w:t>
      </w:r>
      <w:r w:rsidRPr="000A6485">
        <w:rPr>
          <w:rFonts w:ascii="Verdana" w:hAnsi="Verdana" w:cs="Verdana"/>
          <w:sz w:val="16"/>
          <w:szCs w:val="16"/>
          <w:lang w:eastAsia="ko-KR"/>
        </w:rPr>
        <w:t xml:space="preserve"> długoterminowymi zobowiązaniami z tytułu kredytów i pożyczek oraz wyemitowanych papierów wartościowych, jak też potencjalnych spłat </w:t>
      </w:r>
      <w:r>
        <w:rPr>
          <w:rFonts w:ascii="Verdana" w:hAnsi="Verdana" w:cs="Verdana"/>
          <w:sz w:val="16"/>
          <w:szCs w:val="16"/>
          <w:lang w:eastAsia="ko-KR"/>
        </w:rPr>
        <w:br/>
      </w:r>
      <w:r w:rsidRPr="000A6485">
        <w:rPr>
          <w:rFonts w:ascii="Verdana" w:hAnsi="Verdana" w:cs="Verdana"/>
          <w:sz w:val="16"/>
          <w:szCs w:val="16"/>
          <w:lang w:eastAsia="ko-KR"/>
        </w:rPr>
        <w:t>z tytułu udzielonych przez Miasto poręczeń i gwarancji,</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zobowiązań stanowiących przedsięwzięcia wieloletnie,</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programów prospołecznych, m.in. Warszawski Bon Żłobkowy, bezpłatny pobyt i zajęcia </w:t>
      </w:r>
      <w:r w:rsidRPr="000A6485">
        <w:rPr>
          <w:rFonts w:ascii="Verdana" w:hAnsi="Verdana" w:cs="Arial"/>
          <w:iCs/>
          <w:sz w:val="16"/>
          <w:szCs w:val="16"/>
        </w:rPr>
        <w:br/>
        <w:t>dla dzieci w żłobkach i przedszkolach, bezpłatne przejazdy komunikacją miejską na podstawie Karty Młodego Warszawiaka,</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Verdana"/>
          <w:sz w:val="16"/>
          <w:szCs w:val="16"/>
          <w:lang w:eastAsia="ko-KR"/>
        </w:rPr>
        <w:t xml:space="preserve">wydatków w związku z </w:t>
      </w:r>
      <w:r>
        <w:rPr>
          <w:rFonts w:ascii="Verdana" w:hAnsi="Verdana" w:cs="Verdana"/>
          <w:sz w:val="16"/>
          <w:szCs w:val="16"/>
          <w:lang w:eastAsia="ko-KR"/>
        </w:rPr>
        <w:t>przekazywanymi</w:t>
      </w:r>
      <w:r w:rsidRPr="000A6485">
        <w:rPr>
          <w:rFonts w:ascii="Verdana" w:hAnsi="Verdana" w:cs="Verdana"/>
          <w:sz w:val="16"/>
          <w:szCs w:val="16"/>
          <w:lang w:eastAsia="ko-KR"/>
        </w:rPr>
        <w:t xml:space="preserve"> w </w:t>
      </w:r>
      <w:r>
        <w:rPr>
          <w:rFonts w:ascii="Verdana" w:hAnsi="Verdana" w:cs="Verdana"/>
          <w:sz w:val="16"/>
          <w:szCs w:val="16"/>
          <w:lang w:eastAsia="ko-KR"/>
        </w:rPr>
        <w:t>2023</w:t>
      </w:r>
      <w:r w:rsidRPr="000A6485">
        <w:rPr>
          <w:rFonts w:ascii="Verdana" w:hAnsi="Verdana" w:cs="Verdana"/>
          <w:sz w:val="16"/>
          <w:szCs w:val="16"/>
          <w:lang w:eastAsia="ko-KR"/>
        </w:rPr>
        <w:t xml:space="preserve"> r. i p</w:t>
      </w:r>
      <w:r>
        <w:rPr>
          <w:rFonts w:ascii="Verdana" w:hAnsi="Verdana" w:cs="Verdana"/>
          <w:sz w:val="16"/>
          <w:szCs w:val="16"/>
          <w:lang w:eastAsia="ko-KR"/>
        </w:rPr>
        <w:t>lanowanymi do przekazania w 2024</w:t>
      </w:r>
      <w:r w:rsidRPr="000A6485">
        <w:rPr>
          <w:rFonts w:ascii="Verdana" w:hAnsi="Verdana" w:cs="Verdana"/>
          <w:sz w:val="16"/>
          <w:szCs w:val="16"/>
          <w:lang w:eastAsia="ko-KR"/>
        </w:rPr>
        <w:t xml:space="preserve"> r. i latach następnych do użytkowania i do bieżącego utrzymania inwestycjami, w tym w szczególności w zakresie infrastruktury transportowej oraz w obszarze oświaty i kultury,</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cs="Arial"/>
          <w:iCs/>
          <w:sz w:val="16"/>
          <w:szCs w:val="16"/>
        </w:rPr>
        <w:t xml:space="preserve">wydatków </w:t>
      </w:r>
      <w:r>
        <w:rPr>
          <w:rFonts w:ascii="Verdana" w:hAnsi="Verdana" w:cs="Arial"/>
          <w:iCs/>
          <w:sz w:val="16"/>
          <w:szCs w:val="16"/>
        </w:rPr>
        <w:t>związanych z funkcjonowaniem systemu gospodarowania odpadami komunalnymi</w:t>
      </w:r>
      <w:r w:rsidRPr="000A6485">
        <w:rPr>
          <w:rFonts w:ascii="Verdana" w:hAnsi="Verdana"/>
          <w:color w:val="000000"/>
          <w:sz w:val="16"/>
          <w:szCs w:val="16"/>
        </w:rPr>
        <w:t>,</w:t>
      </w:r>
    </w:p>
    <w:p w:rsidR="00CA374E" w:rsidRPr="000A6485" w:rsidRDefault="00CA374E" w:rsidP="00CA374E">
      <w:pPr>
        <w:numPr>
          <w:ilvl w:val="0"/>
          <w:numId w:val="35"/>
        </w:numPr>
        <w:tabs>
          <w:tab w:val="clear" w:pos="720"/>
          <w:tab w:val="num" w:pos="567"/>
        </w:tabs>
        <w:autoSpaceDE w:val="0"/>
        <w:autoSpaceDN w:val="0"/>
        <w:adjustRightInd w:val="0"/>
        <w:spacing w:before="60" w:after="60"/>
        <w:ind w:left="567" w:hanging="207"/>
        <w:jc w:val="both"/>
        <w:rPr>
          <w:rFonts w:ascii="Verdana" w:hAnsi="Verdana" w:cs="Verdana"/>
          <w:sz w:val="16"/>
          <w:szCs w:val="16"/>
          <w:lang w:eastAsia="ko-KR"/>
        </w:rPr>
      </w:pPr>
      <w:r w:rsidRPr="000A6485">
        <w:rPr>
          <w:rFonts w:ascii="Verdana" w:hAnsi="Verdana"/>
          <w:sz w:val="16"/>
          <w:szCs w:val="16"/>
        </w:rPr>
        <w:t>odszkodowań za nieruchomości przejęte w latach poprzednich, w tym m.in. za nieruchomości przejęte pod drogi publiczne przed 1999 r. oraz wynikające z Dekretu z 26 października 1945 r. (tzw. Dekret Bieruta)</w:t>
      </w:r>
      <w:r w:rsidRPr="000A6485">
        <w:rPr>
          <w:rFonts w:ascii="Verdana" w:hAnsi="Verdana" w:cs="Verdana"/>
          <w:sz w:val="16"/>
          <w:szCs w:val="16"/>
          <w:lang w:eastAsia="ko-KR"/>
        </w:rPr>
        <w:t>.</w:t>
      </w:r>
    </w:p>
    <w:p w:rsidR="00CA374E" w:rsidRDefault="00CA374E" w:rsidP="00CA374E">
      <w:pPr>
        <w:spacing w:before="60" w:after="60"/>
        <w:jc w:val="both"/>
        <w:rPr>
          <w:rFonts w:ascii="Verdana" w:hAnsi="Verdana"/>
          <w:sz w:val="16"/>
          <w:szCs w:val="16"/>
        </w:rPr>
      </w:pPr>
      <w:r>
        <w:rPr>
          <w:rFonts w:ascii="Verdana" w:hAnsi="Verdana"/>
          <w:sz w:val="16"/>
          <w:szCs w:val="16"/>
        </w:rPr>
        <w:br w:type="page"/>
      </w:r>
    </w:p>
    <w:p w:rsidR="00CA374E" w:rsidRPr="000A6485" w:rsidRDefault="00CA374E" w:rsidP="00CA374E">
      <w:pPr>
        <w:spacing w:before="60" w:after="60"/>
        <w:jc w:val="both"/>
        <w:rPr>
          <w:rFonts w:ascii="Verdana" w:hAnsi="Verdana"/>
          <w:b/>
          <w:bCs/>
          <w:sz w:val="18"/>
          <w:szCs w:val="18"/>
        </w:rPr>
      </w:pPr>
      <w:r w:rsidRPr="000A6485">
        <w:rPr>
          <w:rFonts w:ascii="Verdana" w:hAnsi="Verdana"/>
          <w:b/>
          <w:bCs/>
          <w:sz w:val="18"/>
          <w:szCs w:val="18"/>
        </w:rPr>
        <w:lastRenderedPageBreak/>
        <w:t>7.3.3 Wynik zbiorczy prognozy wydatków majątkowych</w:t>
      </w:r>
    </w:p>
    <w:p w:rsidR="00CA374E" w:rsidRPr="000A6485" w:rsidRDefault="00CA374E" w:rsidP="00CA374E">
      <w:pPr>
        <w:tabs>
          <w:tab w:val="left" w:pos="0"/>
        </w:tabs>
        <w:spacing w:before="60" w:after="60"/>
        <w:ind w:firstLine="567"/>
        <w:jc w:val="both"/>
        <w:rPr>
          <w:rFonts w:ascii="Verdana" w:hAnsi="Verdana"/>
          <w:sz w:val="16"/>
          <w:szCs w:val="16"/>
        </w:rPr>
      </w:pPr>
      <w:r w:rsidRPr="000A6485">
        <w:rPr>
          <w:rFonts w:ascii="Verdana" w:hAnsi="Verdana"/>
          <w:sz w:val="16"/>
          <w:szCs w:val="16"/>
        </w:rPr>
        <w:t xml:space="preserve">Wykres </w:t>
      </w:r>
      <w:r>
        <w:rPr>
          <w:rFonts w:ascii="Verdana" w:hAnsi="Verdana"/>
          <w:sz w:val="16"/>
          <w:szCs w:val="16"/>
        </w:rPr>
        <w:t>nr 39</w:t>
      </w:r>
      <w:r w:rsidRPr="000A6485">
        <w:rPr>
          <w:rFonts w:ascii="Verdana" w:hAnsi="Verdana"/>
          <w:sz w:val="16"/>
          <w:szCs w:val="16"/>
        </w:rPr>
        <w:t xml:space="preserve"> prezentuje prognozowane wydatki majątkowe w poszczególnych latach objętych Prognozą.</w:t>
      </w:r>
    </w:p>
    <w:p w:rsidR="00CA374E" w:rsidRPr="000A6485" w:rsidRDefault="00CA374E" w:rsidP="00CA374E">
      <w:pPr>
        <w:tabs>
          <w:tab w:val="left" w:pos="567"/>
        </w:tabs>
        <w:spacing w:before="120" w:after="60"/>
        <w:ind w:left="567" w:hanging="567"/>
        <w:rPr>
          <w:rFonts w:ascii="Verdana" w:hAnsi="Verdana"/>
          <w:b/>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39</w:t>
      </w:r>
      <w:r w:rsidRPr="000A6485">
        <w:rPr>
          <w:rFonts w:ascii="Verdana" w:hAnsi="Verdana" w:cs="Arial"/>
          <w:b/>
          <w:bCs/>
          <w:sz w:val="14"/>
          <w:szCs w:val="14"/>
        </w:rPr>
        <w:fldChar w:fldCharType="end"/>
      </w:r>
      <w:r w:rsidRPr="000A6485">
        <w:rPr>
          <w:rFonts w:ascii="Verdana" w:hAnsi="Verdana" w:cs="Arial"/>
          <w:b/>
          <w:bCs/>
          <w:sz w:val="14"/>
          <w:szCs w:val="14"/>
        </w:rPr>
        <w:t xml:space="preserve">  PROGNOZA WYDATKÓW MAJĄTKO</w:t>
      </w:r>
      <w:r>
        <w:rPr>
          <w:rFonts w:ascii="Verdana" w:hAnsi="Verdana" w:cs="Arial"/>
          <w:b/>
          <w:bCs/>
          <w:sz w:val="14"/>
          <w:szCs w:val="14"/>
        </w:rPr>
        <w:t xml:space="preserve">WYCH M.ST. WARSZAWY 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p>
    <w:p w:rsidR="00CA374E" w:rsidRPr="000A6485" w:rsidRDefault="00E91E8C" w:rsidP="00CA374E">
      <w:pPr>
        <w:spacing w:before="120" w:after="120" w:line="240" w:lineRule="auto"/>
        <w:jc w:val="both"/>
        <w:rPr>
          <w:rFonts w:ascii="Verdana" w:hAnsi="Verdana"/>
          <w:noProof/>
          <w:sz w:val="16"/>
          <w:szCs w:val="16"/>
        </w:rPr>
      </w:pPr>
      <w:r>
        <w:rPr>
          <w:rFonts w:ascii="Verdana" w:hAnsi="Verdana"/>
          <w:noProof/>
          <w:sz w:val="16"/>
          <w:szCs w:val="16"/>
        </w:rPr>
        <w:pict>
          <v:shape id="_x0000_i1060" type="#_x0000_t75" style="width:458.4pt;height:223.5pt">
            <v:imagedata r:id="rId53" o:title=""/>
          </v:shape>
        </w:pict>
      </w:r>
    </w:p>
    <w:p w:rsidR="00CA374E"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Łącznie w całym okresie objętym </w:t>
      </w:r>
      <w:r>
        <w:rPr>
          <w:rFonts w:ascii="Verdana" w:hAnsi="Verdana"/>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sz w:val="16"/>
          <w:szCs w:val="16"/>
        </w:rPr>
        <w:t xml:space="preserve">-2050 na wydatki </w:t>
      </w:r>
      <w:r>
        <w:rPr>
          <w:rFonts w:ascii="Verdana" w:hAnsi="Verdana"/>
          <w:sz w:val="16"/>
          <w:szCs w:val="16"/>
        </w:rPr>
        <w:t>majątkowe (inwestycje)</w:t>
      </w:r>
      <w:r w:rsidRPr="000A6485">
        <w:rPr>
          <w:rFonts w:ascii="Verdana" w:hAnsi="Verdana"/>
          <w:sz w:val="16"/>
          <w:szCs w:val="16"/>
        </w:rPr>
        <w:t xml:space="preserve"> przeznaczono </w:t>
      </w:r>
      <w:r>
        <w:rPr>
          <w:rFonts w:ascii="Verdana" w:hAnsi="Verdana"/>
          <w:sz w:val="16"/>
          <w:szCs w:val="16"/>
        </w:rPr>
        <w:br/>
      </w:r>
      <w:r>
        <w:rPr>
          <w:rFonts w:ascii="Verdana" w:hAnsi="Verdana"/>
          <w:b/>
          <w:sz w:val="16"/>
          <w:szCs w:val="16"/>
        </w:rPr>
        <w:t>80,7</w:t>
      </w:r>
      <w:r w:rsidRPr="000A6485">
        <w:rPr>
          <w:rFonts w:ascii="Verdana" w:hAnsi="Verdana"/>
          <w:b/>
          <w:sz w:val="16"/>
          <w:szCs w:val="16"/>
        </w:rPr>
        <w:t xml:space="preserve"> mld zł</w:t>
      </w:r>
      <w:r w:rsidRPr="000A6485">
        <w:rPr>
          <w:rFonts w:ascii="Verdana" w:hAnsi="Verdana"/>
          <w:sz w:val="16"/>
          <w:szCs w:val="16"/>
        </w:rPr>
        <w:t>.</w:t>
      </w:r>
    </w:p>
    <w:p w:rsidR="00CA374E" w:rsidRDefault="00CA374E" w:rsidP="00CA374E">
      <w:pPr>
        <w:tabs>
          <w:tab w:val="left" w:pos="0"/>
        </w:tabs>
        <w:spacing w:before="120" w:after="120"/>
        <w:ind w:firstLine="567"/>
        <w:jc w:val="both"/>
        <w:rPr>
          <w:rFonts w:ascii="Verdana" w:hAnsi="Verdana"/>
          <w:sz w:val="16"/>
          <w:szCs w:val="16"/>
        </w:rPr>
      </w:pPr>
      <w:r w:rsidRPr="00C97A2D">
        <w:rPr>
          <w:rFonts w:ascii="Verdana" w:hAnsi="Verdana"/>
          <w:sz w:val="16"/>
          <w:szCs w:val="16"/>
        </w:rPr>
        <w:t>W WPF 2024-2050 nie zostały ujęte potencjalne dochody z</w:t>
      </w:r>
      <w:r>
        <w:rPr>
          <w:rFonts w:ascii="Verdana" w:hAnsi="Verdana"/>
          <w:sz w:val="16"/>
          <w:szCs w:val="16"/>
        </w:rPr>
        <w:t xml:space="preserve"> Krajowego Planu Odbudowy,</w:t>
      </w:r>
      <w:r w:rsidRPr="00A63A52">
        <w:rPr>
          <w:rFonts w:ascii="Verdana" w:hAnsi="Verdana"/>
          <w:sz w:val="16"/>
          <w:szCs w:val="16"/>
        </w:rPr>
        <w:t xml:space="preserve"> </w:t>
      </w:r>
      <w:r w:rsidRPr="00C97A2D">
        <w:rPr>
          <w:rFonts w:ascii="Verdana" w:hAnsi="Verdana"/>
          <w:sz w:val="16"/>
          <w:szCs w:val="16"/>
        </w:rPr>
        <w:t>z uwagi na brak szczegółowych informacji i decyzji w tym zakresie</w:t>
      </w:r>
      <w:r>
        <w:rPr>
          <w:rFonts w:ascii="Verdana" w:hAnsi="Verdana"/>
          <w:sz w:val="16"/>
          <w:szCs w:val="16"/>
        </w:rPr>
        <w:t>. Uw</w:t>
      </w:r>
      <w:r w:rsidRPr="00C97A2D">
        <w:rPr>
          <w:rFonts w:ascii="Verdana" w:hAnsi="Verdana"/>
          <w:sz w:val="16"/>
          <w:szCs w:val="16"/>
        </w:rPr>
        <w:t xml:space="preserve">zględniono niewielkie środki z nowej perspektywy Unii Europejskiej. W miarę formalnego pozyskiwania środków z powyższych tytułów będą one uwzględniane </w:t>
      </w:r>
      <w:r w:rsidRPr="00C97A2D">
        <w:rPr>
          <w:rFonts w:ascii="Verdana" w:hAnsi="Verdana"/>
          <w:sz w:val="16"/>
          <w:szCs w:val="16"/>
        </w:rPr>
        <w:br/>
        <w:t xml:space="preserve">w Wieloletniej Prognozie Finansowej m.st. Warszawy. W ramach „Rządowego programu wsparcia rozwoju miasta stołecznego Warszawy na lata 2023-2030” o wartości 3 mld zł, w budżetach na rok 2023 i rok 2024 oraz w WPF edycji 2023 i 2024 ujęto dotąd środki w łącznej wysokości 15,5 mln zł, z tego 5 mln zł w 2023 r. i 10,5 mln zł </w:t>
      </w:r>
      <w:r w:rsidRPr="00C97A2D">
        <w:rPr>
          <w:rFonts w:ascii="Verdana" w:hAnsi="Verdana"/>
          <w:sz w:val="16"/>
          <w:szCs w:val="16"/>
        </w:rPr>
        <w:br/>
        <w:t>w 2024 r., przeznaczone na dofinansowanie realizacji inwestycji pn. "Budowa przedszkola w rejonie ulicy Krakowiaków" (9,6 mln zł) oraz "Modernizacja Parku Skaryszewskiego" (5,9 mln zł).</w:t>
      </w:r>
    </w:p>
    <w:p w:rsidR="00CA374E" w:rsidRPr="000A6485" w:rsidRDefault="00CA374E" w:rsidP="00CA374E">
      <w:pPr>
        <w:spacing w:before="60" w:after="60"/>
        <w:ind w:firstLine="567"/>
        <w:jc w:val="both"/>
        <w:rPr>
          <w:rFonts w:ascii="Verdana" w:hAnsi="Verdana"/>
          <w:sz w:val="16"/>
          <w:szCs w:val="16"/>
        </w:rPr>
      </w:pPr>
      <w:r w:rsidRPr="001925BC">
        <w:rPr>
          <w:rFonts w:ascii="Verdana" w:eastAsiaTheme="minorHAnsi" w:hAnsi="Verdana" w:cs="Verdana"/>
          <w:b/>
          <w:bCs/>
          <w:sz w:val="16"/>
          <w:szCs w:val="16"/>
          <w:lang w:eastAsia="en-US"/>
        </w:rPr>
        <w:t>Ogólny</w:t>
      </w:r>
      <w:r w:rsidRPr="005D38F6">
        <w:rPr>
          <w:rFonts w:ascii="Verdana" w:eastAsiaTheme="minorHAnsi" w:hAnsi="Verdana" w:cs="Verdana"/>
          <w:b/>
          <w:bCs/>
          <w:sz w:val="16"/>
          <w:szCs w:val="16"/>
          <w:lang w:eastAsia="en-US"/>
        </w:rPr>
        <w:t xml:space="preserve"> poziom programu inwestycyjnego </w:t>
      </w:r>
      <w:r>
        <w:rPr>
          <w:rFonts w:ascii="Verdana" w:eastAsiaTheme="minorHAnsi" w:hAnsi="Verdana" w:cs="Verdana"/>
          <w:b/>
          <w:bCs/>
          <w:sz w:val="16"/>
          <w:szCs w:val="16"/>
          <w:lang w:eastAsia="en-US"/>
        </w:rPr>
        <w:t xml:space="preserve">zawarty w WPF 2024-2050 </w:t>
      </w:r>
      <w:r w:rsidRPr="005D38F6">
        <w:rPr>
          <w:rFonts w:ascii="Verdana" w:eastAsiaTheme="minorHAnsi" w:hAnsi="Verdana" w:cs="Verdana"/>
          <w:b/>
          <w:bCs/>
          <w:sz w:val="16"/>
          <w:szCs w:val="16"/>
          <w:lang w:eastAsia="en-US"/>
        </w:rPr>
        <w:t xml:space="preserve">nie ulega </w:t>
      </w:r>
      <w:r>
        <w:rPr>
          <w:rFonts w:ascii="Verdana" w:eastAsiaTheme="minorHAnsi" w:hAnsi="Verdana" w:cs="Verdana"/>
          <w:b/>
          <w:bCs/>
          <w:sz w:val="16"/>
          <w:szCs w:val="16"/>
          <w:lang w:eastAsia="en-US"/>
        </w:rPr>
        <w:t xml:space="preserve">zasadniczej </w:t>
      </w:r>
      <w:r w:rsidRPr="005D38F6">
        <w:rPr>
          <w:rFonts w:ascii="Verdana" w:eastAsiaTheme="minorHAnsi" w:hAnsi="Verdana" w:cs="Verdana"/>
          <w:b/>
          <w:bCs/>
          <w:sz w:val="16"/>
          <w:szCs w:val="16"/>
          <w:lang w:eastAsia="en-US"/>
        </w:rPr>
        <w:t>zmianie</w:t>
      </w:r>
      <w:r>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w stosunku do </w:t>
      </w:r>
      <w:r>
        <w:rPr>
          <w:rFonts w:ascii="Verdana" w:eastAsiaTheme="minorHAnsi" w:hAnsi="Verdana" w:cs="Verdana"/>
          <w:b/>
          <w:bCs/>
          <w:sz w:val="16"/>
          <w:szCs w:val="16"/>
          <w:lang w:eastAsia="en-US"/>
        </w:rPr>
        <w:t>WPF</w:t>
      </w:r>
      <w:r w:rsidRPr="005D38F6">
        <w:rPr>
          <w:rFonts w:ascii="Verdana" w:eastAsiaTheme="minorHAnsi" w:hAnsi="Verdana" w:cs="Verdana"/>
          <w:b/>
          <w:bCs/>
          <w:sz w:val="16"/>
          <w:szCs w:val="16"/>
          <w:lang w:eastAsia="en-US"/>
        </w:rPr>
        <w:t xml:space="preserve"> edycji </w:t>
      </w:r>
      <w:r>
        <w:rPr>
          <w:rFonts w:ascii="Verdana" w:eastAsiaTheme="minorHAnsi" w:hAnsi="Verdana" w:cs="Verdana"/>
          <w:b/>
          <w:bCs/>
          <w:sz w:val="16"/>
          <w:szCs w:val="16"/>
          <w:lang w:eastAsia="en-US"/>
        </w:rPr>
        <w:t>2023</w:t>
      </w:r>
      <w:r w:rsidRPr="005D38F6">
        <w:rPr>
          <w:rFonts w:ascii="Verdana" w:eastAsiaTheme="minorHAnsi" w:hAnsi="Verdana" w:cs="Verdana"/>
          <w:b/>
          <w:bCs/>
          <w:sz w:val="16"/>
          <w:szCs w:val="16"/>
          <w:lang w:eastAsia="en-US"/>
        </w:rPr>
        <w:t>-2050</w:t>
      </w:r>
      <w:r>
        <w:rPr>
          <w:rFonts w:ascii="Verdana" w:eastAsiaTheme="minorHAnsi" w:hAnsi="Verdana" w:cs="Verdana"/>
          <w:b/>
          <w:bCs/>
          <w:sz w:val="16"/>
          <w:szCs w:val="16"/>
          <w:lang w:eastAsia="en-US"/>
        </w:rPr>
        <w:t xml:space="preserve"> (8,2% podwyższenie limitów inwestycyjnych łącznie w latach 2024-2027),</w:t>
      </w:r>
      <w:r w:rsidRPr="00ED4BB6">
        <w:rPr>
          <w:rFonts w:ascii="Verdana" w:eastAsiaTheme="minorHAnsi" w:hAnsi="Verdana" w:cs="Verdana"/>
          <w:b/>
          <w:bCs/>
          <w:sz w:val="16"/>
          <w:szCs w:val="16"/>
          <w:lang w:eastAsia="en-US"/>
        </w:rPr>
        <w:t xml:space="preserve"> </w:t>
      </w:r>
      <w:r w:rsidRPr="005D38F6">
        <w:rPr>
          <w:rFonts w:ascii="Verdana" w:eastAsiaTheme="minorHAnsi" w:hAnsi="Verdana" w:cs="Verdana"/>
          <w:b/>
          <w:bCs/>
          <w:sz w:val="16"/>
          <w:szCs w:val="16"/>
          <w:lang w:eastAsia="en-US"/>
        </w:rPr>
        <w:t xml:space="preserve">z tym że modyfikacji podlega rozkład nakładów w latach zdeterminowany zmianami w harmonogramach realizacji inwestycji. </w:t>
      </w:r>
      <w:r>
        <w:rPr>
          <w:rFonts w:ascii="Verdana" w:eastAsiaTheme="minorHAnsi" w:hAnsi="Verdana" w:cs="Verdana"/>
          <w:b/>
          <w:bCs/>
          <w:sz w:val="16"/>
          <w:szCs w:val="16"/>
          <w:lang w:eastAsia="en-US"/>
        </w:rPr>
        <w:t>W konsekwencji ograniczeń dochodowych możliwe jest przeznaczenie w latach 2028-2030 na nakłady inwestycyjne od 3,5% do 4,9% wydatków. W kolejnych latach planowane jest sukcesywne zwiększanie poziomu finansowania inwestycji, aczkolwiek do poziomu nie przekraczającego 8,2% ogółu wydatków.</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sz w:val="16"/>
          <w:szCs w:val="16"/>
        </w:rPr>
        <w:t xml:space="preserve">Prognozuje się, iż </w:t>
      </w:r>
      <w:r>
        <w:rPr>
          <w:rFonts w:ascii="Verdana" w:hAnsi="Verdana"/>
          <w:sz w:val="16"/>
          <w:szCs w:val="16"/>
        </w:rPr>
        <w:t xml:space="preserve">w okresie WPF </w:t>
      </w:r>
      <w:r w:rsidRPr="008F3935">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 xml:space="preserve"> </w:t>
      </w:r>
      <w:r w:rsidRPr="000A6485">
        <w:rPr>
          <w:rFonts w:ascii="Verdana" w:hAnsi="Verdana"/>
          <w:sz w:val="16"/>
          <w:szCs w:val="16"/>
        </w:rPr>
        <w:t>dofinansowanie z budżetu Unii Europejskiej z perspektywy finanso</w:t>
      </w:r>
      <w:r>
        <w:rPr>
          <w:rFonts w:ascii="Verdana" w:hAnsi="Verdana"/>
          <w:sz w:val="16"/>
          <w:szCs w:val="16"/>
        </w:rPr>
        <w:t>wej obejmującej lata 2014-2020</w:t>
      </w:r>
      <w:r w:rsidRPr="000A6485">
        <w:rPr>
          <w:rFonts w:ascii="Verdana" w:hAnsi="Verdana"/>
          <w:sz w:val="16"/>
          <w:szCs w:val="16"/>
        </w:rPr>
        <w:t xml:space="preserve"> do inwestycji realizowanych przez m.st. Warszawa wyniesie </w:t>
      </w:r>
      <w:r>
        <w:rPr>
          <w:rFonts w:ascii="Verdana" w:hAnsi="Verdana"/>
          <w:sz w:val="16"/>
          <w:szCs w:val="16"/>
        </w:rPr>
        <w:br/>
      </w:r>
      <w:r>
        <w:rPr>
          <w:rFonts w:ascii="Verdana" w:hAnsi="Verdana"/>
          <w:b/>
          <w:sz w:val="16"/>
          <w:szCs w:val="16"/>
        </w:rPr>
        <w:t>423,2</w:t>
      </w:r>
      <w:r w:rsidRPr="000A6485">
        <w:rPr>
          <w:rFonts w:ascii="Verdana" w:hAnsi="Verdana"/>
          <w:b/>
          <w:sz w:val="16"/>
          <w:szCs w:val="16"/>
        </w:rPr>
        <w:t xml:space="preserve"> </w:t>
      </w:r>
      <w:r>
        <w:rPr>
          <w:rFonts w:ascii="Verdana" w:hAnsi="Verdana"/>
          <w:b/>
          <w:sz w:val="16"/>
          <w:szCs w:val="16"/>
        </w:rPr>
        <w:t xml:space="preserve">mln </w:t>
      </w:r>
      <w:r w:rsidRPr="000A6485">
        <w:rPr>
          <w:rFonts w:ascii="Verdana" w:hAnsi="Verdana"/>
          <w:b/>
          <w:sz w:val="16"/>
          <w:szCs w:val="16"/>
        </w:rPr>
        <w:t>zł</w:t>
      </w:r>
      <w:r>
        <w:rPr>
          <w:rFonts w:ascii="Verdana" w:hAnsi="Verdana"/>
          <w:sz w:val="16"/>
          <w:szCs w:val="16"/>
        </w:rPr>
        <w:t xml:space="preserve"> (w tym refundacja wydatków poniesionych przed 2024 r.)</w:t>
      </w:r>
      <w:r w:rsidRPr="000A6485">
        <w:rPr>
          <w:rFonts w:ascii="Verdana" w:hAnsi="Verdana"/>
          <w:sz w:val="16"/>
          <w:szCs w:val="16"/>
        </w:rPr>
        <w:t xml:space="preserve">. Całkowita wartość projektów </w:t>
      </w:r>
      <w:r>
        <w:rPr>
          <w:rFonts w:ascii="Verdana" w:hAnsi="Verdana"/>
          <w:sz w:val="16"/>
          <w:szCs w:val="16"/>
        </w:rPr>
        <w:t xml:space="preserve">inwestycyjnych </w:t>
      </w:r>
      <w:r w:rsidRPr="000A6485">
        <w:rPr>
          <w:rFonts w:ascii="Verdana" w:hAnsi="Verdana"/>
          <w:sz w:val="16"/>
          <w:szCs w:val="16"/>
        </w:rPr>
        <w:t>dofinansowywanych ze środków unijnych (wkład własny i unijny)</w:t>
      </w:r>
      <w:r>
        <w:rPr>
          <w:rFonts w:ascii="Verdana" w:hAnsi="Verdana"/>
          <w:sz w:val="16"/>
          <w:szCs w:val="16"/>
        </w:rPr>
        <w:t xml:space="preserve">, w latach objętych WPF </w:t>
      </w:r>
      <w:r w:rsidRPr="008F3935">
        <w:rPr>
          <w:rFonts w:ascii="Verdana" w:eastAsiaTheme="minorEastAsia" w:hAnsi="Verdana" w:cs="Verdana"/>
          <w:color w:val="000000"/>
          <w:sz w:val="16"/>
          <w:szCs w:val="16"/>
        </w:rPr>
        <w:t>2024</w:t>
      </w:r>
      <w:r w:rsidRPr="000A6485">
        <w:rPr>
          <w:rFonts w:ascii="Verdana" w:hAnsi="Verdana"/>
          <w:sz w:val="16"/>
          <w:szCs w:val="16"/>
        </w:rPr>
        <w:t>-2050</w:t>
      </w:r>
      <w:r>
        <w:rPr>
          <w:rFonts w:ascii="Verdana" w:hAnsi="Verdana"/>
          <w:sz w:val="16"/>
          <w:szCs w:val="16"/>
        </w:rPr>
        <w:t>,</w:t>
      </w:r>
      <w:r w:rsidRPr="000A6485">
        <w:rPr>
          <w:rFonts w:ascii="Verdana" w:hAnsi="Verdana"/>
          <w:sz w:val="16"/>
          <w:szCs w:val="16"/>
        </w:rPr>
        <w:t xml:space="preserve"> wyniesie </w:t>
      </w:r>
      <w:r>
        <w:rPr>
          <w:rFonts w:ascii="Verdana" w:hAnsi="Verdana"/>
          <w:b/>
          <w:sz w:val="16"/>
          <w:szCs w:val="16"/>
        </w:rPr>
        <w:t>97,6 mln</w:t>
      </w:r>
      <w:r w:rsidRPr="000A6485">
        <w:rPr>
          <w:rFonts w:ascii="Verdana" w:hAnsi="Verdana"/>
          <w:b/>
          <w:sz w:val="16"/>
          <w:szCs w:val="16"/>
        </w:rPr>
        <w:t xml:space="preserve"> zł</w:t>
      </w:r>
      <w:r w:rsidRPr="000A6485">
        <w:rPr>
          <w:rFonts w:ascii="Verdana" w:hAnsi="Verdana"/>
          <w:sz w:val="16"/>
          <w:szCs w:val="16"/>
        </w:rPr>
        <w:t>.</w:t>
      </w:r>
    </w:p>
    <w:p w:rsidR="00CA374E" w:rsidRPr="00AB4645" w:rsidRDefault="00CA374E" w:rsidP="00CA374E">
      <w:pPr>
        <w:spacing w:before="60" w:after="60"/>
        <w:ind w:firstLine="567"/>
        <w:jc w:val="both"/>
        <w:rPr>
          <w:rFonts w:ascii="Verdana" w:hAnsi="Verdana"/>
          <w:sz w:val="16"/>
          <w:szCs w:val="16"/>
        </w:rPr>
      </w:pPr>
      <w:r w:rsidRPr="00AB4645">
        <w:rPr>
          <w:rFonts w:ascii="Verdana" w:hAnsi="Verdana"/>
          <w:sz w:val="16"/>
          <w:szCs w:val="16"/>
        </w:rPr>
        <w:t>Koncentracja nakładów inwestycyjnych zakładana jest na lata 2024-2027. W okresie tym planuje się realizację szeregu kluczowych programów i inwestycji, tj.:</w:t>
      </w:r>
    </w:p>
    <w:p w:rsidR="00CA374E" w:rsidRPr="00AB4645" w:rsidRDefault="00CA374E" w:rsidP="00CA374E">
      <w:pPr>
        <w:spacing w:before="60" w:after="60"/>
        <w:jc w:val="both"/>
        <w:rPr>
          <w:rFonts w:ascii="Verdana" w:hAnsi="Verdana"/>
          <w:i/>
          <w:sz w:val="16"/>
          <w:szCs w:val="16"/>
        </w:rPr>
      </w:pPr>
      <w:r w:rsidRPr="00AB4645">
        <w:rPr>
          <w:rFonts w:ascii="Verdana" w:hAnsi="Verdana"/>
          <w:i/>
          <w:sz w:val="16"/>
          <w:szCs w:val="16"/>
        </w:rPr>
        <w:t>programy</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„Walka ze smogiem”,</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lastRenderedPageBreak/>
        <w:t>przebudowa, rozbudowa lub modernizacja ulic,</w:t>
      </w:r>
      <w:r w:rsidRPr="00AB4645">
        <w:rPr>
          <w:rFonts w:ascii="Verdana" w:hAnsi="Verdana"/>
          <w:b/>
          <w:noProof/>
          <w:sz w:val="16"/>
          <w:szCs w:val="16"/>
        </w:rPr>
        <w:t xml:space="preserve"> </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program poprawy bezpieczeństwa ruchu drogowego,</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i modernizacja zasobu komunalnego (nowe budynki komunalne, doposażenie w ciepło sieciowe, windy, rewitalizacja i modernizacja istniejącego zasobu),</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przebudowa lub modernizacja żłobków, przedszkoli i szkół,</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rozwój infrastruktury w zakresie opieki społecznej,</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przebudowa, rozbudowa lub modernizacja szpitali i przychodni,</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centrów lokalnych – bazary, skwery, centra kulturalne,</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 xml:space="preserve">tworzenie i rewitalizacja terenów zieleni oraz miejsc sportu i rekreacji, </w:t>
      </w:r>
    </w:p>
    <w:p w:rsidR="00CA374E" w:rsidRPr="00AB4645" w:rsidRDefault="00CA374E" w:rsidP="00CA374E">
      <w:pPr>
        <w:pStyle w:val="Akapitzlist"/>
        <w:spacing w:before="60" w:after="60"/>
        <w:ind w:left="0"/>
        <w:contextualSpacing w:val="0"/>
        <w:jc w:val="both"/>
        <w:rPr>
          <w:rFonts w:ascii="Verdana" w:hAnsi="Verdana" w:cs="Arial"/>
          <w:i/>
          <w:iCs/>
          <w:sz w:val="16"/>
          <w:szCs w:val="16"/>
        </w:rPr>
      </w:pPr>
      <w:r w:rsidRPr="00AB4645">
        <w:rPr>
          <w:rFonts w:ascii="Verdana" w:hAnsi="Verdana" w:cs="Arial"/>
          <w:i/>
          <w:iCs/>
          <w:sz w:val="16"/>
          <w:szCs w:val="16"/>
        </w:rPr>
        <w:t>inwestycje</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rozbudowa II linii metra,</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budowa Muzeum Sztuki Nowoczesnej,</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modernizacja Sali Kongresowej w budynku Pałacu Kultury i Nauki</w:t>
      </w:r>
      <w:r w:rsidRPr="00AB4645">
        <w:rPr>
          <w:rFonts w:ascii="Verdana" w:hAnsi="Verdana" w:cs="Arial"/>
          <w:iCs/>
          <w:sz w:val="16"/>
          <w:szCs w:val="16"/>
        </w:rPr>
        <w:t xml:space="preserve">, </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przebudowa części nawierzchni Placu Defilad</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iCs/>
          <w:sz w:val="16"/>
          <w:szCs w:val="16"/>
        </w:rPr>
        <w:t>Europejskie Centrum Muzyki Sinfonia Varsovia - modernizacja zabytkowych obiektów oraz budowa sali koncertowej,</w:t>
      </w:r>
    </w:p>
    <w:p w:rsidR="00CA374E" w:rsidRPr="00AB4645"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AB4645">
        <w:rPr>
          <w:rFonts w:ascii="Verdana" w:hAnsi="Verdana" w:cs="Arial"/>
          <w:sz w:val="16"/>
          <w:szCs w:val="16"/>
        </w:rPr>
        <w:t xml:space="preserve">budowa </w:t>
      </w:r>
      <w:r>
        <w:rPr>
          <w:rFonts w:ascii="Verdana" w:hAnsi="Verdana" w:cs="Arial"/>
          <w:sz w:val="16"/>
          <w:szCs w:val="16"/>
        </w:rPr>
        <w:t>mostu pieszo-rowerowego</w:t>
      </w:r>
      <w:r w:rsidRPr="00AB4645">
        <w:rPr>
          <w:rFonts w:ascii="Verdana" w:hAnsi="Verdana" w:cs="Arial"/>
          <w:sz w:val="16"/>
          <w:szCs w:val="16"/>
        </w:rPr>
        <w:t xml:space="preserve"> nad Wisłą,</w:t>
      </w:r>
    </w:p>
    <w:p w:rsidR="00CA374E" w:rsidRPr="00F504D8" w:rsidRDefault="00CA374E" w:rsidP="00CA374E">
      <w:pPr>
        <w:pStyle w:val="Akapitzlist"/>
        <w:numPr>
          <w:ilvl w:val="0"/>
          <w:numId w:val="25"/>
        </w:numPr>
        <w:spacing w:before="40" w:after="40"/>
        <w:ind w:left="567" w:hanging="210"/>
        <w:contextualSpacing w:val="0"/>
        <w:jc w:val="both"/>
        <w:rPr>
          <w:rFonts w:ascii="Verdana" w:hAnsi="Verdana" w:cs="Arial"/>
          <w:iCs/>
          <w:sz w:val="16"/>
          <w:szCs w:val="16"/>
        </w:rPr>
      </w:pPr>
      <w:r w:rsidRPr="00481026">
        <w:rPr>
          <w:rFonts w:ascii="Verdana" w:hAnsi="Verdana" w:cs="Arial"/>
          <w:sz w:val="16"/>
          <w:szCs w:val="16"/>
        </w:rPr>
        <w:t>Nowe Centrum Warszawy (obszar ul. Chmielnej)</w:t>
      </w:r>
      <w:r>
        <w:rPr>
          <w:rFonts w:ascii="Verdana" w:hAnsi="Verdana" w:cs="Arial"/>
          <w:sz w:val="16"/>
          <w:szCs w:val="16"/>
        </w:rPr>
        <w:t>.</w:t>
      </w:r>
    </w:p>
    <w:p w:rsidR="00CA374E" w:rsidRPr="000A6485" w:rsidRDefault="00CA374E" w:rsidP="00CA374E">
      <w:pPr>
        <w:spacing w:before="60" w:after="60"/>
        <w:ind w:firstLine="540"/>
        <w:jc w:val="both"/>
        <w:rPr>
          <w:rFonts w:ascii="Verdana" w:hAnsi="Verdana" w:cs="Arial"/>
          <w:sz w:val="16"/>
          <w:szCs w:val="16"/>
        </w:rPr>
      </w:pPr>
      <w:r w:rsidRPr="000A6485">
        <w:rPr>
          <w:rFonts w:ascii="Verdana" w:hAnsi="Verdana" w:cs="Arial"/>
          <w:sz w:val="16"/>
          <w:szCs w:val="16"/>
        </w:rPr>
        <w:t>Przedsięwzięcia inwestycyjne zostały zaprezentowane w układzie programów obejmujących przedsięwzięcia ogólnomiejskie realizowane przez jednostki miejskie i biura Urzędu m.st. Warszawy oraz przedsięwzięcia dzielnicowe, zaplanowane i rekomendowane do realizacji (w ramach przyznanych limitów finansowych) przez zarządy i rady poszczególnych dzielnic.</w:t>
      </w:r>
    </w:p>
    <w:p w:rsidR="00CA374E" w:rsidRPr="000A6485" w:rsidRDefault="00CA374E" w:rsidP="00CA374E">
      <w:pPr>
        <w:spacing w:before="60" w:after="60"/>
        <w:ind w:firstLine="540"/>
        <w:jc w:val="both"/>
        <w:rPr>
          <w:rFonts w:ascii="Verdana" w:hAnsi="Verdana" w:cs="Arial"/>
          <w:sz w:val="18"/>
          <w:szCs w:val="18"/>
        </w:rPr>
      </w:pPr>
      <w:r w:rsidRPr="000A6485">
        <w:rPr>
          <w:rFonts w:ascii="Verdana" w:hAnsi="Verdana" w:cs="Arial"/>
          <w:sz w:val="16"/>
          <w:szCs w:val="16"/>
        </w:rPr>
        <w:t>W dokumencie ujęto przedsięwzięcia realizowane i planowane do realizacji przy współfinansowaniu środkami Unii Europejskiej oraz innych źródeł pomocowych.</w:t>
      </w:r>
      <w:r w:rsidRPr="000A6485">
        <w:rPr>
          <w:rFonts w:ascii="Verdana" w:hAnsi="Verdana" w:cs="Arial"/>
          <w:sz w:val="18"/>
          <w:szCs w:val="18"/>
        </w:rPr>
        <w:t xml:space="preserve">  </w:t>
      </w:r>
    </w:p>
    <w:p w:rsidR="00CA374E" w:rsidRPr="000A6485" w:rsidRDefault="00CA374E" w:rsidP="00CA374E">
      <w:pPr>
        <w:spacing w:before="240" w:after="240" w:line="240" w:lineRule="auto"/>
        <w:ind w:left="425" w:hanging="425"/>
        <w:rPr>
          <w:rFonts w:ascii="Verdana" w:hAnsi="Verdana"/>
          <w:b/>
          <w:bCs/>
          <w:sz w:val="22"/>
          <w:szCs w:val="22"/>
        </w:rPr>
      </w:pPr>
      <w:r w:rsidRPr="000A6485">
        <w:rPr>
          <w:rFonts w:ascii="Verdana" w:hAnsi="Verdana"/>
          <w:b/>
          <w:bCs/>
          <w:sz w:val="22"/>
          <w:szCs w:val="22"/>
        </w:rPr>
        <w:t>8.  Wypełnienie ustawowych norm ostrożnościowych w Wieloletniej Prognoz</w:t>
      </w:r>
      <w:r>
        <w:rPr>
          <w:rFonts w:ascii="Verdana" w:hAnsi="Verdana"/>
          <w:b/>
          <w:bCs/>
          <w:sz w:val="22"/>
          <w:szCs w:val="22"/>
        </w:rPr>
        <w:t>ie</w:t>
      </w:r>
      <w:r w:rsidRPr="000A6485">
        <w:rPr>
          <w:rFonts w:ascii="Verdana" w:hAnsi="Verdana"/>
          <w:b/>
          <w:bCs/>
          <w:sz w:val="22"/>
          <w:szCs w:val="22"/>
        </w:rPr>
        <w:t xml:space="preserve"> Finansowej m.st. Warszawy </w:t>
      </w:r>
      <w:r>
        <w:rPr>
          <w:rFonts w:ascii="Verdana" w:hAnsi="Verdana"/>
          <w:b/>
          <w:bCs/>
          <w:sz w:val="22"/>
          <w:szCs w:val="22"/>
        </w:rPr>
        <w:t xml:space="preserve">na lata </w:t>
      </w:r>
      <w:r w:rsidRPr="008F3935">
        <w:rPr>
          <w:rFonts w:ascii="Verdana" w:hAnsi="Verdana"/>
          <w:b/>
          <w:bCs/>
          <w:sz w:val="22"/>
          <w:szCs w:val="22"/>
        </w:rPr>
        <w:t>2024</w:t>
      </w:r>
      <w:r w:rsidRPr="000A6485">
        <w:rPr>
          <w:rFonts w:ascii="Verdana" w:hAnsi="Verdana"/>
          <w:b/>
          <w:bCs/>
          <w:sz w:val="22"/>
          <w:szCs w:val="22"/>
        </w:rPr>
        <w:t>-2050</w:t>
      </w:r>
    </w:p>
    <w:p w:rsidR="00CA374E" w:rsidRPr="000A6485" w:rsidRDefault="00CA374E" w:rsidP="00CA374E">
      <w:pPr>
        <w:spacing w:before="120" w:after="120"/>
        <w:rPr>
          <w:rFonts w:ascii="Verdana" w:hAnsi="Verdana"/>
          <w:b/>
          <w:bCs/>
          <w:sz w:val="20"/>
          <w:szCs w:val="20"/>
        </w:rPr>
      </w:pPr>
      <w:r w:rsidRPr="000A6485">
        <w:rPr>
          <w:rFonts w:ascii="Verdana" w:hAnsi="Verdana"/>
          <w:b/>
          <w:bCs/>
          <w:sz w:val="20"/>
          <w:szCs w:val="20"/>
        </w:rPr>
        <w:t>8.1 Reguła wydatkowa w zakresie wydatków bieżących</w:t>
      </w:r>
    </w:p>
    <w:p w:rsidR="00CA374E" w:rsidRPr="000A6485" w:rsidRDefault="00CA374E" w:rsidP="00CA374E">
      <w:pPr>
        <w:spacing w:before="60" w:after="60"/>
        <w:ind w:firstLine="567"/>
        <w:jc w:val="both"/>
        <w:rPr>
          <w:rFonts w:ascii="Verdana" w:hAnsi="Verdana"/>
          <w:sz w:val="16"/>
          <w:szCs w:val="16"/>
        </w:rPr>
      </w:pPr>
      <w:r w:rsidRPr="000A6485">
        <w:rPr>
          <w:rFonts w:ascii="Verdana" w:hAnsi="Verdana" w:cs="Arial"/>
          <w:bCs/>
          <w:sz w:val="16"/>
          <w:szCs w:val="16"/>
        </w:rPr>
        <w:t>Szczegółowo reguła została omówiona w pkt 4.1.1.</w:t>
      </w:r>
    </w:p>
    <w:p w:rsidR="00CA374E" w:rsidRDefault="00CA374E" w:rsidP="00CA374E">
      <w:pPr>
        <w:spacing w:before="60" w:after="60"/>
        <w:ind w:firstLine="540"/>
        <w:jc w:val="both"/>
        <w:rPr>
          <w:rFonts w:ascii="Verdana" w:hAnsi="Verdana"/>
          <w:sz w:val="16"/>
          <w:szCs w:val="16"/>
        </w:rPr>
      </w:pPr>
      <w:r w:rsidRPr="000A6485">
        <w:rPr>
          <w:rFonts w:ascii="Verdana" w:hAnsi="Verdana" w:cs="Arial"/>
          <w:sz w:val="16"/>
          <w:szCs w:val="16"/>
        </w:rPr>
        <w:t>U</w:t>
      </w:r>
      <w:r w:rsidRPr="000A6485">
        <w:rPr>
          <w:rFonts w:ascii="Verdana" w:hAnsi="Verdana"/>
          <w:sz w:val="16"/>
          <w:szCs w:val="16"/>
        </w:rPr>
        <w:t xml:space="preserve">stawa o finansach publicznych w art. 242 ustanawia rygor finansowy polegający na tym, że </w:t>
      </w:r>
      <w:r w:rsidRPr="000A6485">
        <w:rPr>
          <w:rFonts w:ascii="Verdana" w:hAnsi="Verdana"/>
          <w:b/>
          <w:sz w:val="16"/>
          <w:szCs w:val="16"/>
        </w:rPr>
        <w:t>w danym roku budżetowym jednostka samorządu terytorialnego nie może planować większych wydatków bieżących niż dochody bieżące</w:t>
      </w:r>
      <w:r w:rsidRPr="000A6485">
        <w:rPr>
          <w:rFonts w:ascii="Verdana" w:hAnsi="Verdana"/>
          <w:sz w:val="16"/>
          <w:szCs w:val="16"/>
        </w:rPr>
        <w:t xml:space="preserve"> powiększone o</w:t>
      </w:r>
      <w:r>
        <w:rPr>
          <w:rFonts w:ascii="Verdana" w:hAnsi="Verdana"/>
          <w:sz w:val="16"/>
          <w:szCs w:val="16"/>
        </w:rPr>
        <w:t xml:space="preserve"> </w:t>
      </w:r>
      <w:r w:rsidRPr="000A6485">
        <w:rPr>
          <w:rFonts w:ascii="Verdana" w:hAnsi="Verdana"/>
          <w:b/>
          <w:sz w:val="16"/>
          <w:szCs w:val="16"/>
        </w:rPr>
        <w:t>nadwyżki budżetu z lat ubiegłych</w:t>
      </w:r>
      <w:r w:rsidRPr="000A6485">
        <w:rPr>
          <w:rFonts w:ascii="Verdana" w:hAnsi="Verdana"/>
          <w:sz w:val="16"/>
          <w:szCs w:val="16"/>
        </w:rPr>
        <w:t xml:space="preserve">, w tym niewykorzystane środki pieniężne na rachunku bieżącym budżetu, wynikające z rozliczenia dochodów i wydatków nimi finansowanych związanych ze szczególnymi zasadami wykonywania budżetu określonymi w odrębnych ustawach </w:t>
      </w:r>
      <w:r w:rsidRPr="000A6485">
        <w:rPr>
          <w:rFonts w:ascii="Verdana" w:hAnsi="Verdana"/>
          <w:sz w:val="16"/>
          <w:szCs w:val="16"/>
        </w:rPr>
        <w:br/>
        <w:t xml:space="preserve">i wynikające z rozliczenia środków unijnych oraz </w:t>
      </w:r>
      <w:r w:rsidRPr="000A6485">
        <w:rPr>
          <w:rFonts w:ascii="Verdana" w:hAnsi="Verdana"/>
          <w:b/>
          <w:sz w:val="16"/>
          <w:szCs w:val="16"/>
        </w:rPr>
        <w:t>spłaty udzielonych pożyczek w latach ubiegłych</w:t>
      </w:r>
      <w:r>
        <w:rPr>
          <w:rFonts w:ascii="Verdana" w:hAnsi="Verdana"/>
          <w:b/>
          <w:sz w:val="16"/>
          <w:szCs w:val="16"/>
        </w:rPr>
        <w:t xml:space="preserve"> </w:t>
      </w:r>
      <w:r>
        <w:rPr>
          <w:rFonts w:ascii="Verdana" w:hAnsi="Verdana"/>
          <w:sz w:val="16"/>
          <w:szCs w:val="16"/>
        </w:rPr>
        <w:t>i</w:t>
      </w:r>
      <w:r>
        <w:rPr>
          <w:rFonts w:ascii="Verdana" w:hAnsi="Verdana"/>
          <w:b/>
          <w:sz w:val="16"/>
          <w:szCs w:val="16"/>
        </w:rPr>
        <w:t xml:space="preserve"> </w:t>
      </w:r>
      <w:r w:rsidRPr="00777B22">
        <w:rPr>
          <w:rFonts w:ascii="Verdana" w:hAnsi="Verdana"/>
          <w:b/>
          <w:sz w:val="16"/>
          <w:szCs w:val="16"/>
        </w:rPr>
        <w:t>środki pochodzące z lokat</w:t>
      </w:r>
      <w:r>
        <w:rPr>
          <w:rFonts w:ascii="Verdana" w:hAnsi="Verdana"/>
          <w:b/>
          <w:sz w:val="16"/>
          <w:szCs w:val="16"/>
        </w:rPr>
        <w:t xml:space="preserve"> dokonanych w latach ubiegłych</w:t>
      </w:r>
      <w:r w:rsidRPr="000A6485">
        <w:rPr>
          <w:rFonts w:ascii="Verdana" w:hAnsi="Verdana"/>
          <w:sz w:val="16"/>
          <w:szCs w:val="16"/>
        </w:rPr>
        <w:t>.</w:t>
      </w:r>
    </w:p>
    <w:p w:rsidR="00CA374E" w:rsidRDefault="00CA374E" w:rsidP="00CA374E">
      <w:pPr>
        <w:spacing w:before="60" w:after="60"/>
        <w:jc w:val="both"/>
        <w:rPr>
          <w:rFonts w:ascii="Verdana" w:hAnsi="Verdana"/>
          <w:iCs/>
          <w:sz w:val="16"/>
          <w:szCs w:val="16"/>
        </w:rPr>
      </w:pPr>
      <w:r>
        <w:rPr>
          <w:rFonts w:ascii="Verdana" w:hAnsi="Verdana" w:cs="Arial"/>
          <w:sz w:val="16"/>
          <w:szCs w:val="16"/>
        </w:rPr>
        <w:t>Dodatkowo w myśl art. 9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 U. </w:t>
      </w:r>
      <w:r w:rsidRPr="00E7313D">
        <w:rPr>
          <w:rFonts w:ascii="Verdana" w:hAnsi="Verdana" w:cs="Arial"/>
          <w:sz w:val="16"/>
          <w:szCs w:val="16"/>
        </w:rPr>
        <w:t>poz. 1927)</w:t>
      </w:r>
      <w:r>
        <w:rPr>
          <w:rFonts w:ascii="Verdana" w:hAnsi="Verdana" w:cs="Arial"/>
          <w:sz w:val="16"/>
          <w:szCs w:val="16"/>
        </w:rPr>
        <w:t xml:space="preserve"> </w:t>
      </w:r>
      <w:r w:rsidRPr="00016858">
        <w:rPr>
          <w:rFonts w:ascii="Verdana" w:hAnsi="Verdana" w:cs="Arial"/>
          <w:b/>
          <w:sz w:val="16"/>
          <w:szCs w:val="16"/>
        </w:rPr>
        <w:t>l</w:t>
      </w:r>
      <w:r w:rsidRPr="00016858">
        <w:rPr>
          <w:rFonts w:ascii="Verdana" w:hAnsi="Verdana"/>
          <w:b/>
          <w:iCs/>
          <w:sz w:val="16"/>
          <w:szCs w:val="16"/>
        </w:rPr>
        <w:t>imit wydatk</w:t>
      </w:r>
      <w:r>
        <w:rPr>
          <w:rFonts w:ascii="Verdana" w:hAnsi="Verdana"/>
          <w:b/>
          <w:iCs/>
          <w:sz w:val="16"/>
          <w:szCs w:val="16"/>
        </w:rPr>
        <w:t>ów bieżących w 2022 r. został</w:t>
      </w:r>
      <w:r w:rsidRPr="00016858">
        <w:rPr>
          <w:rFonts w:ascii="Verdana" w:hAnsi="Verdana"/>
          <w:b/>
          <w:iCs/>
          <w:sz w:val="16"/>
          <w:szCs w:val="16"/>
        </w:rPr>
        <w:t xml:space="preserve"> 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 Ponadto </w:t>
      </w:r>
      <w:r w:rsidRPr="00016858">
        <w:rPr>
          <w:rFonts w:ascii="Verdana" w:hAnsi="Verdana"/>
          <w:b/>
          <w:iCs/>
          <w:sz w:val="16"/>
          <w:szCs w:val="16"/>
        </w:rPr>
        <w:t xml:space="preserve">badanie spełnienia reguły </w:t>
      </w:r>
      <w:r>
        <w:rPr>
          <w:rFonts w:ascii="Verdana" w:hAnsi="Verdana"/>
          <w:b/>
          <w:iCs/>
          <w:sz w:val="16"/>
          <w:szCs w:val="16"/>
        </w:rPr>
        <w:t>jest</w:t>
      </w:r>
      <w:r w:rsidRPr="00016858">
        <w:rPr>
          <w:rFonts w:ascii="Verdana" w:hAnsi="Verdana"/>
          <w:b/>
          <w:iCs/>
          <w:sz w:val="16"/>
          <w:szCs w:val="16"/>
        </w:rPr>
        <w:t xml:space="preserve"> prowadzone łącznie dla lat 2022-2025</w:t>
      </w:r>
      <w:r>
        <w:rPr>
          <w:rFonts w:ascii="Verdana" w:hAnsi="Verdana"/>
          <w:iCs/>
          <w:sz w:val="16"/>
          <w:szCs w:val="16"/>
        </w:rPr>
        <w:t xml:space="preserve">, co oznacza że niespełnienie reguły w danym roku lub latach musi zostać co najmniej skompensowane nadwyżkami wygenerowanymi </w:t>
      </w:r>
      <w:r>
        <w:rPr>
          <w:rFonts w:ascii="Verdana" w:hAnsi="Verdana"/>
          <w:iCs/>
          <w:sz w:val="16"/>
          <w:szCs w:val="16"/>
        </w:rPr>
        <w:br/>
        <w:t>w pozostałym okresie rozliczeniowym obejmującym lata 2022-2025.</w:t>
      </w:r>
    </w:p>
    <w:p w:rsidR="00CA374E" w:rsidRDefault="00CA374E" w:rsidP="00CA374E">
      <w:pPr>
        <w:spacing w:before="60" w:after="60"/>
        <w:jc w:val="both"/>
        <w:rPr>
          <w:rFonts w:ascii="Verdana" w:hAnsi="Verdana"/>
          <w:iCs/>
          <w:sz w:val="16"/>
          <w:szCs w:val="16"/>
        </w:rPr>
      </w:pPr>
      <w:r>
        <w:rPr>
          <w:rFonts w:ascii="Verdana" w:hAnsi="Verdana" w:cs="Arial"/>
          <w:sz w:val="16"/>
          <w:szCs w:val="16"/>
        </w:rPr>
        <w:lastRenderedPageBreak/>
        <w:t>Z kolei w myśl art. 110 ust. 1 i 2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z 2023 r. poz. 103 i 185</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 xml:space="preserve">ustalając relację, o której mowa </w:t>
      </w:r>
      <w:r>
        <w:rPr>
          <w:rFonts w:ascii="Verdana" w:hAnsi="Verdana" w:cs="Arial"/>
          <w:sz w:val="16"/>
          <w:szCs w:val="16"/>
        </w:rPr>
        <w:br/>
      </w:r>
      <w:r w:rsidRPr="00891B2D">
        <w:rPr>
          <w:rFonts w:ascii="Verdana" w:hAnsi="Verdana" w:cs="Arial"/>
          <w:sz w:val="16"/>
          <w:szCs w:val="16"/>
        </w:rPr>
        <w:t>w art. 242 ustawy o finansach publicznych</w:t>
      </w:r>
      <w:r>
        <w:rPr>
          <w:rFonts w:ascii="Verdana" w:hAnsi="Verdana" w:cs="Arial"/>
          <w:sz w:val="16"/>
          <w:szCs w:val="16"/>
        </w:rPr>
        <w:t>,</w:t>
      </w:r>
      <w:r>
        <w:rPr>
          <w:rFonts w:ascii="Verdana" w:hAnsi="Verdana" w:cs="Arial"/>
          <w:b/>
          <w:sz w:val="16"/>
          <w:szCs w:val="16"/>
        </w:rPr>
        <w:t xml:space="preserve"> </w:t>
      </w:r>
      <w:r w:rsidRPr="00891B2D">
        <w:rPr>
          <w:rFonts w:ascii="Verdana" w:hAnsi="Verdana" w:cs="Arial"/>
          <w:b/>
          <w:sz w:val="16"/>
          <w:szCs w:val="16"/>
        </w:rPr>
        <w:t>wydatki bieżące pomniejsza się o wydatki bieżące ponoszone w celu realizacji zadań związanych z pomocą obywatelom Ukrainy w związku z konfliktem zbrojnym na terytorium tego państwa w części, w jakiej nie są one finansowane środkami publicznymi otrzymanymi na ten cel</w:t>
      </w:r>
      <w:r w:rsidRPr="00891B2D">
        <w:rPr>
          <w:rFonts w:ascii="Verdana" w:hAnsi="Verdana" w:cs="Arial"/>
          <w:sz w:val="16"/>
          <w:szCs w:val="16"/>
        </w:rPr>
        <w:t>.</w:t>
      </w:r>
    </w:p>
    <w:p w:rsidR="00CA374E" w:rsidRPr="008F0E66" w:rsidRDefault="00CA374E" w:rsidP="00CA374E">
      <w:pPr>
        <w:spacing w:before="60" w:after="60"/>
        <w:jc w:val="both"/>
        <w:rPr>
          <w:rFonts w:ascii="Verdana" w:hAnsi="Verdana"/>
          <w:sz w:val="16"/>
          <w:szCs w:val="16"/>
        </w:rPr>
      </w:pPr>
      <w:r>
        <w:rPr>
          <w:rFonts w:ascii="Verdana" w:hAnsi="Verdana"/>
          <w:iCs/>
          <w:sz w:val="16"/>
          <w:szCs w:val="16"/>
        </w:rPr>
        <w:t>Natomiast w</w:t>
      </w:r>
      <w:r>
        <w:rPr>
          <w:rFonts w:ascii="Verdana" w:hAnsi="Verdana" w:cs="Arial"/>
          <w:sz w:val="16"/>
          <w:szCs w:val="16"/>
        </w:rPr>
        <w:t xml:space="preserve"> myśl art. 6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sidRPr="00891B2D">
        <w:rPr>
          <w:rFonts w:ascii="Verdana" w:hAnsi="Verdana" w:cs="Arial"/>
          <w:sz w:val="16"/>
          <w:szCs w:val="16"/>
        </w:rPr>
        <w:t>ustalając relację, o której mowa w art. 242 ustawy o finansach publicznych</w:t>
      </w:r>
      <w:r>
        <w:rPr>
          <w:rFonts w:ascii="Verdana" w:hAnsi="Verdana" w:cs="Arial"/>
          <w:sz w:val="16"/>
          <w:szCs w:val="16"/>
        </w:rPr>
        <w:t>,</w:t>
      </w:r>
      <w:r>
        <w:rPr>
          <w:rFonts w:ascii="Verdana" w:hAnsi="Verdana" w:cs="Arial"/>
          <w:b/>
          <w:sz w:val="16"/>
          <w:szCs w:val="16"/>
        </w:rPr>
        <w:t xml:space="preserve"> </w:t>
      </w:r>
      <w:r w:rsidRPr="00016858">
        <w:rPr>
          <w:rFonts w:ascii="Verdana" w:hAnsi="Verdana" w:cs="Arial"/>
          <w:b/>
          <w:sz w:val="16"/>
          <w:szCs w:val="16"/>
        </w:rPr>
        <w:t>l</w:t>
      </w:r>
      <w:r w:rsidRPr="00016858">
        <w:rPr>
          <w:rFonts w:ascii="Verdana" w:hAnsi="Verdana"/>
          <w:b/>
          <w:iCs/>
          <w:sz w:val="16"/>
          <w:szCs w:val="16"/>
        </w:rPr>
        <w:t xml:space="preserve">imit wydatków bieżących w </w:t>
      </w:r>
      <w:r>
        <w:rPr>
          <w:rFonts w:ascii="Verdana" w:hAnsi="Verdana"/>
          <w:b/>
          <w:iCs/>
          <w:sz w:val="16"/>
          <w:szCs w:val="16"/>
        </w:rPr>
        <w:t>latach 2023-2025</w:t>
      </w:r>
      <w:r w:rsidRPr="00016858">
        <w:rPr>
          <w:rFonts w:ascii="Verdana" w:hAnsi="Verdana"/>
          <w:b/>
          <w:iCs/>
          <w:sz w:val="16"/>
          <w:szCs w:val="16"/>
        </w:rPr>
        <w:t xml:space="preserve">, co do zasady wyznaczany poziomem dochodów bieżących, zostaje </w:t>
      </w:r>
      <w:r>
        <w:rPr>
          <w:rFonts w:ascii="Verdana" w:hAnsi="Verdana"/>
          <w:b/>
          <w:iCs/>
          <w:sz w:val="16"/>
          <w:szCs w:val="16"/>
        </w:rPr>
        <w:t xml:space="preserve">także </w:t>
      </w:r>
      <w:r w:rsidRPr="00016858">
        <w:rPr>
          <w:rFonts w:ascii="Verdana" w:hAnsi="Verdana"/>
          <w:b/>
          <w:iCs/>
          <w:sz w:val="16"/>
          <w:szCs w:val="16"/>
        </w:rPr>
        <w:t>podwyższony o kwotę tzw. wolnych środków</w:t>
      </w:r>
      <w:r>
        <w:rPr>
          <w:rFonts w:ascii="Verdana" w:hAnsi="Verdana"/>
          <w:iCs/>
          <w:sz w:val="16"/>
          <w:szCs w:val="16"/>
        </w:rPr>
        <w:t xml:space="preserve"> stanowiących nadwyżki środków pieniężnych budżetu JST, wynikających z rozliczeń wyemitowanych papierów wartościowych, kredytów i pożyczek z lat ubiegłych.</w:t>
      </w:r>
    </w:p>
    <w:p w:rsidR="00CA374E" w:rsidRDefault="00CA374E" w:rsidP="00CA374E">
      <w:pPr>
        <w:spacing w:before="60" w:after="60"/>
        <w:jc w:val="both"/>
        <w:rPr>
          <w:rFonts w:ascii="Verdana" w:hAnsi="Verdana" w:cs="Arial"/>
          <w:sz w:val="16"/>
          <w:szCs w:val="16"/>
        </w:rPr>
      </w:pPr>
      <w:r>
        <w:rPr>
          <w:rFonts w:ascii="Verdana" w:hAnsi="Verdana" w:cs="Verdana"/>
          <w:sz w:val="16"/>
          <w:szCs w:val="16"/>
        </w:rPr>
        <w:t xml:space="preserve">Z uwagi na założone stopniowe dostosowania budżetowe do ograniczonych w konsekwencji zmian prawnych dochodów, w 2024 r. przewidziano wystąpienie </w:t>
      </w:r>
      <w:r w:rsidRPr="00474DCE">
        <w:rPr>
          <w:rFonts w:ascii="Verdana" w:hAnsi="Verdana" w:cs="Verdana"/>
          <w:b/>
          <w:sz w:val="16"/>
          <w:szCs w:val="16"/>
        </w:rPr>
        <w:t>deficytu operacyjnego</w:t>
      </w:r>
      <w:r>
        <w:rPr>
          <w:rFonts w:ascii="Verdana" w:hAnsi="Verdana" w:cs="Verdana"/>
          <w:b/>
          <w:sz w:val="16"/>
          <w:szCs w:val="16"/>
        </w:rPr>
        <w:t xml:space="preserve"> w kwocie</w:t>
      </w:r>
      <w:r>
        <w:rPr>
          <w:rFonts w:ascii="Verdana" w:hAnsi="Verdana" w:cs="Verdana"/>
          <w:sz w:val="16"/>
          <w:szCs w:val="16"/>
        </w:rPr>
        <w:t xml:space="preserve"> </w:t>
      </w:r>
      <w:r>
        <w:rPr>
          <w:rFonts w:ascii="Verdana" w:hAnsi="Verdana" w:cs="Verdana"/>
          <w:b/>
          <w:sz w:val="16"/>
          <w:szCs w:val="16"/>
        </w:rPr>
        <w:t>808,7 mln zł</w:t>
      </w:r>
      <w:r>
        <w:rPr>
          <w:rFonts w:ascii="Verdana" w:hAnsi="Verdana" w:cs="Verdana"/>
          <w:sz w:val="16"/>
          <w:szCs w:val="16"/>
        </w:rPr>
        <w:t xml:space="preserve">, oznaczającego nierównowagę dochodów bieżących i wydatków bieżących. </w:t>
      </w:r>
      <w:r>
        <w:rPr>
          <w:rFonts w:ascii="Verdana" w:hAnsi="Verdana"/>
          <w:sz w:val="16"/>
          <w:szCs w:val="16"/>
        </w:rPr>
        <w:t xml:space="preserve">Zgodnie z obowiązującymi przepisami powyższa luka w finansowaniu części operacyjnej budżetu może być pokryta zaplanowanymi tzw. wolnymi środkami w kwocie </w:t>
      </w:r>
      <w:r>
        <w:rPr>
          <w:rFonts w:ascii="Verdana" w:hAnsi="Verdana"/>
          <w:b/>
          <w:sz w:val="16"/>
          <w:szCs w:val="16"/>
        </w:rPr>
        <w:t>541,4</w:t>
      </w:r>
      <w:r w:rsidRPr="00437743">
        <w:rPr>
          <w:rFonts w:ascii="Verdana" w:hAnsi="Verdana"/>
          <w:b/>
          <w:sz w:val="16"/>
          <w:szCs w:val="16"/>
        </w:rPr>
        <w:t xml:space="preserve"> mln zł</w:t>
      </w:r>
      <w:r>
        <w:rPr>
          <w:rFonts w:ascii="Verdana" w:hAnsi="Verdana"/>
          <w:sz w:val="16"/>
          <w:szCs w:val="16"/>
        </w:rPr>
        <w:t xml:space="preserve"> i środkami z nadwyżki budżetu z lat ubiegłych zaplanowanymi w wysokości </w:t>
      </w:r>
      <w:r>
        <w:rPr>
          <w:rFonts w:ascii="Verdana" w:hAnsi="Verdana"/>
          <w:b/>
          <w:sz w:val="16"/>
          <w:szCs w:val="16"/>
        </w:rPr>
        <w:t>122,1</w:t>
      </w:r>
      <w:r w:rsidRPr="00437743">
        <w:rPr>
          <w:rFonts w:ascii="Verdana" w:hAnsi="Verdana"/>
          <w:b/>
          <w:sz w:val="16"/>
          <w:szCs w:val="16"/>
        </w:rPr>
        <w:t xml:space="preserve"> mln zł</w:t>
      </w:r>
      <w:r>
        <w:rPr>
          <w:rFonts w:ascii="Verdana" w:hAnsi="Verdana"/>
          <w:sz w:val="16"/>
          <w:szCs w:val="16"/>
        </w:rPr>
        <w:t xml:space="preserve">. </w:t>
      </w:r>
      <w:r>
        <w:rPr>
          <w:rFonts w:ascii="Verdana" w:hAnsi="Verdana"/>
          <w:sz w:val="16"/>
          <w:szCs w:val="16"/>
        </w:rPr>
        <w:br/>
        <w:t xml:space="preserve">Po uwzględnieniu tych środków pozostaje różnica w wysokości </w:t>
      </w:r>
      <w:r>
        <w:rPr>
          <w:rFonts w:ascii="Verdana" w:hAnsi="Verdana"/>
          <w:b/>
          <w:sz w:val="16"/>
          <w:szCs w:val="16"/>
        </w:rPr>
        <w:t>145,2</w:t>
      </w:r>
      <w:r w:rsidRPr="00437743">
        <w:rPr>
          <w:rFonts w:ascii="Verdana" w:hAnsi="Verdana"/>
          <w:b/>
          <w:sz w:val="16"/>
          <w:szCs w:val="16"/>
        </w:rPr>
        <w:t xml:space="preserve"> mln zł</w:t>
      </w:r>
      <w:r>
        <w:rPr>
          <w:rFonts w:ascii="Verdana" w:hAnsi="Verdana"/>
          <w:sz w:val="16"/>
          <w:szCs w:val="16"/>
        </w:rPr>
        <w:t>, w związku z czym przy badaniu spełnienia reguły wydatkowej znajdują zastosowanie przepisy zezwalające na prowadzenie oceny</w:t>
      </w:r>
      <w:r w:rsidRPr="00532FA3">
        <w:rPr>
          <w:rFonts w:ascii="Verdana" w:hAnsi="Verdana" w:cs="Arial"/>
          <w:sz w:val="16"/>
          <w:szCs w:val="16"/>
        </w:rPr>
        <w:t xml:space="preserve"> łącznie dla lat 2022–2025, </w:t>
      </w:r>
      <w:r>
        <w:rPr>
          <w:rFonts w:ascii="Verdana" w:hAnsi="Verdana" w:cs="Arial"/>
          <w:sz w:val="16"/>
          <w:szCs w:val="16"/>
        </w:rPr>
        <w:t>oznaczające że</w:t>
      </w:r>
      <w:r w:rsidRPr="00532FA3">
        <w:rPr>
          <w:rFonts w:ascii="Verdana" w:hAnsi="Verdana" w:cs="Arial"/>
          <w:sz w:val="16"/>
          <w:szCs w:val="16"/>
        </w:rPr>
        <w:t xml:space="preserve"> jednostka samorządu terytorialnego może w latach 2022-2025 w danym roku budżetowym przekroczyć relację, o której mowa w art. 242, pod warunkiem że w latach 2022–2025 suma przekroczeń tej relacji w poszczególnych latach nie będzie wyższa od sumy nadwyżek wynikających z tej relacji w poszczególnych latach.</w:t>
      </w:r>
      <w:r>
        <w:rPr>
          <w:rFonts w:ascii="Verdana" w:hAnsi="Verdana" w:cs="Arial"/>
          <w:sz w:val="16"/>
          <w:szCs w:val="16"/>
        </w:rPr>
        <w:t xml:space="preserve"> Przy badaniu spełnienia reguły dla 2024 r. w formule łącznej dla lat 2022-2025 wykorzystano następujące dane budżetowe:</w:t>
      </w:r>
    </w:p>
    <w:p w:rsidR="00CA374E" w:rsidRPr="00E92849" w:rsidRDefault="00CA374E" w:rsidP="00CA374E">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la 2022 r. zgodne z wykonaniem budżetu,</w:t>
      </w:r>
    </w:p>
    <w:p w:rsidR="00CA374E" w:rsidRPr="00E92849" w:rsidRDefault="00CA374E" w:rsidP="00CA374E">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 xml:space="preserve">la 2023 r. zgodne z wielkościami zaplanowanymi w budżecie wg stanu na </w:t>
      </w:r>
      <w:r>
        <w:rPr>
          <w:rFonts w:ascii="Verdana" w:hAnsi="Verdana" w:cs="Arial"/>
          <w:sz w:val="16"/>
          <w:szCs w:val="16"/>
        </w:rPr>
        <w:t>14 grudnia</w:t>
      </w:r>
      <w:r w:rsidRPr="00E92849">
        <w:rPr>
          <w:rFonts w:ascii="Verdana" w:hAnsi="Verdana" w:cs="Arial"/>
          <w:sz w:val="16"/>
          <w:szCs w:val="16"/>
        </w:rPr>
        <w:t xml:space="preserve"> (ustalone uchwałą nr </w:t>
      </w:r>
      <w:r w:rsidRPr="004B465A">
        <w:rPr>
          <w:rFonts w:ascii="Verdana" w:hAnsi="Verdana" w:cs="Arial"/>
          <w:sz w:val="16"/>
          <w:szCs w:val="16"/>
        </w:rPr>
        <w:t>XCII/3013/2023</w:t>
      </w:r>
      <w:r w:rsidRPr="00E92849">
        <w:rPr>
          <w:rFonts w:ascii="Verdana" w:hAnsi="Verdana" w:cs="Arial"/>
          <w:sz w:val="16"/>
          <w:szCs w:val="16"/>
        </w:rPr>
        <w:t xml:space="preserve"> Rady m.st. Warszawy z </w:t>
      </w:r>
      <w:r>
        <w:rPr>
          <w:rFonts w:ascii="Verdana" w:hAnsi="Verdana" w:cs="Arial"/>
          <w:sz w:val="16"/>
          <w:szCs w:val="16"/>
        </w:rPr>
        <w:t>14.12</w:t>
      </w:r>
      <w:r w:rsidRPr="00E92849">
        <w:rPr>
          <w:rFonts w:ascii="Verdana" w:hAnsi="Verdana" w:cs="Arial"/>
          <w:sz w:val="16"/>
          <w:szCs w:val="16"/>
        </w:rPr>
        <w:t>.2023 r. w sprawie zmian w budżecie m.st. Warszawy na 2023 rok),</w:t>
      </w:r>
    </w:p>
    <w:p w:rsidR="00CA374E" w:rsidRDefault="00CA374E" w:rsidP="00CA374E">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w:t>
      </w:r>
      <w:r w:rsidRPr="00E92849">
        <w:rPr>
          <w:rFonts w:ascii="Verdana" w:hAnsi="Verdana" w:cs="Arial"/>
          <w:sz w:val="16"/>
          <w:szCs w:val="16"/>
        </w:rPr>
        <w:t xml:space="preserve">la 2024 r. zgodne z </w:t>
      </w:r>
      <w:r>
        <w:rPr>
          <w:rFonts w:ascii="Verdana" w:hAnsi="Verdana" w:cs="Arial"/>
          <w:sz w:val="16"/>
          <w:szCs w:val="16"/>
        </w:rPr>
        <w:t>budżetem</w:t>
      </w:r>
      <w:r w:rsidRPr="00E92849">
        <w:rPr>
          <w:rFonts w:ascii="Verdana" w:hAnsi="Verdana" w:cs="Arial"/>
          <w:sz w:val="16"/>
          <w:szCs w:val="16"/>
        </w:rPr>
        <w:t>,</w:t>
      </w:r>
    </w:p>
    <w:p w:rsidR="00CA374E" w:rsidRPr="00E92849" w:rsidRDefault="00CA374E" w:rsidP="00CA374E">
      <w:pPr>
        <w:pStyle w:val="Akapitzlist"/>
        <w:numPr>
          <w:ilvl w:val="0"/>
          <w:numId w:val="62"/>
        </w:numPr>
        <w:autoSpaceDE w:val="0"/>
        <w:autoSpaceDN w:val="0"/>
        <w:adjustRightInd w:val="0"/>
        <w:spacing w:before="60" w:after="60"/>
        <w:ind w:left="568" w:hanging="284"/>
        <w:contextualSpacing w:val="0"/>
        <w:jc w:val="both"/>
        <w:rPr>
          <w:rFonts w:ascii="Verdana" w:hAnsi="Verdana" w:cs="Arial"/>
          <w:sz w:val="16"/>
          <w:szCs w:val="16"/>
        </w:rPr>
      </w:pPr>
      <w:r>
        <w:rPr>
          <w:rFonts w:ascii="Verdana" w:hAnsi="Verdana" w:cs="Arial"/>
          <w:sz w:val="16"/>
          <w:szCs w:val="16"/>
        </w:rPr>
        <w:t>dla 2025 r. zgodne z Wieloletnią Prognozą Finansową</w:t>
      </w:r>
      <w:r w:rsidRPr="00E92849">
        <w:rPr>
          <w:rFonts w:ascii="Verdana" w:hAnsi="Verdana" w:cs="Arial"/>
          <w:sz w:val="16"/>
          <w:szCs w:val="16"/>
        </w:rPr>
        <w:t xml:space="preserve"> na lata 2024-2050.</w:t>
      </w:r>
    </w:p>
    <w:p w:rsidR="00CA374E" w:rsidRDefault="00CA374E" w:rsidP="00CA374E">
      <w:pPr>
        <w:autoSpaceDE w:val="0"/>
        <w:autoSpaceDN w:val="0"/>
        <w:adjustRightInd w:val="0"/>
        <w:spacing w:before="120" w:after="60"/>
        <w:jc w:val="both"/>
        <w:rPr>
          <w:rFonts w:ascii="Verdana" w:hAnsi="Verdana" w:cs="Verdana"/>
          <w:b/>
          <w:color w:val="000000"/>
          <w:sz w:val="16"/>
          <w:szCs w:val="16"/>
        </w:rPr>
      </w:pPr>
      <w:r w:rsidRPr="00011AAA">
        <w:rPr>
          <w:rFonts w:ascii="Verdana" w:hAnsi="Verdana" w:cs="Verdana"/>
          <w:color w:val="000000"/>
          <w:sz w:val="16"/>
          <w:szCs w:val="16"/>
        </w:rPr>
        <w:t xml:space="preserve">Dopuszczalny ustawowo </w:t>
      </w:r>
      <w:r>
        <w:rPr>
          <w:rFonts w:ascii="Verdana" w:hAnsi="Verdana" w:cs="Verdana"/>
          <w:color w:val="000000"/>
          <w:sz w:val="16"/>
          <w:szCs w:val="16"/>
        </w:rPr>
        <w:t>łączny limit</w:t>
      </w:r>
      <w:r w:rsidRPr="00011AAA">
        <w:rPr>
          <w:rFonts w:ascii="Verdana" w:hAnsi="Verdana" w:cs="Verdana"/>
          <w:color w:val="000000"/>
          <w:sz w:val="16"/>
          <w:szCs w:val="16"/>
        </w:rPr>
        <w:t xml:space="preserve"> wydatków </w:t>
      </w:r>
      <w:r>
        <w:rPr>
          <w:rFonts w:ascii="Verdana" w:hAnsi="Verdana" w:cs="Verdana"/>
          <w:color w:val="000000"/>
          <w:sz w:val="16"/>
          <w:szCs w:val="16"/>
        </w:rPr>
        <w:t xml:space="preserve">bieżących m.st. Warszawy na </w:t>
      </w:r>
      <w:r>
        <w:rPr>
          <w:rFonts w:ascii="Verdana" w:hAnsi="Verdana" w:cs="Arial"/>
          <w:iCs/>
          <w:sz w:val="16"/>
          <w:szCs w:val="16"/>
        </w:rPr>
        <w:t>lata 2022-2025</w:t>
      </w:r>
      <w:r w:rsidRPr="00011AAA">
        <w:rPr>
          <w:rFonts w:ascii="Verdana" w:hAnsi="Verdana" w:cs="Verdana"/>
          <w:color w:val="000000"/>
          <w:sz w:val="16"/>
          <w:szCs w:val="16"/>
        </w:rPr>
        <w:t xml:space="preserve">, obliczony zgodnie z zasadami określonymi w art. 242 ustawy o finansach publicznych, wynosi </w:t>
      </w:r>
      <w:r>
        <w:rPr>
          <w:rFonts w:ascii="Verdana" w:hAnsi="Verdana" w:cs="Verdana"/>
          <w:b/>
          <w:color w:val="000000"/>
          <w:sz w:val="16"/>
          <w:szCs w:val="16"/>
        </w:rPr>
        <w:t>93,840</w:t>
      </w:r>
      <w:r w:rsidRPr="00011AAA">
        <w:rPr>
          <w:rFonts w:ascii="Verdana" w:hAnsi="Verdana" w:cs="Verdana"/>
          <w:b/>
          <w:color w:val="000000"/>
          <w:sz w:val="16"/>
          <w:szCs w:val="16"/>
        </w:rPr>
        <w:t xml:space="preserve"> mld zł</w:t>
      </w:r>
      <w:r w:rsidRPr="00933563">
        <w:rPr>
          <w:rFonts w:ascii="Verdana" w:hAnsi="Verdana" w:cs="Verdana"/>
          <w:color w:val="000000"/>
          <w:sz w:val="16"/>
          <w:szCs w:val="16"/>
        </w:rPr>
        <w:t>, który wynika z:</w:t>
      </w:r>
    </w:p>
    <w:p w:rsidR="00CA374E" w:rsidRPr="00B57327" w:rsidRDefault="00CA374E" w:rsidP="00CA374E">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wykonanych w 2022 r. i planowanych na lata 2023-2025 dochodów bieżących w łącznej kwocie </w:t>
      </w:r>
      <w:r>
        <w:rPr>
          <w:rFonts w:ascii="Verdana" w:hAnsi="Verdana" w:cs="Verdana"/>
          <w:color w:val="000000"/>
          <w:sz w:val="16"/>
          <w:szCs w:val="16"/>
        </w:rPr>
        <w:br/>
      </w:r>
      <w:r w:rsidRPr="00B57327">
        <w:rPr>
          <w:rFonts w:ascii="Verdana" w:hAnsi="Verdana" w:cs="Verdana"/>
          <w:b/>
          <w:color w:val="000000"/>
          <w:sz w:val="16"/>
          <w:szCs w:val="16"/>
        </w:rPr>
        <w:t>89,</w:t>
      </w:r>
      <w:r>
        <w:rPr>
          <w:rFonts w:ascii="Verdana" w:hAnsi="Verdana" w:cs="Verdana"/>
          <w:b/>
          <w:color w:val="000000"/>
          <w:sz w:val="16"/>
          <w:szCs w:val="16"/>
        </w:rPr>
        <w:t>825</w:t>
      </w:r>
      <w:r w:rsidRPr="00B57327">
        <w:rPr>
          <w:rFonts w:ascii="Verdana" w:hAnsi="Verdana" w:cs="Verdana"/>
          <w:b/>
          <w:color w:val="000000"/>
          <w:sz w:val="16"/>
          <w:szCs w:val="16"/>
        </w:rPr>
        <w:t xml:space="preserve"> mld zł</w:t>
      </w:r>
      <w:r w:rsidRPr="00B57327">
        <w:rPr>
          <w:rFonts w:ascii="Verdana" w:hAnsi="Verdana" w:cs="Verdana"/>
          <w:color w:val="000000"/>
          <w:sz w:val="16"/>
          <w:szCs w:val="16"/>
        </w:rPr>
        <w:t>,</w:t>
      </w:r>
    </w:p>
    <w:p w:rsidR="00CA374E" w:rsidRPr="00B57327" w:rsidRDefault="00CA374E" w:rsidP="00CA374E">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ujętych w wykonaniu 2022 r. tzw. wolnych środków w kwocie </w:t>
      </w:r>
      <w:r w:rsidRPr="00B57327">
        <w:rPr>
          <w:rFonts w:ascii="Verdana" w:hAnsi="Verdana" w:cs="Verdana"/>
          <w:b/>
          <w:color w:val="000000"/>
          <w:sz w:val="16"/>
          <w:szCs w:val="16"/>
        </w:rPr>
        <w:t>3,995 mld zł</w:t>
      </w:r>
      <w:r w:rsidRPr="00B57327">
        <w:rPr>
          <w:rFonts w:ascii="Verdana" w:hAnsi="Verdana" w:cs="Verdana"/>
          <w:color w:val="000000"/>
          <w:sz w:val="16"/>
          <w:szCs w:val="16"/>
        </w:rPr>
        <w:t>,</w:t>
      </w:r>
    </w:p>
    <w:p w:rsidR="00CA374E" w:rsidRPr="00B57327" w:rsidRDefault="00CA374E" w:rsidP="00CA374E">
      <w:pPr>
        <w:pStyle w:val="Akapitzlist"/>
        <w:numPr>
          <w:ilvl w:val="0"/>
          <w:numId w:val="63"/>
        </w:numPr>
        <w:autoSpaceDE w:val="0"/>
        <w:autoSpaceDN w:val="0"/>
        <w:adjustRightInd w:val="0"/>
        <w:spacing w:before="60" w:after="60"/>
        <w:ind w:left="568" w:hanging="284"/>
        <w:contextualSpacing w:val="0"/>
        <w:jc w:val="both"/>
        <w:rPr>
          <w:rFonts w:ascii="Verdana" w:hAnsi="Verdana" w:cs="Verdana"/>
          <w:color w:val="000000"/>
          <w:sz w:val="16"/>
          <w:szCs w:val="16"/>
        </w:rPr>
      </w:pPr>
      <w:r w:rsidRPr="00B57327">
        <w:rPr>
          <w:rFonts w:ascii="Verdana" w:hAnsi="Verdana" w:cs="Verdana"/>
          <w:color w:val="000000"/>
          <w:sz w:val="16"/>
          <w:szCs w:val="16"/>
        </w:rPr>
        <w:t xml:space="preserve">ujętej w wykonaniu 2022 r. nadwyżki budżetu z lat ubiegłych w kwocie </w:t>
      </w:r>
      <w:r w:rsidRPr="00B57327">
        <w:rPr>
          <w:rFonts w:ascii="Verdana" w:hAnsi="Verdana" w:cs="Verdana"/>
          <w:b/>
          <w:color w:val="000000"/>
          <w:sz w:val="16"/>
          <w:szCs w:val="16"/>
        </w:rPr>
        <w:t>20 mln zł</w:t>
      </w:r>
      <w:r w:rsidRPr="00B57327">
        <w:rPr>
          <w:rFonts w:ascii="Verdana" w:hAnsi="Verdana" w:cs="Verdana"/>
          <w:color w:val="000000"/>
          <w:sz w:val="16"/>
          <w:szCs w:val="16"/>
        </w:rPr>
        <w:t>.</w:t>
      </w:r>
    </w:p>
    <w:p w:rsidR="00CA374E" w:rsidRDefault="00CA374E" w:rsidP="00CA374E">
      <w:pPr>
        <w:spacing w:before="60" w:after="60"/>
        <w:jc w:val="both"/>
        <w:rPr>
          <w:rFonts w:ascii="Verdana" w:hAnsi="Verdana" w:cs="Verdana"/>
          <w:sz w:val="16"/>
          <w:szCs w:val="16"/>
        </w:rPr>
      </w:pPr>
      <w:r>
        <w:rPr>
          <w:rFonts w:ascii="Verdana" w:hAnsi="Verdana" w:cs="Verdana"/>
          <w:color w:val="000000"/>
          <w:sz w:val="16"/>
          <w:szCs w:val="16"/>
        </w:rPr>
        <w:t xml:space="preserve">Wykonane w 2022 r. </w:t>
      </w:r>
      <w:r w:rsidRPr="00B57327">
        <w:rPr>
          <w:rFonts w:ascii="Verdana" w:hAnsi="Verdana" w:cs="Verdana"/>
          <w:color w:val="000000"/>
          <w:sz w:val="16"/>
          <w:szCs w:val="16"/>
        </w:rPr>
        <w:t>wydat</w:t>
      </w:r>
      <w:r>
        <w:rPr>
          <w:rFonts w:ascii="Verdana" w:hAnsi="Verdana" w:cs="Verdana"/>
          <w:color w:val="000000"/>
          <w:sz w:val="16"/>
          <w:szCs w:val="16"/>
        </w:rPr>
        <w:t>ki</w:t>
      </w:r>
      <w:r w:rsidRPr="00B57327">
        <w:rPr>
          <w:rFonts w:ascii="Verdana" w:hAnsi="Verdana" w:cs="Verdana"/>
          <w:color w:val="000000"/>
          <w:sz w:val="16"/>
          <w:szCs w:val="16"/>
        </w:rPr>
        <w:t xml:space="preserve"> bieżąc</w:t>
      </w:r>
      <w:r>
        <w:rPr>
          <w:rFonts w:ascii="Verdana" w:hAnsi="Verdana" w:cs="Verdana"/>
          <w:color w:val="000000"/>
          <w:sz w:val="16"/>
          <w:szCs w:val="16"/>
        </w:rPr>
        <w:t>e bez uwzględnienia</w:t>
      </w:r>
      <w:r w:rsidRPr="00B57327">
        <w:rPr>
          <w:rFonts w:ascii="Verdana" w:hAnsi="Verdana" w:cs="Verdana"/>
          <w:color w:val="000000"/>
          <w:sz w:val="16"/>
          <w:szCs w:val="16"/>
        </w:rPr>
        <w:t xml:space="preserve"> </w:t>
      </w:r>
      <w:r>
        <w:rPr>
          <w:rFonts w:ascii="Verdana" w:hAnsi="Verdana" w:cs="Verdana"/>
          <w:color w:val="000000"/>
          <w:sz w:val="16"/>
          <w:szCs w:val="16"/>
        </w:rPr>
        <w:t xml:space="preserve">wydatków </w:t>
      </w:r>
      <w:r w:rsidRPr="00B57327">
        <w:rPr>
          <w:rFonts w:ascii="Verdana" w:hAnsi="Verdana" w:cs="Verdana"/>
          <w:color w:val="000000"/>
          <w:sz w:val="16"/>
          <w:szCs w:val="16"/>
        </w:rPr>
        <w:t xml:space="preserve">w kwocie </w:t>
      </w:r>
      <w:r w:rsidRPr="00B57327">
        <w:rPr>
          <w:rFonts w:ascii="Verdana" w:hAnsi="Verdana" w:cs="Verdana"/>
          <w:b/>
          <w:color w:val="000000"/>
          <w:sz w:val="16"/>
          <w:szCs w:val="16"/>
        </w:rPr>
        <w:t>70,3 mln zł</w:t>
      </w:r>
      <w:r w:rsidRPr="00B57327">
        <w:rPr>
          <w:rFonts w:ascii="Verdana" w:hAnsi="Verdana" w:cs="Verdana"/>
          <w:color w:val="000000"/>
          <w:sz w:val="16"/>
          <w:szCs w:val="16"/>
        </w:rPr>
        <w:t xml:space="preserve"> poniesion</w:t>
      </w:r>
      <w:r>
        <w:rPr>
          <w:rFonts w:ascii="Verdana" w:hAnsi="Verdana" w:cs="Verdana"/>
          <w:color w:val="000000"/>
          <w:sz w:val="16"/>
          <w:szCs w:val="16"/>
        </w:rPr>
        <w:t>ych</w:t>
      </w:r>
      <w:r w:rsidRPr="00B57327">
        <w:rPr>
          <w:rFonts w:ascii="Verdana" w:hAnsi="Verdana" w:cs="Verdana"/>
          <w:color w:val="000000"/>
          <w:sz w:val="16"/>
          <w:szCs w:val="16"/>
        </w:rPr>
        <w:t xml:space="preserve"> w celu realizacji zadań związanych z pomocą obywatelom Ukrainy w związku z konfliktem zbrojnym na terytorium tego państwa w części, w jakiej nie były one finansowane środkami publicznymi otrzymanymi na ten cel </w:t>
      </w:r>
      <w:r>
        <w:rPr>
          <w:rFonts w:ascii="Verdana" w:hAnsi="Verdana" w:cs="Verdana"/>
          <w:color w:val="000000"/>
          <w:sz w:val="16"/>
          <w:szCs w:val="16"/>
        </w:rPr>
        <w:t>i planowane na lata 2023-2025 w</w:t>
      </w:r>
      <w:r w:rsidRPr="00011AAA">
        <w:rPr>
          <w:rFonts w:ascii="Verdana" w:hAnsi="Verdana" w:cs="Verdana"/>
          <w:color w:val="000000"/>
          <w:sz w:val="16"/>
          <w:szCs w:val="16"/>
        </w:rPr>
        <w:t xml:space="preserve">ydatki bieżące </w:t>
      </w:r>
      <w:r>
        <w:rPr>
          <w:rFonts w:ascii="Verdana" w:hAnsi="Verdana" w:cs="Verdana"/>
          <w:color w:val="000000"/>
          <w:sz w:val="16"/>
          <w:szCs w:val="16"/>
        </w:rPr>
        <w:t>wynoszą łącznie</w:t>
      </w:r>
      <w:r w:rsidRPr="00011AAA">
        <w:rPr>
          <w:rFonts w:ascii="Verdana" w:hAnsi="Verdana" w:cs="Verdana"/>
          <w:color w:val="000000"/>
          <w:sz w:val="16"/>
          <w:szCs w:val="16"/>
        </w:rPr>
        <w:t xml:space="preserve"> </w:t>
      </w:r>
      <w:r>
        <w:rPr>
          <w:rFonts w:ascii="Verdana" w:hAnsi="Verdana" w:cs="Verdana"/>
          <w:b/>
          <w:color w:val="000000"/>
          <w:sz w:val="16"/>
          <w:szCs w:val="16"/>
        </w:rPr>
        <w:t>89,136</w:t>
      </w:r>
      <w:r w:rsidRPr="00011AAA">
        <w:rPr>
          <w:rFonts w:ascii="Verdana" w:hAnsi="Verdana" w:cs="Verdana"/>
          <w:b/>
          <w:color w:val="000000"/>
          <w:sz w:val="16"/>
          <w:szCs w:val="16"/>
        </w:rPr>
        <w:t xml:space="preserve"> mld zł</w:t>
      </w:r>
      <w:r w:rsidRPr="00011AAA">
        <w:rPr>
          <w:rFonts w:ascii="Verdana" w:hAnsi="Verdana" w:cs="Verdana"/>
          <w:color w:val="000000"/>
          <w:sz w:val="16"/>
          <w:szCs w:val="16"/>
        </w:rPr>
        <w:t xml:space="preserve"> </w:t>
      </w:r>
      <w:r>
        <w:rPr>
          <w:rFonts w:ascii="Verdana" w:hAnsi="Verdana" w:cs="Verdana"/>
          <w:color w:val="000000"/>
          <w:sz w:val="16"/>
          <w:szCs w:val="16"/>
        </w:rPr>
        <w:t xml:space="preserve">i </w:t>
      </w:r>
      <w:r w:rsidRPr="00011AAA">
        <w:rPr>
          <w:rFonts w:ascii="Verdana" w:hAnsi="Verdana" w:cs="Verdana"/>
          <w:color w:val="000000"/>
          <w:sz w:val="16"/>
          <w:szCs w:val="16"/>
        </w:rPr>
        <w:t xml:space="preserve">są niższe </w:t>
      </w:r>
      <w:r>
        <w:rPr>
          <w:rFonts w:ascii="Verdana" w:hAnsi="Verdana" w:cs="Verdana"/>
          <w:color w:val="000000"/>
          <w:sz w:val="16"/>
          <w:szCs w:val="16"/>
        </w:rPr>
        <w:t xml:space="preserve">o </w:t>
      </w:r>
      <w:r>
        <w:rPr>
          <w:rFonts w:ascii="Verdana" w:hAnsi="Verdana" w:cs="Verdana"/>
          <w:b/>
          <w:color w:val="000000"/>
          <w:sz w:val="16"/>
          <w:szCs w:val="16"/>
        </w:rPr>
        <w:t>4,704 mld zł</w:t>
      </w:r>
      <w:r w:rsidRPr="00011AAA">
        <w:rPr>
          <w:rFonts w:ascii="Verdana" w:hAnsi="Verdana" w:cs="Verdana"/>
          <w:color w:val="000000"/>
          <w:sz w:val="16"/>
          <w:szCs w:val="16"/>
        </w:rPr>
        <w:t xml:space="preserve"> od dopuszczalnego ustawowego </w:t>
      </w:r>
      <w:r>
        <w:rPr>
          <w:rFonts w:ascii="Verdana" w:hAnsi="Verdana" w:cs="Verdana"/>
          <w:color w:val="000000"/>
          <w:sz w:val="16"/>
          <w:szCs w:val="16"/>
        </w:rPr>
        <w:t xml:space="preserve">limitu, co oznacza spełnienie w </w:t>
      </w:r>
      <w:r w:rsidRPr="003567C6">
        <w:rPr>
          <w:rFonts w:ascii="Verdana" w:eastAsiaTheme="minorEastAsia" w:hAnsi="Verdana" w:cs="Verdana"/>
          <w:color w:val="000000"/>
          <w:sz w:val="16"/>
          <w:szCs w:val="16"/>
        </w:rPr>
        <w:t>2024</w:t>
      </w:r>
      <w:r w:rsidRPr="00011AAA">
        <w:rPr>
          <w:rFonts w:ascii="Verdana" w:hAnsi="Verdana" w:cs="Verdana"/>
          <w:color w:val="000000"/>
          <w:sz w:val="16"/>
          <w:szCs w:val="16"/>
        </w:rPr>
        <w:t xml:space="preserve"> r.</w:t>
      </w:r>
      <w:r>
        <w:rPr>
          <w:rFonts w:ascii="Verdana" w:hAnsi="Verdana" w:cs="Verdana"/>
          <w:color w:val="000000"/>
          <w:sz w:val="16"/>
          <w:szCs w:val="16"/>
        </w:rPr>
        <w:t xml:space="preserve"> ustawowej reguły wydatkowej w zakresie wydatków bieżących.</w:t>
      </w:r>
    </w:p>
    <w:p w:rsidR="00CA374E" w:rsidRDefault="00CA374E" w:rsidP="00CA374E">
      <w:pPr>
        <w:spacing w:before="60" w:after="60"/>
        <w:jc w:val="both"/>
        <w:rPr>
          <w:rFonts w:ascii="Verdana" w:hAnsi="Verdana" w:cs="Verdana"/>
          <w:sz w:val="16"/>
          <w:szCs w:val="16"/>
        </w:rPr>
      </w:pPr>
      <w:r>
        <w:rPr>
          <w:rFonts w:ascii="Verdana" w:hAnsi="Verdana" w:cs="Verdana"/>
          <w:sz w:val="16"/>
          <w:szCs w:val="16"/>
        </w:rPr>
        <w:t>Począwszy od 2025 r. WPF 2024-2050 przewiduje uzyskiwanie dochodów bieżących przewyższających zaplanowane wydatki bieżące, co oznacza spełnienie reguły wydatkowej.</w:t>
      </w:r>
      <w:r>
        <w:rPr>
          <w:rFonts w:ascii="Verdana" w:hAnsi="Verdana" w:cs="Verdana"/>
          <w:sz w:val="16"/>
          <w:szCs w:val="16"/>
        </w:rPr>
        <w:br w:type="page"/>
      </w:r>
    </w:p>
    <w:p w:rsidR="00CA374E" w:rsidRDefault="00CA374E" w:rsidP="00CA374E">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lastRenderedPageBreak/>
        <w:t xml:space="preserve">Wykres </w:t>
      </w:r>
      <w:r>
        <w:rPr>
          <w:rFonts w:ascii="Verdana" w:hAnsi="Verdana" w:cs="Arial"/>
          <w:sz w:val="16"/>
          <w:szCs w:val="16"/>
        </w:rPr>
        <w:t>nr 40</w:t>
      </w:r>
      <w:r w:rsidRPr="000A6485">
        <w:rPr>
          <w:rFonts w:ascii="Verdana" w:hAnsi="Verdana" w:cs="Arial"/>
          <w:sz w:val="16"/>
          <w:szCs w:val="16"/>
        </w:rPr>
        <w:t xml:space="preserve"> prezentuje prognozę kształtowania się </w:t>
      </w:r>
      <w:r>
        <w:rPr>
          <w:rFonts w:ascii="Verdana" w:hAnsi="Verdana" w:cs="Arial"/>
          <w:sz w:val="16"/>
          <w:szCs w:val="16"/>
        </w:rPr>
        <w:t>relacji między dochodami bieżącymi a wydatkami bieżącymi</w:t>
      </w:r>
      <w:r w:rsidRPr="000A6485">
        <w:rPr>
          <w:rFonts w:ascii="Verdana" w:hAnsi="Verdana" w:cs="Arial"/>
          <w:sz w:val="16"/>
          <w:szCs w:val="16"/>
        </w:rPr>
        <w:t xml:space="preserve"> w perspektywie objętej W</w:t>
      </w:r>
      <w:r>
        <w:rPr>
          <w:rFonts w:ascii="Verdana" w:hAnsi="Verdana" w:cs="Arial"/>
          <w:sz w:val="16"/>
          <w:szCs w:val="16"/>
        </w:rPr>
        <w:t xml:space="preserve">PF </w:t>
      </w:r>
      <w:r w:rsidRPr="008F3935">
        <w:rPr>
          <w:rFonts w:ascii="Verdana" w:eastAsiaTheme="minorEastAsia" w:hAnsi="Verdana" w:cs="Verdana"/>
          <w:color w:val="000000"/>
          <w:sz w:val="16"/>
          <w:szCs w:val="16"/>
        </w:rPr>
        <w:t>2024</w:t>
      </w:r>
      <w:r w:rsidRPr="000A6485">
        <w:rPr>
          <w:rFonts w:ascii="Verdana" w:hAnsi="Verdana" w:cs="Arial"/>
          <w:sz w:val="16"/>
          <w:szCs w:val="16"/>
        </w:rPr>
        <w:t>-2050.</w:t>
      </w:r>
    </w:p>
    <w:p w:rsidR="00CA374E" w:rsidRPr="000A6485" w:rsidRDefault="00CA374E" w:rsidP="00CA374E">
      <w:pPr>
        <w:tabs>
          <w:tab w:val="left" w:pos="0"/>
        </w:tabs>
        <w:spacing w:before="120" w:after="60" w:line="240" w:lineRule="auto"/>
        <w:rPr>
          <w:noProof/>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40</w:t>
      </w:r>
      <w:r w:rsidRPr="000A6485">
        <w:rPr>
          <w:rFonts w:ascii="Verdana" w:hAnsi="Verdana" w:cs="Arial"/>
          <w:b/>
          <w:bCs/>
          <w:sz w:val="14"/>
          <w:szCs w:val="14"/>
        </w:rPr>
        <w:fldChar w:fldCharType="end"/>
      </w:r>
      <w:r w:rsidRPr="000A6485">
        <w:rPr>
          <w:rFonts w:ascii="Verdana" w:hAnsi="Verdana" w:cs="Arial"/>
          <w:b/>
          <w:bCs/>
          <w:sz w:val="14"/>
          <w:szCs w:val="14"/>
        </w:rPr>
        <w:t xml:space="preserve">  PROGNOZA </w:t>
      </w:r>
      <w:r>
        <w:rPr>
          <w:rFonts w:ascii="Verdana" w:hAnsi="Verdana" w:cs="Arial"/>
          <w:b/>
          <w:bCs/>
          <w:sz w:val="14"/>
          <w:szCs w:val="14"/>
        </w:rPr>
        <w:t xml:space="preserve">WYNIKU OPERACYJNEGO (RÓŻNICA MIĘDZY DOCHODAMI BIEŻĄCYMI A WYDATKAMI </w:t>
      </w:r>
      <w:r>
        <w:rPr>
          <w:rFonts w:ascii="Verdana" w:hAnsi="Verdana" w:cs="Arial"/>
          <w:b/>
          <w:bCs/>
          <w:sz w:val="14"/>
          <w:szCs w:val="14"/>
        </w:rPr>
        <w:br/>
        <w:t xml:space="preserve">                BIEŻĄCYMI)</w:t>
      </w:r>
      <w:r w:rsidRPr="000A6485">
        <w:rPr>
          <w:rFonts w:ascii="Verdana" w:hAnsi="Verdana" w:cs="Arial"/>
          <w:b/>
          <w:bCs/>
          <w:sz w:val="14"/>
          <w:szCs w:val="14"/>
        </w:rPr>
        <w:t xml:space="preserve"> W M.ST. WARSZAWA </w:t>
      </w:r>
      <w:r>
        <w:rPr>
          <w:rFonts w:ascii="Verdana" w:hAnsi="Verdana" w:cs="Arial"/>
          <w:b/>
          <w:bCs/>
          <w:sz w:val="14"/>
          <w:szCs w:val="14"/>
        </w:rPr>
        <w:t xml:space="preserve">NA LATA </w:t>
      </w:r>
      <w:r w:rsidRPr="008F3935">
        <w:rPr>
          <w:rFonts w:ascii="Verdana" w:hAnsi="Verdana" w:cs="Arial"/>
          <w:b/>
          <w:bCs/>
          <w:sz w:val="14"/>
          <w:szCs w:val="14"/>
        </w:rPr>
        <w:t>2024</w:t>
      </w:r>
      <w:r w:rsidRPr="000A6485">
        <w:rPr>
          <w:rFonts w:ascii="Verdana" w:hAnsi="Verdana" w:cs="Arial"/>
          <w:b/>
          <w:bCs/>
          <w:sz w:val="14"/>
          <w:szCs w:val="14"/>
        </w:rPr>
        <w:t xml:space="preserve">-2050 </w:t>
      </w:r>
      <w:r>
        <w:rPr>
          <w:rFonts w:ascii="Verdana" w:hAnsi="Verdana" w:cs="Arial"/>
          <w:bCs/>
          <w:sz w:val="14"/>
          <w:szCs w:val="14"/>
        </w:rPr>
        <w:t xml:space="preserve">[w </w:t>
      </w:r>
      <w:r w:rsidRPr="000A6485">
        <w:rPr>
          <w:rFonts w:ascii="Verdana" w:hAnsi="Verdana" w:cs="Arial"/>
          <w:bCs/>
          <w:sz w:val="14"/>
          <w:szCs w:val="14"/>
        </w:rPr>
        <w:t>mln zł]</w:t>
      </w:r>
      <w:r w:rsidRPr="000A6485">
        <w:rPr>
          <w:rFonts w:ascii="Verdana" w:hAnsi="Verdana" w:cs="Arial"/>
          <w:b/>
          <w:bCs/>
          <w:sz w:val="14"/>
          <w:szCs w:val="14"/>
        </w:rPr>
        <w:br/>
      </w:r>
      <w:r w:rsidR="00E91E8C">
        <w:rPr>
          <w:noProof/>
        </w:rPr>
        <w:pict>
          <v:shape id="_x0000_i1061" type="#_x0000_t75" style="width:438.6pt;height:255.3pt">
            <v:imagedata r:id="rId54" o:title=""/>
          </v:shape>
        </w:pict>
      </w:r>
    </w:p>
    <w:p w:rsidR="00CA374E" w:rsidRPr="000A6485" w:rsidRDefault="00CA374E" w:rsidP="00CA374E">
      <w:pPr>
        <w:spacing w:before="240" w:after="240"/>
        <w:rPr>
          <w:rFonts w:ascii="Verdana" w:hAnsi="Verdana"/>
          <w:b/>
          <w:bCs/>
          <w:sz w:val="20"/>
          <w:szCs w:val="20"/>
        </w:rPr>
      </w:pPr>
      <w:r w:rsidRPr="000A6485">
        <w:rPr>
          <w:rFonts w:ascii="Verdana" w:hAnsi="Verdana"/>
          <w:b/>
          <w:bCs/>
          <w:sz w:val="20"/>
          <w:szCs w:val="20"/>
        </w:rPr>
        <w:t>8.2 Reguła indywidualnego limitu obsługi długu</w:t>
      </w:r>
    </w:p>
    <w:p w:rsidR="00CA374E" w:rsidRPr="000A6485" w:rsidRDefault="00CA374E" w:rsidP="00CA374E">
      <w:pPr>
        <w:spacing w:before="60" w:after="60"/>
        <w:ind w:firstLine="567"/>
        <w:jc w:val="both"/>
        <w:rPr>
          <w:rFonts w:ascii="Verdana" w:hAnsi="Verdana"/>
          <w:iCs/>
          <w:sz w:val="16"/>
          <w:szCs w:val="16"/>
        </w:rPr>
      </w:pPr>
      <w:r w:rsidRPr="000A6485">
        <w:rPr>
          <w:rFonts w:ascii="Verdana" w:hAnsi="Verdana" w:cs="Arial"/>
          <w:bCs/>
          <w:sz w:val="16"/>
          <w:szCs w:val="16"/>
        </w:rPr>
        <w:t>Szczegółowo reguła została omówiona w pkt 4.1.2.</w:t>
      </w:r>
    </w:p>
    <w:p w:rsidR="00CA374E" w:rsidRPr="000A66C4" w:rsidRDefault="00CA374E" w:rsidP="00CA374E">
      <w:pPr>
        <w:spacing w:before="60" w:after="60"/>
        <w:jc w:val="both"/>
        <w:rPr>
          <w:rFonts w:ascii="Verdana" w:hAnsi="Verdana"/>
          <w:b/>
          <w:iCs/>
          <w:sz w:val="16"/>
          <w:szCs w:val="16"/>
        </w:rPr>
      </w:pPr>
      <w:r w:rsidRPr="000A6485">
        <w:rPr>
          <w:rFonts w:ascii="Verdana" w:hAnsi="Verdana"/>
          <w:iCs/>
          <w:sz w:val="16"/>
          <w:szCs w:val="16"/>
        </w:rPr>
        <w:t xml:space="preserve">Zgodnie z art. 243 </w:t>
      </w:r>
      <w:r w:rsidRPr="000A6485">
        <w:rPr>
          <w:rFonts w:ascii="Verdana" w:hAnsi="Verdana"/>
          <w:bCs/>
          <w:sz w:val="16"/>
          <w:szCs w:val="16"/>
        </w:rPr>
        <w:t>ustawy o finansach publicznych organ stanowiący jednostki samorządu terytorialnego nie może uchwalić budżetu, którego realizacja spowoduje, że w roku budżetowym oraz w każdym roku następującym po roku budżetowym,</w:t>
      </w:r>
      <w:r w:rsidRPr="000A6485">
        <w:rPr>
          <w:rFonts w:ascii="Verdana" w:hAnsi="Verdana"/>
          <w:iCs/>
          <w:sz w:val="16"/>
          <w:szCs w:val="16"/>
        </w:rPr>
        <w:t xml:space="preserve"> co do </w:t>
      </w:r>
      <w:r w:rsidRPr="000A66C4">
        <w:rPr>
          <w:rFonts w:ascii="Verdana" w:hAnsi="Verdana"/>
          <w:b/>
          <w:iCs/>
          <w:sz w:val="16"/>
          <w:szCs w:val="16"/>
        </w:rPr>
        <w:t xml:space="preserve">zasady wysokość obciążeń budżetu związanych z obsługą zadłużenia (kapitał </w:t>
      </w:r>
      <w:r>
        <w:rPr>
          <w:rFonts w:ascii="Verdana" w:hAnsi="Verdana"/>
          <w:b/>
          <w:iCs/>
          <w:sz w:val="16"/>
          <w:szCs w:val="16"/>
        </w:rPr>
        <w:br/>
      </w:r>
      <w:r w:rsidRPr="000A66C4">
        <w:rPr>
          <w:rFonts w:ascii="Verdana" w:hAnsi="Verdana"/>
          <w:b/>
          <w:iCs/>
          <w:sz w:val="16"/>
          <w:szCs w:val="16"/>
        </w:rPr>
        <w:t>i odsetki) i udzielonymi poręczeniami i gwarancjami w relacji do dochodów bieżących przekroczy historycznie ukształtowany średni poziom relacji nadwyżki dochodów bieżących nad wydatkami bieżącymi do dochodów bieżących.</w:t>
      </w:r>
    </w:p>
    <w:p w:rsidR="00CA374E" w:rsidRPr="000A6485" w:rsidRDefault="00CA374E" w:rsidP="00CA374E">
      <w:pPr>
        <w:spacing w:before="60" w:after="60"/>
        <w:jc w:val="both"/>
        <w:rPr>
          <w:rFonts w:ascii="Verdana" w:hAnsi="Verdana"/>
          <w:iCs/>
          <w:sz w:val="16"/>
          <w:szCs w:val="16"/>
        </w:rPr>
      </w:pPr>
      <w:r w:rsidRPr="000A6485">
        <w:rPr>
          <w:rFonts w:ascii="Verdana" w:hAnsi="Verdana"/>
          <w:iCs/>
          <w:sz w:val="16"/>
          <w:szCs w:val="16"/>
        </w:rPr>
        <w:t xml:space="preserve">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okres, na podstawie którego obliczany jest przeciętny poziom relacji nadwyżki dochodów bieżących nad wydatkami bieżącymi do dochodów bieżących, obejmuje </w:t>
      </w:r>
      <w:r w:rsidRPr="000A6485">
        <w:rPr>
          <w:rFonts w:ascii="Verdana" w:hAnsi="Verdana"/>
          <w:b/>
          <w:iCs/>
          <w:sz w:val="16"/>
          <w:szCs w:val="16"/>
        </w:rPr>
        <w:t>trzy lata</w:t>
      </w:r>
      <w:r w:rsidRPr="000A6485">
        <w:rPr>
          <w:rFonts w:ascii="Verdana" w:hAnsi="Verdana"/>
          <w:iCs/>
          <w:sz w:val="16"/>
          <w:szCs w:val="16"/>
        </w:rPr>
        <w:t xml:space="preserve"> poprzedzające rok, dla którego badany jest dopuszczalny poziom obciążeń budżetu związanych z obsługą długu w relacji do dochodów bieżących. Natomiast począwszy od </w:t>
      </w:r>
      <w:r w:rsidRPr="000A6485">
        <w:rPr>
          <w:rFonts w:ascii="Verdana" w:hAnsi="Verdana"/>
          <w:b/>
          <w:iCs/>
          <w:sz w:val="16"/>
          <w:szCs w:val="16"/>
        </w:rPr>
        <w:t>2026 r.</w:t>
      </w:r>
      <w:r w:rsidRPr="000A6485">
        <w:rPr>
          <w:rFonts w:ascii="Verdana" w:hAnsi="Verdana"/>
          <w:iCs/>
          <w:sz w:val="16"/>
          <w:szCs w:val="16"/>
        </w:rPr>
        <w:t xml:space="preserve"> okres ten obejmuje </w:t>
      </w:r>
      <w:r w:rsidRPr="000A6485">
        <w:rPr>
          <w:rFonts w:ascii="Verdana" w:hAnsi="Verdana"/>
          <w:b/>
          <w:iCs/>
          <w:sz w:val="16"/>
          <w:szCs w:val="16"/>
        </w:rPr>
        <w:t>siedem lat</w:t>
      </w:r>
      <w:r w:rsidRPr="000A6485">
        <w:rPr>
          <w:rFonts w:ascii="Verdana" w:hAnsi="Verdana"/>
          <w:iCs/>
          <w:sz w:val="16"/>
          <w:szCs w:val="16"/>
        </w:rPr>
        <w:t xml:space="preserve"> poprzedzających rok, dla którego ustalany jest limit obciążeń budżetu związanych z obsługą długu.</w:t>
      </w:r>
    </w:p>
    <w:p w:rsidR="00CA374E" w:rsidRDefault="00CA374E" w:rsidP="00CA374E">
      <w:pPr>
        <w:spacing w:before="60" w:after="60"/>
        <w:jc w:val="both"/>
        <w:rPr>
          <w:rFonts w:ascii="Verdana" w:hAnsi="Verdana"/>
          <w:iCs/>
          <w:sz w:val="16"/>
          <w:szCs w:val="16"/>
        </w:rPr>
      </w:pPr>
      <w:r w:rsidRPr="000A6485">
        <w:rPr>
          <w:rFonts w:ascii="Verdana" w:hAnsi="Verdana"/>
          <w:iCs/>
          <w:sz w:val="16"/>
          <w:szCs w:val="16"/>
        </w:rPr>
        <w:t xml:space="preserve">Przy kalkulacji limitu obciążeń budżetu związanych z obsługą długu dla </w:t>
      </w:r>
      <w:r>
        <w:rPr>
          <w:rFonts w:ascii="Verdana" w:hAnsi="Verdana"/>
          <w:b/>
          <w:iCs/>
          <w:sz w:val="16"/>
          <w:szCs w:val="16"/>
        </w:rPr>
        <w:t>lat 2022</w:t>
      </w:r>
      <w:r w:rsidRPr="000A6485">
        <w:rPr>
          <w:rFonts w:ascii="Verdana" w:hAnsi="Verdana"/>
          <w:b/>
          <w:iCs/>
          <w:sz w:val="16"/>
          <w:szCs w:val="16"/>
        </w:rPr>
        <w:t>-2025</w:t>
      </w:r>
      <w:r w:rsidRPr="000A6485">
        <w:rPr>
          <w:rFonts w:ascii="Verdana" w:hAnsi="Verdana"/>
          <w:iCs/>
          <w:sz w:val="16"/>
          <w:szCs w:val="16"/>
        </w:rPr>
        <w:t xml:space="preserve">, poziom nadwyżki dochodów bieżących nad wydatkami bieżącymi </w:t>
      </w:r>
      <w:r w:rsidRPr="000A6485">
        <w:rPr>
          <w:rFonts w:ascii="Verdana" w:hAnsi="Verdana"/>
          <w:b/>
          <w:iCs/>
          <w:sz w:val="16"/>
          <w:szCs w:val="16"/>
        </w:rPr>
        <w:t>powiększany jest o dochody ze sprzedaży majątku</w:t>
      </w:r>
      <w:r w:rsidRPr="000A6485">
        <w:rPr>
          <w:rFonts w:ascii="Verdana" w:hAnsi="Verdana"/>
          <w:iCs/>
          <w:sz w:val="16"/>
          <w:szCs w:val="16"/>
        </w:rPr>
        <w:t xml:space="preserve">. </w:t>
      </w:r>
    </w:p>
    <w:p w:rsidR="00CA374E" w:rsidRDefault="00CA374E" w:rsidP="00CA374E">
      <w:pPr>
        <w:spacing w:before="60" w:after="60"/>
        <w:jc w:val="both"/>
        <w:rPr>
          <w:rFonts w:ascii="Verdana" w:hAnsi="Verdana"/>
          <w:iCs/>
          <w:sz w:val="16"/>
          <w:szCs w:val="16"/>
        </w:rPr>
      </w:pPr>
      <w:r>
        <w:rPr>
          <w:rFonts w:ascii="Verdana" w:hAnsi="Verdana" w:cs="Arial"/>
          <w:sz w:val="16"/>
          <w:szCs w:val="16"/>
        </w:rPr>
        <w:t>Przepis art. 7 ustawy</w:t>
      </w:r>
      <w:r w:rsidRPr="00006222">
        <w:rPr>
          <w:rFonts w:ascii="Verdana" w:hAnsi="Verdana" w:cs="Arial"/>
          <w:sz w:val="16"/>
          <w:szCs w:val="16"/>
        </w:rPr>
        <w:t xml:space="preserve"> z </w:t>
      </w:r>
      <w:r>
        <w:rPr>
          <w:rFonts w:ascii="Verdana" w:hAnsi="Verdana" w:cs="Arial"/>
          <w:sz w:val="16"/>
          <w:szCs w:val="16"/>
        </w:rPr>
        <w:t>14 października</w:t>
      </w:r>
      <w:r w:rsidRPr="00006222">
        <w:rPr>
          <w:rFonts w:ascii="Verdana" w:hAnsi="Verdana" w:cs="Arial"/>
          <w:sz w:val="16"/>
          <w:szCs w:val="16"/>
        </w:rPr>
        <w:t xml:space="preserve"> 2021 r. </w:t>
      </w:r>
      <w:r w:rsidRPr="00006222">
        <w:rPr>
          <w:rFonts w:ascii="Verdana" w:hAnsi="Verdana" w:cs="Arial"/>
          <w:i/>
          <w:sz w:val="16"/>
          <w:szCs w:val="16"/>
        </w:rPr>
        <w:t xml:space="preserve">o zmianie ustawy o dochodach jednostek samorządu terytorialnego oraz niektórych innych </w:t>
      </w:r>
      <w:r w:rsidRPr="00E7313D">
        <w:rPr>
          <w:rFonts w:ascii="Verdana" w:hAnsi="Verdana" w:cs="Arial"/>
          <w:i/>
          <w:sz w:val="16"/>
          <w:szCs w:val="16"/>
        </w:rPr>
        <w:t>ustaw</w:t>
      </w:r>
      <w:r w:rsidRPr="00E7313D">
        <w:rPr>
          <w:rFonts w:ascii="Verdana" w:hAnsi="Verdana" w:cs="Arial"/>
          <w:sz w:val="16"/>
          <w:szCs w:val="16"/>
        </w:rPr>
        <w:t xml:space="preserve"> </w:t>
      </w:r>
      <w:r>
        <w:rPr>
          <w:rFonts w:ascii="Verdana" w:hAnsi="Verdana" w:cs="Arial"/>
          <w:sz w:val="16"/>
          <w:szCs w:val="16"/>
        </w:rPr>
        <w:t xml:space="preserve">(Dz.U. </w:t>
      </w:r>
      <w:r w:rsidRPr="00E7313D">
        <w:rPr>
          <w:rFonts w:ascii="Verdana" w:hAnsi="Verdana" w:cs="Arial"/>
          <w:sz w:val="16"/>
          <w:szCs w:val="16"/>
        </w:rPr>
        <w:t>poz. 1927)</w:t>
      </w:r>
      <w:r>
        <w:rPr>
          <w:rFonts w:ascii="Verdana" w:hAnsi="Verdana" w:cs="Arial"/>
          <w:sz w:val="16"/>
          <w:szCs w:val="16"/>
        </w:rPr>
        <w:t xml:space="preserve"> dopuszcza</w:t>
      </w:r>
      <w:r w:rsidRPr="00006222">
        <w:rPr>
          <w:rFonts w:ascii="Verdana" w:hAnsi="Verdana" w:cs="Arial"/>
          <w:sz w:val="16"/>
          <w:szCs w:val="16"/>
        </w:rPr>
        <w:t xml:space="preserve"> </w:t>
      </w:r>
      <w:r>
        <w:rPr>
          <w:rFonts w:ascii="Verdana" w:hAnsi="Verdana" w:cs="Arial"/>
          <w:sz w:val="16"/>
          <w:szCs w:val="16"/>
        </w:rPr>
        <w:t xml:space="preserve">możliwość </w:t>
      </w:r>
      <w:r w:rsidRPr="00D75B39">
        <w:rPr>
          <w:rFonts w:ascii="Verdana" w:hAnsi="Verdana" w:cs="Arial"/>
          <w:b/>
          <w:sz w:val="16"/>
          <w:szCs w:val="16"/>
        </w:rPr>
        <w:t xml:space="preserve">wyznaczania indywidualnego limitu obsługi długu na lata 2022-2025 na podstawie </w:t>
      </w:r>
      <w:r w:rsidRPr="00F8491E">
        <w:rPr>
          <w:rFonts w:ascii="Verdana" w:hAnsi="Verdana" w:cs="Arial"/>
          <w:b/>
          <w:sz w:val="16"/>
          <w:szCs w:val="16"/>
        </w:rPr>
        <w:t>siedmiu</w:t>
      </w:r>
      <w:r>
        <w:rPr>
          <w:rFonts w:ascii="Verdana" w:hAnsi="Verdana" w:cs="Arial"/>
          <w:sz w:val="16"/>
          <w:szCs w:val="16"/>
        </w:rPr>
        <w:t xml:space="preserve"> </w:t>
      </w:r>
      <w:r w:rsidRPr="00D75B39">
        <w:rPr>
          <w:rFonts w:ascii="Verdana" w:hAnsi="Verdana" w:cs="Arial"/>
          <w:b/>
          <w:sz w:val="16"/>
          <w:szCs w:val="16"/>
        </w:rPr>
        <w:t>poprzednich lat</w:t>
      </w:r>
      <w:r>
        <w:rPr>
          <w:rFonts w:ascii="Verdana" w:hAnsi="Verdana" w:cs="Arial"/>
          <w:sz w:val="16"/>
          <w:szCs w:val="16"/>
        </w:rPr>
        <w:t xml:space="preserve"> (</w:t>
      </w:r>
      <w:r>
        <w:rPr>
          <w:rFonts w:ascii="Verdana" w:hAnsi="Verdana"/>
          <w:iCs/>
          <w:sz w:val="16"/>
          <w:szCs w:val="16"/>
        </w:rPr>
        <w:t xml:space="preserve">dla roku </w:t>
      </w:r>
      <w:r w:rsidRPr="008F3935">
        <w:rPr>
          <w:rFonts w:ascii="Verdana" w:eastAsiaTheme="minorEastAsia" w:hAnsi="Verdana" w:cs="Verdana"/>
          <w:color w:val="000000"/>
          <w:sz w:val="16"/>
          <w:szCs w:val="16"/>
        </w:rPr>
        <w:t>2024</w:t>
      </w:r>
      <w:r w:rsidRPr="00011AAA">
        <w:rPr>
          <w:rFonts w:ascii="Verdana" w:hAnsi="Verdana"/>
          <w:iCs/>
          <w:sz w:val="16"/>
          <w:szCs w:val="16"/>
        </w:rPr>
        <w:t xml:space="preserve"> br</w:t>
      </w:r>
      <w:r>
        <w:rPr>
          <w:rFonts w:ascii="Verdana" w:hAnsi="Verdana"/>
          <w:iCs/>
          <w:sz w:val="16"/>
          <w:szCs w:val="16"/>
        </w:rPr>
        <w:t>ane są pod uwagę dane z lat 2015-2021)</w:t>
      </w:r>
      <w:r>
        <w:rPr>
          <w:rFonts w:ascii="Verdana" w:hAnsi="Verdana" w:cs="Arial"/>
          <w:sz w:val="16"/>
          <w:szCs w:val="16"/>
        </w:rPr>
        <w:t xml:space="preserve"> </w:t>
      </w:r>
      <w:r w:rsidRPr="00D75B39">
        <w:rPr>
          <w:rFonts w:ascii="Verdana" w:hAnsi="Verdana" w:cs="Arial"/>
          <w:b/>
          <w:sz w:val="16"/>
          <w:szCs w:val="16"/>
        </w:rPr>
        <w:t>w miejsce poprzednio obowiązującego okresu trzyletniego</w:t>
      </w:r>
      <w:r>
        <w:rPr>
          <w:rFonts w:ascii="Verdana" w:hAnsi="Verdana" w:cs="Arial"/>
          <w:sz w:val="16"/>
          <w:szCs w:val="16"/>
        </w:rPr>
        <w:t xml:space="preserve">. </w:t>
      </w:r>
      <w:r w:rsidRPr="00006222">
        <w:rPr>
          <w:rFonts w:ascii="Verdana" w:hAnsi="Verdana" w:cs="Arial"/>
          <w:sz w:val="16"/>
          <w:szCs w:val="16"/>
        </w:rPr>
        <w:t xml:space="preserve">Zgodnie </w:t>
      </w:r>
      <w:r>
        <w:rPr>
          <w:rFonts w:ascii="Verdana" w:hAnsi="Verdana" w:cs="Arial"/>
          <w:sz w:val="16"/>
          <w:szCs w:val="16"/>
        </w:rPr>
        <w:br/>
      </w:r>
      <w:r w:rsidRPr="00006222">
        <w:rPr>
          <w:rFonts w:ascii="Verdana" w:hAnsi="Verdana" w:cs="Arial"/>
          <w:sz w:val="16"/>
          <w:szCs w:val="16"/>
        </w:rPr>
        <w:t xml:space="preserve">z </w:t>
      </w:r>
      <w:r>
        <w:rPr>
          <w:rFonts w:ascii="Verdana" w:hAnsi="Verdana" w:cs="Arial"/>
          <w:sz w:val="16"/>
          <w:szCs w:val="16"/>
        </w:rPr>
        <w:t xml:space="preserve">uchwalonym </w:t>
      </w:r>
      <w:r w:rsidRPr="00006222">
        <w:rPr>
          <w:rFonts w:ascii="Verdana" w:hAnsi="Verdana" w:cs="Arial"/>
          <w:sz w:val="16"/>
          <w:szCs w:val="16"/>
        </w:rPr>
        <w:t xml:space="preserve">przepisem okres, na podstawie którego wyznaczany jest indywidualny limit obsługi długu dla danego roku, dla lat 2022-2025 może obejmować tak jak </w:t>
      </w:r>
      <w:r>
        <w:rPr>
          <w:rFonts w:ascii="Verdana" w:hAnsi="Verdana" w:cs="Arial"/>
          <w:sz w:val="16"/>
          <w:szCs w:val="16"/>
        </w:rPr>
        <w:t>przed zmianą przepisów</w:t>
      </w:r>
      <w:r w:rsidRPr="00006222">
        <w:rPr>
          <w:rFonts w:ascii="Verdana" w:hAnsi="Verdana" w:cs="Arial"/>
          <w:sz w:val="16"/>
          <w:szCs w:val="16"/>
        </w:rPr>
        <w:t xml:space="preserve"> </w:t>
      </w:r>
      <w:r w:rsidRPr="00F8491E">
        <w:rPr>
          <w:rFonts w:ascii="Verdana" w:hAnsi="Verdana" w:cs="Arial"/>
          <w:b/>
          <w:sz w:val="16"/>
          <w:szCs w:val="16"/>
        </w:rPr>
        <w:t xml:space="preserve">trzy wcześniejsze lata lub </w:t>
      </w:r>
      <w:r>
        <w:rPr>
          <w:rFonts w:ascii="Verdana" w:hAnsi="Verdana" w:cs="Arial"/>
          <w:b/>
          <w:sz w:val="16"/>
          <w:szCs w:val="16"/>
        </w:rPr>
        <w:t>mógł</w:t>
      </w:r>
      <w:r w:rsidRPr="00F8491E">
        <w:rPr>
          <w:rFonts w:ascii="Verdana" w:hAnsi="Verdana" w:cs="Arial"/>
          <w:b/>
          <w:sz w:val="16"/>
          <w:szCs w:val="16"/>
        </w:rPr>
        <w:t xml:space="preserve"> zostać </w:t>
      </w:r>
      <w:r>
        <w:rPr>
          <w:rFonts w:ascii="Verdana" w:hAnsi="Verdana" w:cs="Arial"/>
          <w:b/>
          <w:sz w:val="16"/>
          <w:szCs w:val="16"/>
        </w:rPr>
        <w:t>wydłużony</w:t>
      </w:r>
      <w:r w:rsidRPr="00F8491E">
        <w:rPr>
          <w:rFonts w:ascii="Verdana" w:hAnsi="Verdana" w:cs="Arial"/>
          <w:b/>
          <w:sz w:val="16"/>
          <w:szCs w:val="16"/>
        </w:rPr>
        <w:t xml:space="preserve"> na siedem poprzedzających lat</w:t>
      </w:r>
      <w:r>
        <w:rPr>
          <w:rFonts w:ascii="Verdana" w:hAnsi="Verdana" w:cs="Arial"/>
          <w:sz w:val="16"/>
          <w:szCs w:val="16"/>
        </w:rPr>
        <w:t xml:space="preserve">. Powyższy przepis </w:t>
      </w:r>
      <w:r>
        <w:rPr>
          <w:rFonts w:ascii="Verdana" w:hAnsi="Verdana" w:cs="Arial"/>
          <w:b/>
          <w:sz w:val="16"/>
          <w:szCs w:val="16"/>
        </w:rPr>
        <w:t>zobowiązał</w:t>
      </w:r>
      <w:r w:rsidRPr="00AC1B12">
        <w:rPr>
          <w:rFonts w:ascii="Verdana" w:hAnsi="Verdana" w:cs="Arial"/>
          <w:b/>
          <w:sz w:val="16"/>
          <w:szCs w:val="16"/>
        </w:rPr>
        <w:t xml:space="preserve"> organ wykonawczy jednostki samorządu terytorialnego do dokonania </w:t>
      </w:r>
      <w:r>
        <w:rPr>
          <w:rFonts w:ascii="Verdana" w:hAnsi="Verdana" w:cs="Arial"/>
          <w:b/>
          <w:sz w:val="16"/>
          <w:szCs w:val="16"/>
        </w:rPr>
        <w:t xml:space="preserve">w terminie do 31 grudnia 2021 r. </w:t>
      </w:r>
      <w:r w:rsidRPr="00AC1B12">
        <w:rPr>
          <w:rFonts w:ascii="Verdana" w:hAnsi="Verdana" w:cs="Arial"/>
          <w:b/>
          <w:sz w:val="16"/>
          <w:szCs w:val="16"/>
        </w:rPr>
        <w:t xml:space="preserve">wyboru dla lat 2022-2025 długości okresu stosowanego w badaniu spełnienia reguły indywidualnego </w:t>
      </w:r>
      <w:r w:rsidRPr="00AC1B12">
        <w:rPr>
          <w:rFonts w:ascii="Verdana" w:hAnsi="Verdana" w:cs="Arial"/>
          <w:b/>
          <w:sz w:val="16"/>
          <w:szCs w:val="16"/>
        </w:rPr>
        <w:lastRenderedPageBreak/>
        <w:t>limitu obsługi długu JST</w:t>
      </w:r>
      <w:r w:rsidRPr="00006222">
        <w:rPr>
          <w:rFonts w:ascii="Verdana" w:hAnsi="Verdana" w:cs="Arial"/>
          <w:sz w:val="16"/>
          <w:szCs w:val="16"/>
        </w:rPr>
        <w:t xml:space="preserve"> </w:t>
      </w:r>
      <w:r>
        <w:rPr>
          <w:rFonts w:ascii="Verdana" w:hAnsi="Verdana" w:cs="Arial"/>
          <w:sz w:val="16"/>
          <w:szCs w:val="16"/>
        </w:rPr>
        <w:t>i następnie przekazania informacji</w:t>
      </w:r>
      <w:r w:rsidRPr="00006222">
        <w:rPr>
          <w:rFonts w:ascii="Verdana" w:hAnsi="Verdana" w:cs="Arial"/>
          <w:sz w:val="16"/>
          <w:szCs w:val="16"/>
        </w:rPr>
        <w:t xml:space="preserve"> w tym </w:t>
      </w:r>
      <w:r>
        <w:rPr>
          <w:rFonts w:ascii="Verdana" w:hAnsi="Verdana" w:cs="Arial"/>
          <w:sz w:val="16"/>
          <w:szCs w:val="16"/>
        </w:rPr>
        <w:t>względzie</w:t>
      </w:r>
      <w:r w:rsidRPr="00006222">
        <w:rPr>
          <w:rFonts w:ascii="Verdana" w:hAnsi="Verdana" w:cs="Arial"/>
          <w:sz w:val="16"/>
          <w:szCs w:val="16"/>
        </w:rPr>
        <w:t xml:space="preserve"> właściwej regionalnej izbie obrachunkowej oraz organowi stanowiącemu. </w:t>
      </w:r>
      <w:r w:rsidRPr="00E339B7">
        <w:rPr>
          <w:rFonts w:ascii="Verdana" w:hAnsi="Verdana" w:cs="Arial"/>
          <w:b/>
          <w:sz w:val="16"/>
          <w:szCs w:val="16"/>
        </w:rPr>
        <w:t xml:space="preserve">Prezydent m.st. Warszawy jako organ wykonawczy dokonał dla lat 2022-2025 wyboru 7-letniego okresu stosowanego do wyliczenia relacji, o której mowa </w:t>
      </w:r>
      <w:r>
        <w:rPr>
          <w:rFonts w:ascii="Verdana" w:hAnsi="Verdana" w:cs="Arial"/>
          <w:b/>
          <w:sz w:val="16"/>
          <w:szCs w:val="16"/>
        </w:rPr>
        <w:br/>
      </w:r>
      <w:r w:rsidRPr="00E339B7">
        <w:rPr>
          <w:rFonts w:ascii="Verdana" w:hAnsi="Verdana" w:cs="Arial"/>
          <w:b/>
          <w:sz w:val="16"/>
          <w:szCs w:val="16"/>
        </w:rPr>
        <w:t>w art. 243 ustawy o finansach publicznych</w:t>
      </w:r>
      <w:r w:rsidRPr="00011AAA">
        <w:rPr>
          <w:rStyle w:val="Odwoanieprzypisudolnego"/>
          <w:rFonts w:ascii="Verdana" w:hAnsi="Verdana"/>
          <w:bCs/>
          <w:iCs/>
          <w:color w:val="000000"/>
          <w:sz w:val="16"/>
          <w:szCs w:val="16"/>
        </w:rPr>
        <w:footnoteReference w:id="12"/>
      </w:r>
      <w:r>
        <w:rPr>
          <w:rFonts w:ascii="Verdana" w:hAnsi="Verdana" w:cs="Arial"/>
          <w:b/>
          <w:sz w:val="16"/>
          <w:szCs w:val="16"/>
        </w:rPr>
        <w:t xml:space="preserve"> oraz poinformował o wyborze Regionalną Izbę Obrachunkową w Warszawie w piśmie z 26 listopada 2021 r. nr GP-OR.0050.1795.2021 i Radę </w:t>
      </w:r>
      <w:r>
        <w:rPr>
          <w:rFonts w:ascii="Verdana" w:hAnsi="Verdana" w:cs="Arial"/>
          <w:b/>
          <w:sz w:val="16"/>
          <w:szCs w:val="16"/>
        </w:rPr>
        <w:br/>
        <w:t>m.st. Warszawy w piśmie z 26 listopada 2021 r. nr DR-7-OW.3150.6.2021.KPI</w:t>
      </w:r>
      <w:r w:rsidRPr="00E339B7">
        <w:rPr>
          <w:rFonts w:ascii="Verdana" w:hAnsi="Verdana" w:cs="Arial"/>
          <w:b/>
          <w:sz w:val="16"/>
          <w:szCs w:val="16"/>
        </w:rPr>
        <w:t>.</w:t>
      </w:r>
    </w:p>
    <w:p w:rsidR="00CA374E" w:rsidRPr="000A6485" w:rsidRDefault="00CA374E" w:rsidP="00CA374E">
      <w:pPr>
        <w:spacing w:before="60" w:after="60"/>
        <w:jc w:val="both"/>
        <w:rPr>
          <w:rFonts w:ascii="Verdana" w:hAnsi="Verdana"/>
          <w:iCs/>
          <w:sz w:val="16"/>
          <w:szCs w:val="16"/>
        </w:rPr>
      </w:pPr>
      <w:r>
        <w:rPr>
          <w:rFonts w:ascii="Verdana" w:hAnsi="Verdana"/>
          <w:iCs/>
          <w:sz w:val="16"/>
          <w:szCs w:val="16"/>
        </w:rPr>
        <w:t>N</w:t>
      </w:r>
      <w:r w:rsidRPr="000A6485">
        <w:rPr>
          <w:rFonts w:ascii="Verdana" w:hAnsi="Verdana"/>
          <w:iCs/>
          <w:sz w:val="16"/>
          <w:szCs w:val="16"/>
        </w:rPr>
        <w:t>adwyżka dochodów bieżących nad</w:t>
      </w:r>
      <w:r>
        <w:rPr>
          <w:rFonts w:ascii="Verdana" w:hAnsi="Verdana"/>
          <w:iCs/>
          <w:sz w:val="16"/>
          <w:szCs w:val="16"/>
        </w:rPr>
        <w:t xml:space="preserve"> wydatkami</w:t>
      </w:r>
      <w:r w:rsidRPr="000A6485">
        <w:rPr>
          <w:rFonts w:ascii="Verdana" w:hAnsi="Verdana"/>
          <w:iCs/>
          <w:sz w:val="16"/>
          <w:szCs w:val="16"/>
        </w:rPr>
        <w:t xml:space="preserve"> </w:t>
      </w:r>
      <w:r w:rsidRPr="000A6485">
        <w:rPr>
          <w:rFonts w:ascii="Verdana" w:hAnsi="Verdana"/>
          <w:b/>
          <w:iCs/>
          <w:sz w:val="16"/>
          <w:szCs w:val="16"/>
        </w:rPr>
        <w:t xml:space="preserve">korygowana jest o wydatki związane ze spłatą </w:t>
      </w:r>
      <w:r>
        <w:rPr>
          <w:rFonts w:ascii="Verdana" w:hAnsi="Verdana"/>
          <w:b/>
          <w:iCs/>
          <w:sz w:val="16"/>
          <w:szCs w:val="16"/>
        </w:rPr>
        <w:br/>
      </w:r>
      <w:r w:rsidRPr="000A6485">
        <w:rPr>
          <w:rFonts w:ascii="Verdana" w:hAnsi="Verdana"/>
          <w:b/>
          <w:iCs/>
          <w:sz w:val="16"/>
          <w:szCs w:val="16"/>
        </w:rPr>
        <w:t>i obsługą długu</w:t>
      </w:r>
      <w:r w:rsidRPr="000A6485">
        <w:rPr>
          <w:rFonts w:ascii="Verdana" w:hAnsi="Verdana"/>
          <w:iCs/>
          <w:sz w:val="16"/>
          <w:szCs w:val="16"/>
        </w:rPr>
        <w:t>.</w:t>
      </w:r>
    </w:p>
    <w:p w:rsidR="00CA374E" w:rsidRPr="00060815" w:rsidRDefault="00CA374E" w:rsidP="00CA374E">
      <w:pPr>
        <w:spacing w:before="60" w:after="60"/>
        <w:jc w:val="both"/>
        <w:rPr>
          <w:rFonts w:ascii="Verdana" w:hAnsi="Verdana" w:cs="Verdana"/>
          <w:color w:val="000000"/>
          <w:sz w:val="16"/>
          <w:szCs w:val="16"/>
        </w:rPr>
      </w:pPr>
      <w:r w:rsidRPr="000A6485">
        <w:rPr>
          <w:rFonts w:ascii="Verdana" w:hAnsi="Verdana" w:cs="Verdana"/>
          <w:color w:val="000000"/>
          <w:sz w:val="16"/>
          <w:szCs w:val="16"/>
        </w:rPr>
        <w:t>Do ograniczeń poziomu obsługi długu mają zastosowanie wyłączenia, które zasadniczo dotyczą zobowiązań dłużnych zaciąganych na realizację inwestycji współfinansowanych ze środków unijnych oraz wcześniejszej spłaty długu</w:t>
      </w:r>
      <w:r>
        <w:rPr>
          <w:rFonts w:ascii="Verdana" w:hAnsi="Verdana" w:cs="Verdana"/>
          <w:color w:val="000000"/>
          <w:sz w:val="16"/>
          <w:szCs w:val="16"/>
        </w:rPr>
        <w:t xml:space="preserve">, a także wyłącza się dług wraz z odsetkami pochodzący z lat 2020-2021 zaciągany z przeznaczeniem na pokrycie ubytku dochodów podatkowych </w:t>
      </w:r>
      <w:r w:rsidRPr="00001F1B">
        <w:rPr>
          <w:rFonts w:ascii="Verdana" w:hAnsi="Verdana" w:cs="Arial"/>
          <w:sz w:val="16"/>
          <w:szCs w:val="16"/>
        </w:rPr>
        <w:t>będącego skutkiem wystąpienia COVID-19</w:t>
      </w:r>
      <w:r>
        <w:rPr>
          <w:rFonts w:ascii="Verdana" w:hAnsi="Verdana" w:cs="Arial"/>
          <w:sz w:val="16"/>
          <w:szCs w:val="16"/>
        </w:rPr>
        <w:t xml:space="preserve"> oraz wyłącza się zobowiązania dłużne zaciągnięte na prefinansowanie inwestycji współfinansowanych z </w:t>
      </w:r>
      <w:r w:rsidRPr="00883367">
        <w:rPr>
          <w:rFonts w:ascii="Verdana" w:hAnsi="Verdana" w:cs="Arial"/>
          <w:sz w:val="16"/>
          <w:szCs w:val="16"/>
        </w:rPr>
        <w:t xml:space="preserve">Rządowego Funduszu Polski Ład: Program Inwestycji Strategicznych, w terminie nie dłuższym niż 90 dni po zakończeniu zadania </w:t>
      </w:r>
      <w:r>
        <w:rPr>
          <w:rFonts w:ascii="Verdana" w:hAnsi="Verdana" w:cs="Arial"/>
          <w:sz w:val="16"/>
          <w:szCs w:val="16"/>
        </w:rPr>
        <w:br/>
      </w:r>
      <w:r w:rsidRPr="00883367">
        <w:rPr>
          <w:rFonts w:ascii="Verdana" w:hAnsi="Verdana" w:cs="Arial"/>
          <w:sz w:val="16"/>
          <w:szCs w:val="16"/>
        </w:rPr>
        <w:t>i otrzymaniu dofinansowania ze środków pochodzących z tego Funduszu</w:t>
      </w:r>
      <w:r>
        <w:rPr>
          <w:rFonts w:ascii="Verdana" w:hAnsi="Verdana" w:cs="Arial"/>
          <w:sz w:val="16"/>
          <w:szCs w:val="16"/>
        </w:rPr>
        <w:t>, jak również przy ustalania limitu obsługi długu wyłącza się wydatki bieżące ponoszone</w:t>
      </w:r>
      <w:r w:rsidRPr="00060815">
        <w:rPr>
          <w:rFonts w:ascii="Verdana" w:hAnsi="Verdana" w:cs="Arial"/>
          <w:sz w:val="16"/>
          <w:szCs w:val="16"/>
        </w:rPr>
        <w:t xml:space="preserve"> w celu realizacji zadań związanych z pomocą obywatelom Ukrainy w związku z konfliktem zbrojnym na terytorium tego państwa w części, w jakiej nie są one finansowane środkami publicznymi otrzymanymi przez jednostkę na ten cel.</w:t>
      </w:r>
    </w:p>
    <w:p w:rsidR="00CA374E" w:rsidRDefault="00CA374E" w:rsidP="00CA374E">
      <w:pPr>
        <w:tabs>
          <w:tab w:val="left" w:pos="0"/>
        </w:tabs>
        <w:spacing w:before="60" w:after="60"/>
        <w:ind w:firstLine="567"/>
        <w:jc w:val="both"/>
        <w:rPr>
          <w:rFonts w:ascii="Verdana" w:hAnsi="Verdana" w:cs="Arial"/>
          <w:sz w:val="16"/>
          <w:szCs w:val="16"/>
        </w:rPr>
      </w:pPr>
      <w:r w:rsidRPr="000A6485">
        <w:rPr>
          <w:rFonts w:ascii="Verdana" w:hAnsi="Verdana" w:cs="Arial"/>
          <w:sz w:val="16"/>
          <w:szCs w:val="16"/>
        </w:rPr>
        <w:t xml:space="preserve">Wykres </w:t>
      </w:r>
      <w:r>
        <w:rPr>
          <w:rFonts w:ascii="Verdana" w:hAnsi="Verdana" w:cs="Arial"/>
          <w:sz w:val="16"/>
          <w:szCs w:val="16"/>
        </w:rPr>
        <w:t>nr 41</w:t>
      </w:r>
      <w:r w:rsidRPr="000A6485">
        <w:rPr>
          <w:rFonts w:ascii="Verdana" w:hAnsi="Verdana" w:cs="Arial"/>
          <w:sz w:val="16"/>
          <w:szCs w:val="16"/>
        </w:rPr>
        <w:t xml:space="preserve"> prezentuje kształtowanie się </w:t>
      </w:r>
      <w:r>
        <w:rPr>
          <w:rFonts w:ascii="Verdana" w:hAnsi="Verdana" w:cs="Arial"/>
          <w:sz w:val="16"/>
          <w:szCs w:val="16"/>
        </w:rPr>
        <w:t>ustawowej reguły obsługi długu</w:t>
      </w:r>
      <w:r w:rsidRPr="000A6485">
        <w:rPr>
          <w:rFonts w:ascii="Verdana" w:hAnsi="Verdana" w:cs="Arial"/>
          <w:sz w:val="16"/>
          <w:szCs w:val="16"/>
        </w:rPr>
        <w:t xml:space="preserve"> w perspektywie objętej </w:t>
      </w:r>
      <w:r>
        <w:rPr>
          <w:rFonts w:ascii="Verdana" w:hAnsi="Verdana" w:cs="Arial"/>
          <w:sz w:val="16"/>
          <w:szCs w:val="16"/>
        </w:rPr>
        <w:br/>
      </w:r>
      <w:r>
        <w:rPr>
          <w:rFonts w:ascii="Verdana" w:hAnsi="Verdana" w:cs="Verdana"/>
          <w:sz w:val="16"/>
          <w:szCs w:val="16"/>
        </w:rPr>
        <w:t>WPF 2024-2050</w:t>
      </w:r>
      <w:r w:rsidRPr="000A6485">
        <w:rPr>
          <w:rFonts w:ascii="Verdana" w:hAnsi="Verdana" w:cs="Arial"/>
          <w:sz w:val="16"/>
          <w:szCs w:val="16"/>
        </w:rPr>
        <w:t xml:space="preserve">, </w:t>
      </w:r>
      <w:r>
        <w:rPr>
          <w:rFonts w:ascii="Verdana" w:hAnsi="Verdana" w:cs="Arial"/>
          <w:sz w:val="16"/>
          <w:szCs w:val="16"/>
        </w:rPr>
        <w:t>przy limicie obsługi długu obliczonym</w:t>
      </w:r>
      <w:r w:rsidRPr="000A6485">
        <w:rPr>
          <w:rFonts w:ascii="Verdana" w:hAnsi="Verdana" w:cs="Arial"/>
          <w:sz w:val="16"/>
          <w:szCs w:val="16"/>
        </w:rPr>
        <w:t xml:space="preserve"> w oparciu o plan </w:t>
      </w:r>
      <w:r>
        <w:rPr>
          <w:rFonts w:ascii="Verdana" w:hAnsi="Verdana" w:cs="Arial"/>
          <w:sz w:val="16"/>
          <w:szCs w:val="16"/>
        </w:rPr>
        <w:t>na 2023 r. wg stanu na koniec trzeciego</w:t>
      </w:r>
      <w:r>
        <w:rPr>
          <w:rFonts w:ascii="Verdana" w:hAnsi="Verdana"/>
          <w:sz w:val="16"/>
          <w:szCs w:val="16"/>
        </w:rPr>
        <w:t xml:space="preserve"> kwartału</w:t>
      </w:r>
      <w:r w:rsidRPr="000A6485">
        <w:rPr>
          <w:rFonts w:ascii="Verdana" w:hAnsi="Verdana"/>
          <w:sz w:val="16"/>
          <w:szCs w:val="16"/>
        </w:rPr>
        <w:t>, z uwzględnieniem ustawowych wyłączeń</w:t>
      </w:r>
      <w:r w:rsidRPr="000A6485">
        <w:rPr>
          <w:rFonts w:ascii="Verdana" w:hAnsi="Verdana" w:cs="Arial"/>
          <w:sz w:val="16"/>
          <w:szCs w:val="16"/>
        </w:rPr>
        <w:t>.</w:t>
      </w:r>
    </w:p>
    <w:p w:rsidR="00CA374E" w:rsidRDefault="00CA374E" w:rsidP="00CA374E">
      <w:pPr>
        <w:tabs>
          <w:tab w:val="left" w:pos="851"/>
        </w:tabs>
        <w:spacing w:before="120" w:after="120" w:line="240" w:lineRule="auto"/>
        <w:rPr>
          <w:rFonts w:ascii="Verdana" w:hAnsi="Verdana" w:cs="Arial"/>
          <w:bCs/>
          <w:sz w:val="14"/>
          <w:szCs w:val="14"/>
        </w:rPr>
      </w:pPr>
      <w:r w:rsidRPr="000A6485">
        <w:rPr>
          <w:rFonts w:ascii="Verdana" w:hAnsi="Verdana" w:cs="Arial"/>
          <w:b/>
          <w:bCs/>
          <w:sz w:val="14"/>
          <w:szCs w:val="14"/>
        </w:rPr>
        <w:t xml:space="preserve">WYK.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Wyk. \* ARABIC </w:instrText>
      </w:r>
      <w:r w:rsidRPr="000A6485">
        <w:rPr>
          <w:rFonts w:ascii="Verdana" w:hAnsi="Verdana" w:cs="Arial"/>
          <w:b/>
          <w:bCs/>
          <w:sz w:val="14"/>
          <w:szCs w:val="14"/>
        </w:rPr>
        <w:fldChar w:fldCharType="separate"/>
      </w:r>
      <w:r>
        <w:rPr>
          <w:rFonts w:ascii="Verdana" w:hAnsi="Verdana" w:cs="Arial"/>
          <w:b/>
          <w:bCs/>
          <w:noProof/>
          <w:sz w:val="14"/>
          <w:szCs w:val="14"/>
        </w:rPr>
        <w:t>41</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BIEŻACYCH POMNIEJSZONYCH O DOTACJE I ŚRODKI PRZEZNACZONE NA CELE BIEŻĄCE </w:t>
      </w:r>
      <w:r>
        <w:rPr>
          <w:rFonts w:ascii="Verdana" w:hAnsi="Verdana" w:cs="Arial"/>
          <w:b/>
          <w:bCs/>
          <w:sz w:val="14"/>
          <w:szCs w:val="14"/>
        </w:rPr>
        <w:br/>
        <w:t xml:space="preserve">                W M.ST. WARSZAWA NA LATA </w:t>
      </w:r>
      <w:r w:rsidRPr="008F3935">
        <w:rPr>
          <w:rFonts w:ascii="Verdana" w:hAnsi="Verdana" w:cs="Arial"/>
          <w:b/>
          <w:bCs/>
          <w:sz w:val="14"/>
          <w:szCs w:val="14"/>
        </w:rPr>
        <w:t>2024</w:t>
      </w:r>
      <w:r w:rsidRPr="000A6485">
        <w:rPr>
          <w:rFonts w:ascii="Verdana" w:hAnsi="Verdana" w:cs="Arial"/>
          <w:b/>
          <w:bCs/>
          <w:sz w:val="14"/>
          <w:szCs w:val="14"/>
        </w:rPr>
        <w:t xml:space="preserve">-2050 – Z UWZGLĘDNIENIEM USTAWOWYCH WYŁĄCZEŃ </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tabs>
          <w:tab w:val="left" w:pos="851"/>
        </w:tabs>
        <w:spacing w:before="120" w:after="120" w:line="240" w:lineRule="auto"/>
        <w:rPr>
          <w:rFonts w:ascii="Verdana" w:hAnsi="Verdana"/>
          <w:b/>
          <w:bCs/>
          <w:sz w:val="22"/>
          <w:szCs w:val="22"/>
        </w:rPr>
      </w:pPr>
      <w:r>
        <w:rPr>
          <w:rFonts w:ascii="Verdana" w:hAnsi="Verdana"/>
          <w:b/>
          <w:bCs/>
          <w:noProof/>
          <w:sz w:val="22"/>
          <w:szCs w:val="22"/>
        </w:rPr>
        <w:pict>
          <v:shape id="_x0000_i1062" type="#_x0000_t75" style="width:439.5pt;height:224.1pt">
            <v:imagedata r:id="rId55" o:title=""/>
          </v:shape>
        </w:pict>
      </w:r>
    </w:p>
    <w:p w:rsidR="00CA374E" w:rsidRDefault="00CA374E" w:rsidP="00CA374E">
      <w:pPr>
        <w:tabs>
          <w:tab w:val="left" w:pos="0"/>
        </w:tabs>
        <w:spacing w:before="60" w:after="60"/>
        <w:jc w:val="both"/>
        <w:rPr>
          <w:rFonts w:ascii="Verdana" w:hAnsi="Verdana" w:cs="Arial"/>
          <w:b/>
          <w:sz w:val="16"/>
          <w:szCs w:val="16"/>
        </w:rPr>
      </w:pPr>
      <w:r w:rsidRPr="000A6485">
        <w:rPr>
          <w:rFonts w:ascii="Verdana" w:hAnsi="Verdana" w:cs="Arial"/>
          <w:sz w:val="16"/>
          <w:szCs w:val="16"/>
        </w:rPr>
        <w:t xml:space="preserve">W każdym z lat objętych prognozą występuje dodatnia różnica między limitem obciążeń budżetu związanych </w:t>
      </w:r>
      <w:r w:rsidRPr="000A6485">
        <w:rPr>
          <w:rFonts w:ascii="Verdana" w:hAnsi="Verdana" w:cs="Arial"/>
          <w:sz w:val="16"/>
          <w:szCs w:val="16"/>
        </w:rPr>
        <w:br/>
        <w:t xml:space="preserve">z obsługą zadłużenia a wskaźnikiem obsługi zadłużenia z uwzględnieniem wyłączeń ustawowych - której najniższa wartość wynosi </w:t>
      </w:r>
      <w:r>
        <w:rPr>
          <w:rFonts w:ascii="Verdana" w:hAnsi="Verdana" w:cs="Arial"/>
          <w:b/>
          <w:sz w:val="16"/>
          <w:szCs w:val="16"/>
        </w:rPr>
        <w:t>+0,22 pkt</w:t>
      </w:r>
      <w:r w:rsidRPr="000A6485">
        <w:rPr>
          <w:rFonts w:ascii="Verdana" w:hAnsi="Verdana" w:cs="Arial"/>
          <w:b/>
          <w:sz w:val="16"/>
          <w:szCs w:val="16"/>
        </w:rPr>
        <w:t xml:space="preserve"> proc.</w:t>
      </w:r>
      <w:r w:rsidRPr="000A6485">
        <w:rPr>
          <w:rFonts w:ascii="Verdana" w:hAnsi="Verdana" w:cs="Arial"/>
          <w:sz w:val="16"/>
          <w:szCs w:val="16"/>
        </w:rPr>
        <w:t xml:space="preserve"> w 20</w:t>
      </w:r>
      <w:r>
        <w:rPr>
          <w:rFonts w:ascii="Verdana" w:hAnsi="Verdana" w:cs="Arial"/>
          <w:sz w:val="16"/>
          <w:szCs w:val="16"/>
        </w:rPr>
        <w:t>30</w:t>
      </w:r>
      <w:r w:rsidRPr="000A6485">
        <w:rPr>
          <w:rFonts w:ascii="Verdana" w:hAnsi="Verdana" w:cs="Arial"/>
          <w:sz w:val="16"/>
          <w:szCs w:val="16"/>
        </w:rPr>
        <w:t xml:space="preserve"> r.</w:t>
      </w:r>
      <w:r>
        <w:rPr>
          <w:rFonts w:ascii="Verdana" w:hAnsi="Verdana" w:cs="Arial"/>
          <w:sz w:val="16"/>
          <w:szCs w:val="16"/>
        </w:rPr>
        <w:t xml:space="preserve"> </w:t>
      </w:r>
      <w:r w:rsidRPr="000A6485">
        <w:rPr>
          <w:rFonts w:ascii="Verdana" w:hAnsi="Verdana" w:cs="Arial"/>
          <w:sz w:val="16"/>
          <w:szCs w:val="16"/>
        </w:rPr>
        <w:t xml:space="preserve">- co oznacza </w:t>
      </w:r>
      <w:r w:rsidRPr="000A6485">
        <w:rPr>
          <w:rFonts w:ascii="Verdana" w:hAnsi="Verdana" w:cs="Arial"/>
          <w:b/>
          <w:sz w:val="16"/>
          <w:szCs w:val="16"/>
        </w:rPr>
        <w:t xml:space="preserve">spełnienie reguły ustawowej odnoszącej się do indywidualnego limitu obsługi długu w całym okresie </w:t>
      </w:r>
      <w:r>
        <w:rPr>
          <w:rFonts w:ascii="Verdana" w:hAnsi="Verdana" w:cs="Arial"/>
          <w:b/>
          <w:sz w:val="16"/>
          <w:szCs w:val="16"/>
        </w:rPr>
        <w:t xml:space="preserve">WPF </w:t>
      </w:r>
      <w:r w:rsidRPr="008F3935">
        <w:rPr>
          <w:rFonts w:ascii="Verdana" w:hAnsi="Verdana" w:cs="Arial"/>
          <w:b/>
          <w:sz w:val="16"/>
          <w:szCs w:val="16"/>
        </w:rPr>
        <w:t>2024</w:t>
      </w:r>
      <w:r w:rsidRPr="000A6485">
        <w:rPr>
          <w:rFonts w:ascii="Verdana" w:hAnsi="Verdana" w:cs="Arial"/>
          <w:b/>
          <w:sz w:val="16"/>
          <w:szCs w:val="16"/>
        </w:rPr>
        <w:t>-2050</w:t>
      </w:r>
      <w:r>
        <w:rPr>
          <w:rFonts w:ascii="Verdana" w:hAnsi="Verdana" w:cs="Arial"/>
          <w:b/>
          <w:sz w:val="16"/>
          <w:szCs w:val="16"/>
        </w:rPr>
        <w:br w:type="page"/>
      </w:r>
    </w:p>
    <w:p w:rsidR="00CA374E" w:rsidRPr="000A6485" w:rsidRDefault="00CA374E" w:rsidP="00CA374E">
      <w:pPr>
        <w:tabs>
          <w:tab w:val="left" w:pos="0"/>
        </w:tabs>
        <w:spacing w:before="60" w:after="60"/>
        <w:ind w:firstLine="567"/>
        <w:jc w:val="both"/>
        <w:rPr>
          <w:rFonts w:ascii="Verdana" w:hAnsi="Verdana" w:cs="Arial"/>
          <w:sz w:val="18"/>
          <w:szCs w:val="18"/>
        </w:rPr>
      </w:pPr>
      <w:r>
        <w:rPr>
          <w:rFonts w:ascii="Verdana" w:hAnsi="Verdana" w:cs="Arial"/>
          <w:sz w:val="16"/>
          <w:szCs w:val="16"/>
        </w:rPr>
        <w:lastRenderedPageBreak/>
        <w:t>Tabela nr 2</w:t>
      </w:r>
      <w:r w:rsidRPr="000A6485">
        <w:rPr>
          <w:rFonts w:ascii="Verdana" w:hAnsi="Verdana" w:cs="Arial"/>
          <w:sz w:val="16"/>
          <w:szCs w:val="16"/>
        </w:rPr>
        <w:t xml:space="preserve"> prezentuje prognozowane kształtowanie </w:t>
      </w:r>
      <w:r>
        <w:rPr>
          <w:rFonts w:ascii="Verdana" w:hAnsi="Verdana" w:cs="Arial"/>
          <w:sz w:val="16"/>
          <w:szCs w:val="16"/>
        </w:rPr>
        <w:t xml:space="preserve">się w latach </w:t>
      </w:r>
      <w:r w:rsidRPr="008F3935">
        <w:rPr>
          <w:rFonts w:ascii="Verdana" w:hAnsi="Verdana" w:cs="Arial"/>
          <w:sz w:val="16"/>
          <w:szCs w:val="16"/>
        </w:rPr>
        <w:t>2024</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bez uwzględnienia ustawowych wyłączeń</w:t>
      </w:r>
      <w:r w:rsidRPr="000A6485">
        <w:rPr>
          <w:rFonts w:ascii="Verdana" w:hAnsi="Verdana" w:cs="Arial"/>
          <w:sz w:val="16"/>
          <w:szCs w:val="16"/>
        </w:rPr>
        <w:t>.</w:t>
      </w:r>
    </w:p>
    <w:p w:rsidR="00CA374E" w:rsidRPr="000A6485" w:rsidRDefault="00CA374E" w:rsidP="00CA374E">
      <w:pPr>
        <w:tabs>
          <w:tab w:val="left" w:pos="0"/>
        </w:tabs>
        <w:spacing w:before="120" w:after="120" w:line="240" w:lineRule="auto"/>
        <w:rPr>
          <w:rFonts w:ascii="Verdana" w:hAnsi="Verdana" w:cs="Arial"/>
          <w:b/>
          <w:bCs/>
          <w:sz w:val="14"/>
          <w:szCs w:val="14"/>
        </w:rPr>
      </w:pPr>
      <w:r w:rsidRPr="000A6485">
        <w:rPr>
          <w:rFonts w:ascii="Verdana" w:hAnsi="Verdana" w:cs="Arial"/>
          <w:b/>
          <w:bCs/>
          <w:sz w:val="14"/>
          <w:szCs w:val="14"/>
        </w:rPr>
        <w:t xml:space="preserve">TAB. </w:t>
      </w:r>
      <w:r w:rsidRPr="000A6485">
        <w:rPr>
          <w:rFonts w:ascii="Verdana" w:hAnsi="Verdana" w:cs="Arial"/>
          <w:b/>
          <w:bCs/>
          <w:sz w:val="14"/>
          <w:szCs w:val="14"/>
        </w:rPr>
        <w:fldChar w:fldCharType="begin"/>
      </w:r>
      <w:r w:rsidRPr="000A6485">
        <w:rPr>
          <w:rFonts w:ascii="Verdana" w:hAnsi="Verdana" w:cs="Arial"/>
          <w:b/>
          <w:bCs/>
          <w:sz w:val="14"/>
          <w:szCs w:val="14"/>
        </w:rPr>
        <w:instrText xml:space="preserve"> SEQ Tab. \* ARABIC </w:instrText>
      </w:r>
      <w:r w:rsidRPr="000A6485">
        <w:rPr>
          <w:rFonts w:ascii="Verdana" w:hAnsi="Verdana" w:cs="Arial"/>
          <w:b/>
          <w:bCs/>
          <w:sz w:val="14"/>
          <w:szCs w:val="14"/>
        </w:rPr>
        <w:fldChar w:fldCharType="separate"/>
      </w:r>
      <w:r>
        <w:rPr>
          <w:rFonts w:ascii="Verdana" w:hAnsi="Verdana" w:cs="Arial"/>
          <w:b/>
          <w:bCs/>
          <w:noProof/>
          <w:sz w:val="14"/>
          <w:szCs w:val="14"/>
        </w:rPr>
        <w:t>2</w:t>
      </w:r>
      <w:r w:rsidRPr="000A6485">
        <w:rPr>
          <w:rFonts w:ascii="Verdana" w:hAnsi="Verdana" w:cs="Arial"/>
          <w:b/>
          <w:bCs/>
          <w:sz w:val="14"/>
          <w:szCs w:val="14"/>
        </w:rPr>
        <w:fldChar w:fldCharType="end"/>
      </w:r>
      <w:r w:rsidRPr="000A6485">
        <w:rPr>
          <w:rFonts w:ascii="Verdana" w:hAnsi="Verdana" w:cs="Arial"/>
          <w:b/>
          <w:bCs/>
          <w:sz w:val="14"/>
          <w:szCs w:val="14"/>
        </w:rPr>
        <w:t xml:space="preserve">. PROGNOZA DOPUSZCZALNEGO USTAWOWO I RZECZYWISTEGO POZIOMU WYDATKÓW I ROZCHODÓW </w:t>
      </w:r>
      <w:r w:rsidRPr="000A6485">
        <w:rPr>
          <w:rFonts w:ascii="Verdana" w:hAnsi="Verdana" w:cs="Arial"/>
          <w:b/>
          <w:bCs/>
          <w:sz w:val="14"/>
          <w:szCs w:val="14"/>
        </w:rPr>
        <w:br/>
        <w:t xml:space="preserve">             ZWIĄZANYCH Z OBSŁUGĄ ZADŁUŻENIA I PORĘCZENIAMI I GWARANCJAMI W RELACJI DO DOCHODÓW  </w:t>
      </w:r>
      <w:r w:rsidRPr="000A6485">
        <w:rPr>
          <w:rFonts w:ascii="Verdana" w:hAnsi="Verdana" w:cs="Arial"/>
          <w:b/>
          <w:bCs/>
          <w:sz w:val="14"/>
          <w:szCs w:val="14"/>
        </w:rPr>
        <w:br/>
        <w:t xml:space="preserve">          </w:t>
      </w:r>
      <w:r>
        <w:rPr>
          <w:rFonts w:ascii="Verdana" w:hAnsi="Verdana" w:cs="Arial"/>
          <w:b/>
          <w:bCs/>
          <w:sz w:val="14"/>
          <w:szCs w:val="14"/>
        </w:rPr>
        <w:t xml:space="preserve">   W M.ST. WARSZAWA NA LATA </w:t>
      </w:r>
      <w:r w:rsidRPr="008F3935">
        <w:rPr>
          <w:rFonts w:ascii="Verdana" w:hAnsi="Verdana" w:cs="Arial"/>
          <w:b/>
          <w:bCs/>
          <w:sz w:val="14"/>
          <w:szCs w:val="14"/>
        </w:rPr>
        <w:t>2024</w:t>
      </w:r>
      <w:r w:rsidRPr="000A6485">
        <w:rPr>
          <w:rFonts w:ascii="Verdana" w:hAnsi="Verdana" w:cs="Arial"/>
          <w:b/>
          <w:bCs/>
          <w:sz w:val="14"/>
          <w:szCs w:val="14"/>
        </w:rPr>
        <w:t xml:space="preserve">-2050 – BEZ UWZGLĘDNIENIA USTAWOWYCH WYŁĄCZEŃ </w:t>
      </w:r>
      <w:r>
        <w:rPr>
          <w:rFonts w:ascii="Verdana" w:hAnsi="Verdana" w:cs="Arial"/>
          <w:bCs/>
          <w:sz w:val="14"/>
          <w:szCs w:val="14"/>
        </w:rPr>
        <w:t xml:space="preserve">[w </w:t>
      </w:r>
      <w:r w:rsidRPr="000A6485">
        <w:rPr>
          <w:rFonts w:ascii="Verdana" w:hAnsi="Verdana" w:cs="Arial"/>
          <w:bCs/>
          <w:sz w:val="14"/>
          <w:szCs w:val="14"/>
        </w:rPr>
        <w:t>%]</w:t>
      </w:r>
    </w:p>
    <w:p w:rsidR="00CA374E" w:rsidRPr="000A6485" w:rsidRDefault="00E91E8C" w:rsidP="00CA374E">
      <w:pPr>
        <w:tabs>
          <w:tab w:val="left" w:pos="0"/>
        </w:tabs>
        <w:spacing w:before="120" w:after="120"/>
        <w:rPr>
          <w:rFonts w:ascii="Verdana" w:hAnsi="Verdana"/>
          <w:b/>
          <w:bCs/>
          <w:noProof/>
          <w:sz w:val="22"/>
          <w:szCs w:val="22"/>
        </w:rPr>
      </w:pPr>
      <w:r>
        <w:rPr>
          <w:rFonts w:ascii="Verdana" w:hAnsi="Verdana"/>
          <w:b/>
          <w:bCs/>
          <w:noProof/>
          <w:sz w:val="22"/>
          <w:szCs w:val="22"/>
        </w:rPr>
        <w:pict>
          <v:shape id="_x0000_i1063" type="#_x0000_t75" style="width:488.4pt;height:112.8pt">
            <v:imagedata r:id="rId56" o:title=""/>
          </v:shape>
        </w:pict>
      </w:r>
    </w:p>
    <w:p w:rsidR="00CA374E" w:rsidRDefault="00CA374E" w:rsidP="00CA374E">
      <w:pPr>
        <w:tabs>
          <w:tab w:val="left" w:pos="0"/>
        </w:tabs>
        <w:spacing w:before="360" w:after="120"/>
        <w:ind w:firstLine="567"/>
        <w:jc w:val="both"/>
        <w:rPr>
          <w:rFonts w:ascii="Verdana" w:hAnsi="Verdana" w:cs="Arial"/>
          <w:sz w:val="16"/>
          <w:szCs w:val="16"/>
        </w:rPr>
      </w:pPr>
      <w:r>
        <w:rPr>
          <w:rFonts w:ascii="Verdana" w:hAnsi="Verdana" w:cs="Arial"/>
          <w:sz w:val="16"/>
          <w:szCs w:val="16"/>
        </w:rPr>
        <w:t>Tabela nr 3</w:t>
      </w:r>
      <w:r w:rsidRPr="000A6485">
        <w:rPr>
          <w:rFonts w:ascii="Verdana" w:hAnsi="Verdana" w:cs="Arial"/>
          <w:sz w:val="16"/>
          <w:szCs w:val="16"/>
        </w:rPr>
        <w:t xml:space="preserve"> prezentuje prognozowane</w:t>
      </w:r>
      <w:r>
        <w:rPr>
          <w:rFonts w:ascii="Verdana" w:hAnsi="Verdana" w:cs="Arial"/>
          <w:sz w:val="16"/>
          <w:szCs w:val="16"/>
        </w:rPr>
        <w:t xml:space="preserve"> kształtowanie się w latach </w:t>
      </w:r>
      <w:r w:rsidRPr="008F3935">
        <w:rPr>
          <w:rFonts w:ascii="Verdana" w:hAnsi="Verdana" w:cs="Arial"/>
          <w:sz w:val="16"/>
          <w:szCs w:val="16"/>
        </w:rPr>
        <w:t>2024</w:t>
      </w:r>
      <w:r w:rsidRPr="000A6485">
        <w:rPr>
          <w:rFonts w:ascii="Verdana" w:hAnsi="Verdana" w:cs="Arial"/>
          <w:sz w:val="16"/>
          <w:szCs w:val="16"/>
        </w:rPr>
        <w:t xml:space="preserve">-2050 wskaźnika i limitu wydatków i rozchodów związanych z obsługą długu </w:t>
      </w:r>
      <w:r w:rsidRPr="000A6485">
        <w:rPr>
          <w:rFonts w:ascii="Verdana" w:hAnsi="Verdana" w:cs="Arial"/>
          <w:b/>
          <w:sz w:val="16"/>
          <w:szCs w:val="16"/>
        </w:rPr>
        <w:t>po uwzględnieniu ustawowych wyłączeń</w:t>
      </w:r>
      <w:r w:rsidRPr="000A6485">
        <w:rPr>
          <w:rFonts w:ascii="Verdana" w:hAnsi="Verdana" w:cs="Arial"/>
          <w:sz w:val="16"/>
          <w:szCs w:val="16"/>
        </w:rPr>
        <w:t>.</w:t>
      </w:r>
    </w:p>
    <w:p w:rsidR="00CA374E" w:rsidRPr="000A6485" w:rsidRDefault="00CA374E" w:rsidP="00CA374E">
      <w:pPr>
        <w:tabs>
          <w:tab w:val="left" w:pos="0"/>
        </w:tabs>
        <w:spacing w:before="360" w:after="120" w:line="240" w:lineRule="auto"/>
        <w:rPr>
          <w:rFonts w:ascii="Verdana" w:hAnsi="Verdana" w:cs="Arial"/>
          <w:iCs/>
        </w:rPr>
      </w:pPr>
      <w:r w:rsidRPr="00050553">
        <w:rPr>
          <w:rFonts w:ascii="Verdana" w:hAnsi="Verdana" w:cs="Arial"/>
          <w:b/>
          <w:sz w:val="14"/>
          <w:szCs w:val="14"/>
        </w:rPr>
        <w:t xml:space="preserve">TAB. </w:t>
      </w:r>
      <w:r w:rsidRPr="00050553">
        <w:rPr>
          <w:rFonts w:ascii="Verdana" w:hAnsi="Verdana" w:cs="Arial"/>
          <w:b/>
          <w:sz w:val="14"/>
          <w:szCs w:val="14"/>
        </w:rPr>
        <w:fldChar w:fldCharType="begin"/>
      </w:r>
      <w:r w:rsidRPr="00050553">
        <w:rPr>
          <w:rFonts w:ascii="Verdana" w:hAnsi="Verdana" w:cs="Arial"/>
          <w:b/>
          <w:sz w:val="14"/>
          <w:szCs w:val="14"/>
        </w:rPr>
        <w:instrText xml:space="preserve"> SEQ Tab. \* ARABIC </w:instrText>
      </w:r>
      <w:r w:rsidRPr="00050553">
        <w:rPr>
          <w:rFonts w:ascii="Verdana" w:hAnsi="Verdana" w:cs="Arial"/>
          <w:b/>
          <w:sz w:val="14"/>
          <w:szCs w:val="14"/>
        </w:rPr>
        <w:fldChar w:fldCharType="separate"/>
      </w:r>
      <w:r>
        <w:rPr>
          <w:rFonts w:ascii="Verdana" w:hAnsi="Verdana" w:cs="Arial"/>
          <w:b/>
          <w:noProof/>
          <w:sz w:val="14"/>
          <w:szCs w:val="14"/>
        </w:rPr>
        <w:t>3</w:t>
      </w:r>
      <w:r w:rsidRPr="00050553">
        <w:rPr>
          <w:rFonts w:ascii="Verdana" w:hAnsi="Verdana" w:cs="Arial"/>
          <w:b/>
          <w:sz w:val="14"/>
          <w:szCs w:val="14"/>
        </w:rPr>
        <w:fldChar w:fldCharType="end"/>
      </w:r>
      <w:r w:rsidRPr="00050553">
        <w:rPr>
          <w:rFonts w:ascii="Verdana" w:hAnsi="Verdana" w:cs="Arial"/>
          <w:b/>
          <w:sz w:val="14"/>
          <w:szCs w:val="14"/>
        </w:rPr>
        <w:t xml:space="preserve">. PROGNOZA DOPUSZCZALNEGO USTAWOWO I RZECZYWISTEGO POZIOMU WYDATKÓW I ROZCHODÓW </w:t>
      </w:r>
      <w:r w:rsidRPr="00050553">
        <w:rPr>
          <w:rFonts w:ascii="Verdana" w:hAnsi="Verdana" w:cs="Arial"/>
          <w:b/>
          <w:sz w:val="14"/>
          <w:szCs w:val="14"/>
        </w:rPr>
        <w:br/>
        <w:t xml:space="preserve">             ZWIĄZANYCH Z OBSŁUGĄ ZADŁUŻENIA I PORĘCZENIAMI I GWARANCJAMI W RELACJI DO DOCHODÓW  </w:t>
      </w:r>
      <w:r w:rsidRPr="00050553">
        <w:rPr>
          <w:rFonts w:ascii="Verdana" w:hAnsi="Verdana" w:cs="Arial"/>
          <w:b/>
          <w:sz w:val="14"/>
          <w:szCs w:val="14"/>
        </w:rPr>
        <w:br/>
        <w:t xml:space="preserve">             W M.ST. WARSZAWA NA LATA </w:t>
      </w:r>
      <w:r w:rsidRPr="008F3935">
        <w:rPr>
          <w:rFonts w:ascii="Verdana" w:hAnsi="Verdana" w:cs="Arial"/>
          <w:b/>
          <w:sz w:val="14"/>
          <w:szCs w:val="14"/>
        </w:rPr>
        <w:t>2024</w:t>
      </w:r>
      <w:r w:rsidRPr="00050553">
        <w:rPr>
          <w:rFonts w:ascii="Verdana" w:hAnsi="Verdana" w:cs="Arial"/>
          <w:b/>
          <w:sz w:val="14"/>
          <w:szCs w:val="14"/>
        </w:rPr>
        <w:t>-2050 – PO UWZGLĘDNIENIU USTAWOWYCH WYŁĄCZEŃ [w %]</w:t>
      </w:r>
      <w:r w:rsidRPr="00050553">
        <w:rPr>
          <w:rFonts w:ascii="Verdana" w:hAnsi="Verdana" w:cs="Arial"/>
          <w:b/>
          <w:sz w:val="16"/>
          <w:szCs w:val="16"/>
        </w:rPr>
        <w:br/>
      </w:r>
      <w:r w:rsidRPr="000A6485">
        <w:rPr>
          <w:rFonts w:ascii="Verdana" w:hAnsi="Verdana"/>
          <w:sz w:val="12"/>
          <w:szCs w:val="12"/>
        </w:rPr>
        <w:t xml:space="preserve">  </w:t>
      </w:r>
      <w:r w:rsidR="00E91E8C">
        <w:rPr>
          <w:rFonts w:ascii="Verdana" w:hAnsi="Verdana" w:cs="Arial"/>
          <w:iCs/>
          <w:noProof/>
        </w:rPr>
        <w:pict>
          <v:shape id="_x0000_i1064" type="#_x0000_t75" style="width:484.2pt;height:172.5pt">
            <v:imagedata r:id="rId57" o:title=""/>
          </v:shape>
        </w:pict>
      </w:r>
    </w:p>
    <w:p w:rsidR="00CA374E" w:rsidRPr="000A6485" w:rsidRDefault="00CA374E" w:rsidP="00CA374E">
      <w:pPr>
        <w:tabs>
          <w:tab w:val="num" w:pos="1273"/>
        </w:tabs>
        <w:spacing w:before="240" w:after="120"/>
        <w:rPr>
          <w:rFonts w:ascii="Verdana" w:hAnsi="Verdana"/>
          <w:b/>
          <w:bCs/>
          <w:sz w:val="22"/>
          <w:szCs w:val="22"/>
        </w:rPr>
      </w:pPr>
      <w:r w:rsidRPr="000A6485">
        <w:rPr>
          <w:rFonts w:ascii="Verdana" w:hAnsi="Verdana"/>
          <w:b/>
          <w:bCs/>
          <w:sz w:val="22"/>
          <w:szCs w:val="22"/>
        </w:rPr>
        <w:t>9. Zestawienie przedsięwzięć wieloletnich</w:t>
      </w:r>
    </w:p>
    <w:p w:rsidR="00CA374E" w:rsidRPr="00132758" w:rsidRDefault="00CA374E" w:rsidP="00CA374E">
      <w:pPr>
        <w:spacing w:before="60" w:after="60"/>
        <w:ind w:firstLine="540"/>
        <w:jc w:val="both"/>
        <w:rPr>
          <w:rFonts w:ascii="Verdana" w:hAnsi="Verdana"/>
          <w:bCs/>
          <w:sz w:val="16"/>
          <w:szCs w:val="16"/>
        </w:rPr>
      </w:pPr>
      <w:r w:rsidRPr="000A6485">
        <w:rPr>
          <w:rFonts w:ascii="Verdana" w:hAnsi="Verdana"/>
          <w:bCs/>
          <w:sz w:val="16"/>
          <w:szCs w:val="16"/>
        </w:rPr>
        <w:t xml:space="preserve">Załącznikiem do uchwały w sprawie WPF </w:t>
      </w:r>
      <w:r w:rsidRPr="008F3935">
        <w:rPr>
          <w:rFonts w:ascii="Verdana" w:hAnsi="Verdana" w:cs="Arial"/>
          <w:sz w:val="16"/>
          <w:szCs w:val="16"/>
        </w:rPr>
        <w:t>2024</w:t>
      </w:r>
      <w:r w:rsidRPr="000A6485">
        <w:rPr>
          <w:rFonts w:ascii="Verdana" w:hAnsi="Verdana"/>
          <w:bCs/>
          <w:sz w:val="16"/>
          <w:szCs w:val="16"/>
        </w:rPr>
        <w:t xml:space="preserve">-2050 jest wykaz wieloletnich przedsięwzięć bieżących </w:t>
      </w:r>
      <w:r>
        <w:rPr>
          <w:rFonts w:ascii="Verdana" w:hAnsi="Verdana"/>
          <w:bCs/>
          <w:sz w:val="16"/>
          <w:szCs w:val="16"/>
        </w:rPr>
        <w:br/>
      </w:r>
      <w:r w:rsidRPr="00132758">
        <w:rPr>
          <w:rFonts w:ascii="Verdana" w:hAnsi="Verdana"/>
          <w:bCs/>
          <w:sz w:val="16"/>
          <w:szCs w:val="16"/>
        </w:rPr>
        <w:t xml:space="preserve">i majątkowych, w tym realizowanych ze środków Unii Europejskiej i innych bezzwrotnych źródeł zagranicznych. </w:t>
      </w:r>
    </w:p>
    <w:p w:rsidR="00CA374E" w:rsidRPr="00C53AA3" w:rsidRDefault="00CA374E" w:rsidP="00CA374E">
      <w:pPr>
        <w:spacing w:before="60" w:after="60"/>
        <w:jc w:val="both"/>
        <w:rPr>
          <w:rFonts w:ascii="Verdana" w:hAnsi="Verdana"/>
          <w:bCs/>
          <w:sz w:val="16"/>
          <w:szCs w:val="16"/>
        </w:rPr>
      </w:pPr>
      <w:r w:rsidRPr="00C53AA3">
        <w:rPr>
          <w:rFonts w:ascii="Verdana" w:hAnsi="Verdana"/>
          <w:bCs/>
          <w:sz w:val="16"/>
          <w:szCs w:val="16"/>
        </w:rPr>
        <w:t xml:space="preserve">Wykaz obejmuje </w:t>
      </w:r>
      <w:r w:rsidRPr="00C53AA3">
        <w:rPr>
          <w:rFonts w:ascii="Verdana" w:hAnsi="Verdana"/>
          <w:b/>
          <w:bCs/>
          <w:sz w:val="16"/>
          <w:szCs w:val="16"/>
        </w:rPr>
        <w:t>3.</w:t>
      </w:r>
      <w:r>
        <w:rPr>
          <w:rFonts w:ascii="Verdana" w:hAnsi="Verdana"/>
          <w:b/>
          <w:bCs/>
          <w:sz w:val="16"/>
          <w:szCs w:val="16"/>
        </w:rPr>
        <w:t>896</w:t>
      </w:r>
      <w:r w:rsidRPr="00C53AA3">
        <w:rPr>
          <w:rFonts w:ascii="Verdana" w:hAnsi="Verdana"/>
          <w:b/>
          <w:bCs/>
          <w:sz w:val="16"/>
          <w:szCs w:val="16"/>
        </w:rPr>
        <w:t xml:space="preserve"> </w:t>
      </w:r>
      <w:r w:rsidRPr="00C53AA3">
        <w:rPr>
          <w:rFonts w:ascii="Verdana" w:hAnsi="Verdana"/>
          <w:bCs/>
          <w:sz w:val="16"/>
          <w:szCs w:val="16"/>
        </w:rPr>
        <w:t>przedsięwzięć wieloletnich, w tym:</w:t>
      </w:r>
    </w:p>
    <w:p w:rsidR="00CA374E" w:rsidRPr="00C53AA3" w:rsidRDefault="00CA374E" w:rsidP="00CA374E">
      <w:pPr>
        <w:pStyle w:val="Akapitzlist"/>
        <w:numPr>
          <w:ilvl w:val="0"/>
          <w:numId w:val="26"/>
        </w:numPr>
        <w:spacing w:before="60" w:after="60"/>
        <w:ind w:left="709" w:hanging="283"/>
        <w:contextualSpacing w:val="0"/>
        <w:jc w:val="both"/>
        <w:rPr>
          <w:rFonts w:ascii="Verdana" w:hAnsi="Verdana"/>
          <w:bCs/>
          <w:sz w:val="16"/>
          <w:szCs w:val="16"/>
        </w:rPr>
      </w:pPr>
      <w:r w:rsidRPr="00C53AA3">
        <w:rPr>
          <w:rFonts w:ascii="Verdana" w:hAnsi="Verdana"/>
          <w:b/>
          <w:bCs/>
          <w:sz w:val="16"/>
          <w:szCs w:val="16"/>
        </w:rPr>
        <w:t>2.93</w:t>
      </w:r>
      <w:r>
        <w:rPr>
          <w:rFonts w:ascii="Verdana" w:hAnsi="Verdana"/>
          <w:b/>
          <w:bCs/>
          <w:sz w:val="16"/>
          <w:szCs w:val="16"/>
        </w:rPr>
        <w:t>3</w:t>
      </w:r>
      <w:r>
        <w:rPr>
          <w:rFonts w:ascii="Verdana" w:hAnsi="Verdana"/>
          <w:bCs/>
          <w:sz w:val="16"/>
          <w:szCs w:val="16"/>
        </w:rPr>
        <w:t xml:space="preserve"> przedsięwzięcia</w:t>
      </w:r>
      <w:r w:rsidRPr="00C53AA3">
        <w:rPr>
          <w:rFonts w:ascii="Verdana" w:hAnsi="Verdana"/>
          <w:bCs/>
          <w:sz w:val="16"/>
          <w:szCs w:val="16"/>
        </w:rPr>
        <w:t xml:space="preserve"> bieżąc</w:t>
      </w:r>
      <w:r>
        <w:rPr>
          <w:rFonts w:ascii="Verdana" w:hAnsi="Verdana"/>
          <w:bCs/>
          <w:sz w:val="16"/>
          <w:szCs w:val="16"/>
        </w:rPr>
        <w:t>e</w:t>
      </w:r>
      <w:r w:rsidRPr="00C53AA3">
        <w:rPr>
          <w:rFonts w:ascii="Verdana" w:hAnsi="Verdana"/>
          <w:bCs/>
          <w:sz w:val="16"/>
          <w:szCs w:val="16"/>
        </w:rPr>
        <w:t xml:space="preserve">, w tym </w:t>
      </w:r>
      <w:r>
        <w:rPr>
          <w:rFonts w:ascii="Verdana" w:hAnsi="Verdana"/>
          <w:b/>
          <w:bCs/>
          <w:sz w:val="16"/>
          <w:szCs w:val="16"/>
        </w:rPr>
        <w:t>410</w:t>
      </w:r>
      <w:r w:rsidRPr="00C53AA3">
        <w:rPr>
          <w:rFonts w:ascii="Verdana" w:hAnsi="Verdana"/>
          <w:bCs/>
          <w:sz w:val="16"/>
          <w:szCs w:val="16"/>
        </w:rPr>
        <w:t xml:space="preserve"> z udziałem środków unijnych,</w:t>
      </w:r>
    </w:p>
    <w:p w:rsidR="00CA374E" w:rsidRPr="00C53AA3" w:rsidRDefault="00CA374E" w:rsidP="00CA374E">
      <w:pPr>
        <w:pStyle w:val="Akapitzlist"/>
        <w:numPr>
          <w:ilvl w:val="0"/>
          <w:numId w:val="26"/>
        </w:numPr>
        <w:spacing w:before="60" w:after="60"/>
        <w:ind w:left="709" w:hanging="283"/>
        <w:contextualSpacing w:val="0"/>
        <w:jc w:val="both"/>
        <w:rPr>
          <w:rFonts w:ascii="Verdana" w:hAnsi="Verdana"/>
          <w:bCs/>
          <w:sz w:val="16"/>
          <w:szCs w:val="16"/>
        </w:rPr>
      </w:pPr>
      <w:r>
        <w:rPr>
          <w:rFonts w:ascii="Verdana" w:hAnsi="Verdana"/>
          <w:b/>
          <w:bCs/>
          <w:sz w:val="16"/>
          <w:szCs w:val="16"/>
        </w:rPr>
        <w:t>960</w:t>
      </w:r>
      <w:r w:rsidRPr="00C53AA3">
        <w:rPr>
          <w:rFonts w:ascii="Verdana" w:hAnsi="Verdana"/>
          <w:bCs/>
          <w:sz w:val="16"/>
          <w:szCs w:val="16"/>
        </w:rPr>
        <w:t xml:space="preserve"> </w:t>
      </w:r>
      <w:r>
        <w:rPr>
          <w:rFonts w:ascii="Verdana" w:hAnsi="Verdana"/>
          <w:bCs/>
          <w:sz w:val="16"/>
          <w:szCs w:val="16"/>
        </w:rPr>
        <w:t>przedsięwzięć majątkowych</w:t>
      </w:r>
      <w:r w:rsidRPr="00C53AA3">
        <w:rPr>
          <w:rFonts w:ascii="Verdana" w:hAnsi="Verdana"/>
          <w:bCs/>
          <w:sz w:val="16"/>
          <w:szCs w:val="16"/>
        </w:rPr>
        <w:t xml:space="preserve">, w tym </w:t>
      </w:r>
      <w:r>
        <w:rPr>
          <w:rFonts w:ascii="Verdana" w:hAnsi="Verdana"/>
          <w:b/>
          <w:bCs/>
          <w:sz w:val="16"/>
          <w:szCs w:val="16"/>
        </w:rPr>
        <w:t>26</w:t>
      </w:r>
      <w:r w:rsidRPr="00C53AA3">
        <w:rPr>
          <w:rFonts w:ascii="Verdana" w:hAnsi="Verdana"/>
          <w:b/>
          <w:bCs/>
          <w:sz w:val="16"/>
          <w:szCs w:val="16"/>
        </w:rPr>
        <w:t xml:space="preserve"> </w:t>
      </w:r>
      <w:r w:rsidRPr="00C53AA3">
        <w:rPr>
          <w:rFonts w:ascii="Verdana" w:hAnsi="Verdana"/>
          <w:bCs/>
          <w:sz w:val="16"/>
          <w:szCs w:val="16"/>
        </w:rPr>
        <w:t>z udziałem środków unijnych,</w:t>
      </w:r>
    </w:p>
    <w:p w:rsidR="00CA374E" w:rsidRPr="00C53AA3" w:rsidRDefault="00CA374E" w:rsidP="00CA374E">
      <w:pPr>
        <w:pStyle w:val="Akapitzlist"/>
        <w:numPr>
          <w:ilvl w:val="0"/>
          <w:numId w:val="26"/>
        </w:numPr>
        <w:spacing w:before="60" w:after="60"/>
        <w:ind w:left="709" w:hanging="283"/>
        <w:contextualSpacing w:val="0"/>
        <w:jc w:val="both"/>
        <w:rPr>
          <w:rFonts w:ascii="Verdana" w:hAnsi="Verdana"/>
          <w:bCs/>
          <w:sz w:val="16"/>
          <w:szCs w:val="16"/>
        </w:rPr>
      </w:pPr>
      <w:r w:rsidRPr="00C53AA3">
        <w:rPr>
          <w:rFonts w:ascii="Verdana" w:hAnsi="Verdana"/>
          <w:b/>
          <w:bCs/>
          <w:sz w:val="16"/>
          <w:szCs w:val="16"/>
        </w:rPr>
        <w:t>3</w:t>
      </w:r>
      <w:r w:rsidRPr="00C53AA3">
        <w:rPr>
          <w:rFonts w:ascii="Verdana" w:hAnsi="Verdana"/>
          <w:bCs/>
          <w:sz w:val="16"/>
          <w:szCs w:val="16"/>
        </w:rPr>
        <w:t xml:space="preserve"> przedsięwzięcia związane z umową partnerstwa publiczno-prywatnego.</w:t>
      </w:r>
    </w:p>
    <w:p w:rsidR="00CA374E" w:rsidRPr="000A6485" w:rsidRDefault="00CA374E" w:rsidP="00CA374E">
      <w:pPr>
        <w:spacing w:before="60" w:after="60"/>
        <w:jc w:val="both"/>
        <w:rPr>
          <w:rFonts w:ascii="Verdana" w:hAnsi="Verdana"/>
          <w:bCs/>
          <w:sz w:val="16"/>
          <w:szCs w:val="16"/>
        </w:rPr>
      </w:pPr>
      <w:r w:rsidRPr="000A6485">
        <w:rPr>
          <w:rFonts w:ascii="Verdana" w:hAnsi="Verdana"/>
          <w:bCs/>
          <w:sz w:val="16"/>
          <w:szCs w:val="16"/>
        </w:rPr>
        <w:t>Dla każdego z przedsięwzięć określono odrębnie:</w:t>
      </w:r>
    </w:p>
    <w:p w:rsidR="00CA374E" w:rsidRPr="000A6485" w:rsidRDefault="00CA374E" w:rsidP="00CA374E">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nazwę i cel,</w:t>
      </w:r>
    </w:p>
    <w:p w:rsidR="00CA374E" w:rsidRPr="000A6485" w:rsidRDefault="00CA374E" w:rsidP="00CA374E">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jednostkę organizacyjną odpowiedzialną za realizację lub koordynującą wykonywanie przedsięwzięcia,</w:t>
      </w:r>
    </w:p>
    <w:p w:rsidR="00CA374E" w:rsidRPr="000A6485" w:rsidRDefault="00CA374E" w:rsidP="00CA374E">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okres realizacji i łączne nakłady finansowe,</w:t>
      </w:r>
    </w:p>
    <w:p w:rsidR="00CA374E" w:rsidRPr="000A6485" w:rsidRDefault="00CA374E" w:rsidP="00CA374E">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limity wydatków w poszczególnych latach,</w:t>
      </w:r>
    </w:p>
    <w:p w:rsidR="00CA374E" w:rsidRDefault="00CA374E" w:rsidP="00CA374E">
      <w:pPr>
        <w:numPr>
          <w:ilvl w:val="0"/>
          <w:numId w:val="3"/>
        </w:numPr>
        <w:tabs>
          <w:tab w:val="clear" w:pos="1080"/>
          <w:tab w:val="num" w:pos="709"/>
        </w:tabs>
        <w:spacing w:before="20" w:after="20"/>
        <w:ind w:left="709" w:hanging="284"/>
        <w:jc w:val="both"/>
        <w:rPr>
          <w:rFonts w:ascii="Verdana" w:hAnsi="Verdana"/>
          <w:bCs/>
          <w:sz w:val="16"/>
          <w:szCs w:val="16"/>
        </w:rPr>
      </w:pPr>
      <w:r w:rsidRPr="000A6485">
        <w:rPr>
          <w:rFonts w:ascii="Verdana" w:hAnsi="Verdana"/>
          <w:bCs/>
          <w:sz w:val="16"/>
          <w:szCs w:val="16"/>
        </w:rPr>
        <w:t>limit zobowiązań.</w:t>
      </w:r>
      <w:r>
        <w:rPr>
          <w:rFonts w:ascii="Verdana" w:hAnsi="Verdana"/>
          <w:bCs/>
          <w:sz w:val="16"/>
          <w:szCs w:val="16"/>
        </w:rPr>
        <w:br w:type="page"/>
      </w:r>
    </w:p>
    <w:p w:rsidR="00CA374E" w:rsidRPr="000A6485" w:rsidRDefault="00CA374E" w:rsidP="00CA374E">
      <w:pPr>
        <w:spacing w:before="60" w:after="60"/>
        <w:ind w:firstLine="567"/>
        <w:jc w:val="both"/>
        <w:rPr>
          <w:rFonts w:ascii="Verdana" w:hAnsi="Verdana"/>
          <w:bCs/>
          <w:sz w:val="16"/>
          <w:szCs w:val="16"/>
        </w:rPr>
      </w:pPr>
      <w:r w:rsidRPr="000A6485">
        <w:rPr>
          <w:rFonts w:ascii="Verdana" w:hAnsi="Verdana"/>
          <w:bCs/>
          <w:sz w:val="16"/>
          <w:szCs w:val="16"/>
        </w:rPr>
        <w:lastRenderedPageBreak/>
        <w:t xml:space="preserve">W wykazie ujęte zostały wszystkie zadania, które będą realizowane w oparciu o środki finansowe zarezerwowane w </w:t>
      </w:r>
      <w:r>
        <w:rPr>
          <w:rFonts w:ascii="Verdana" w:hAnsi="Verdana"/>
          <w:bCs/>
          <w:sz w:val="16"/>
          <w:szCs w:val="16"/>
        </w:rPr>
        <w:t xml:space="preserve">WPF </w:t>
      </w:r>
      <w:r w:rsidRPr="008F3935">
        <w:rPr>
          <w:rFonts w:ascii="Verdana" w:hAnsi="Verdana" w:cs="Arial"/>
          <w:sz w:val="16"/>
          <w:szCs w:val="16"/>
        </w:rPr>
        <w:t>2024</w:t>
      </w:r>
      <w:r w:rsidRPr="000A6485">
        <w:rPr>
          <w:rFonts w:ascii="Verdana" w:hAnsi="Verdana"/>
          <w:bCs/>
          <w:sz w:val="16"/>
          <w:szCs w:val="16"/>
        </w:rPr>
        <w:t>-2050 i odpowiednio w budże</w:t>
      </w:r>
      <w:r>
        <w:rPr>
          <w:rFonts w:ascii="Verdana" w:hAnsi="Verdana"/>
          <w:bCs/>
          <w:sz w:val="16"/>
          <w:szCs w:val="16"/>
        </w:rPr>
        <w:t xml:space="preserve">cie na </w:t>
      </w:r>
      <w:r w:rsidRPr="008F3935">
        <w:rPr>
          <w:rFonts w:ascii="Verdana" w:hAnsi="Verdana" w:cs="Arial"/>
          <w:sz w:val="16"/>
          <w:szCs w:val="16"/>
        </w:rPr>
        <w:t>2024</w:t>
      </w:r>
      <w:r w:rsidRPr="000A6485">
        <w:rPr>
          <w:rFonts w:ascii="Verdana" w:hAnsi="Verdana"/>
          <w:bCs/>
          <w:sz w:val="16"/>
          <w:szCs w:val="16"/>
        </w:rPr>
        <w:t xml:space="preserve"> r., których real</w:t>
      </w:r>
      <w:r>
        <w:rPr>
          <w:rFonts w:ascii="Verdana" w:hAnsi="Verdana"/>
          <w:bCs/>
          <w:sz w:val="16"/>
          <w:szCs w:val="16"/>
        </w:rPr>
        <w:t xml:space="preserve">izacja rozpoczęła się przed </w:t>
      </w:r>
      <w:r w:rsidRPr="008F3935">
        <w:rPr>
          <w:rFonts w:ascii="Verdana" w:hAnsi="Verdana" w:cs="Arial"/>
          <w:sz w:val="16"/>
          <w:szCs w:val="16"/>
        </w:rPr>
        <w:t>2024</w:t>
      </w:r>
      <w:r w:rsidRPr="000A6485">
        <w:rPr>
          <w:rFonts w:ascii="Verdana" w:hAnsi="Verdana"/>
          <w:bCs/>
          <w:sz w:val="16"/>
          <w:szCs w:val="16"/>
        </w:rPr>
        <w:t xml:space="preserve"> r. lub rozpocznie się </w:t>
      </w:r>
      <w:r>
        <w:rPr>
          <w:rFonts w:ascii="Verdana" w:hAnsi="Verdana"/>
          <w:bCs/>
          <w:sz w:val="16"/>
          <w:szCs w:val="16"/>
        </w:rPr>
        <w:t xml:space="preserve">w </w:t>
      </w:r>
      <w:r w:rsidRPr="008F3935">
        <w:rPr>
          <w:rFonts w:ascii="Verdana" w:hAnsi="Verdana" w:cs="Arial"/>
          <w:sz w:val="16"/>
          <w:szCs w:val="16"/>
        </w:rPr>
        <w:t>2024</w:t>
      </w:r>
      <w:r w:rsidRPr="000A6485">
        <w:rPr>
          <w:rFonts w:ascii="Verdana" w:hAnsi="Verdana"/>
          <w:bCs/>
          <w:sz w:val="16"/>
          <w:szCs w:val="16"/>
        </w:rPr>
        <w:t xml:space="preserve"> r. oraz te zadania, które będą realizowane w okresie </w:t>
      </w:r>
      <w:r>
        <w:rPr>
          <w:rFonts w:ascii="Verdana" w:hAnsi="Verdana"/>
          <w:bCs/>
          <w:sz w:val="16"/>
          <w:szCs w:val="16"/>
        </w:rPr>
        <w:t xml:space="preserve">co najmniej lat </w:t>
      </w:r>
      <w:r w:rsidRPr="008F3935">
        <w:rPr>
          <w:rFonts w:ascii="Verdana" w:hAnsi="Verdana" w:cs="Arial"/>
          <w:sz w:val="16"/>
          <w:szCs w:val="16"/>
        </w:rPr>
        <w:t>2024</w:t>
      </w:r>
      <w:r>
        <w:rPr>
          <w:rFonts w:ascii="Verdana" w:hAnsi="Verdana"/>
          <w:bCs/>
          <w:sz w:val="16"/>
          <w:szCs w:val="16"/>
        </w:rPr>
        <w:t>-2025</w:t>
      </w:r>
      <w:r w:rsidRPr="000A6485">
        <w:rPr>
          <w:rFonts w:ascii="Verdana" w:hAnsi="Verdana"/>
          <w:bCs/>
          <w:sz w:val="16"/>
          <w:szCs w:val="16"/>
        </w:rPr>
        <w:t>.</w:t>
      </w:r>
    </w:p>
    <w:p w:rsidR="00CA374E" w:rsidRPr="000A6485" w:rsidRDefault="00CA374E" w:rsidP="00CA374E">
      <w:pPr>
        <w:spacing w:before="60" w:after="60"/>
        <w:jc w:val="both"/>
        <w:rPr>
          <w:rFonts w:ascii="Verdana" w:hAnsi="Verdana"/>
          <w:bCs/>
          <w:sz w:val="16"/>
          <w:szCs w:val="16"/>
        </w:rPr>
      </w:pPr>
      <w:r w:rsidRPr="000A6485">
        <w:rPr>
          <w:rFonts w:ascii="Verdana" w:hAnsi="Verdana"/>
          <w:bCs/>
          <w:sz w:val="16"/>
          <w:szCs w:val="16"/>
        </w:rPr>
        <w:t xml:space="preserve">Podjęcie uchwały w sprawie Wieloletniej Prognozy Finansowej daje Prezydentowi m.st. Warszawy podstawę </w:t>
      </w:r>
      <w:r w:rsidRPr="000A6485">
        <w:rPr>
          <w:rFonts w:ascii="Verdana" w:hAnsi="Verdana"/>
          <w:bCs/>
          <w:sz w:val="16"/>
          <w:szCs w:val="16"/>
        </w:rPr>
        <w:br/>
        <w:t xml:space="preserve">do zaciągania zobowiązań do wysokości limitów wydatków określonych dla każdego z tych przedsięwzięć </w:t>
      </w:r>
      <w:r w:rsidRPr="000A6485">
        <w:rPr>
          <w:rFonts w:ascii="Verdana" w:hAnsi="Verdana"/>
          <w:bCs/>
          <w:sz w:val="16"/>
          <w:szCs w:val="16"/>
        </w:rPr>
        <w:br/>
        <w:t>w poszczególnych latach prognozy.</w:t>
      </w:r>
    </w:p>
    <w:p w:rsidR="00CA374E" w:rsidRPr="000A6485" w:rsidRDefault="00CA374E" w:rsidP="00CA374E">
      <w:pPr>
        <w:spacing w:before="60" w:after="60"/>
        <w:jc w:val="both"/>
        <w:rPr>
          <w:rFonts w:ascii="Verdana" w:hAnsi="Verdana"/>
          <w:bCs/>
          <w:sz w:val="16"/>
          <w:szCs w:val="16"/>
        </w:rPr>
      </w:pPr>
      <w:r w:rsidRPr="000A6485">
        <w:rPr>
          <w:rFonts w:ascii="Verdana" w:hAnsi="Verdana"/>
          <w:bCs/>
          <w:sz w:val="16"/>
          <w:szCs w:val="16"/>
        </w:rPr>
        <w:t>W wykazie prezentowane są przedsięwzięcia wieloletnie dotyczące zadań realizowanych w części ogólnomiejskiej oraz w poszczególnych dzielnicach.</w:t>
      </w:r>
    </w:p>
    <w:p w:rsidR="00CA374E" w:rsidRPr="000A6485" w:rsidRDefault="00CA374E" w:rsidP="00CA374E">
      <w:pPr>
        <w:spacing w:before="60" w:after="60"/>
        <w:jc w:val="both"/>
        <w:rPr>
          <w:rFonts w:ascii="Verdana" w:hAnsi="Verdana"/>
          <w:bCs/>
          <w:sz w:val="16"/>
          <w:szCs w:val="16"/>
        </w:rPr>
      </w:pPr>
      <w:r w:rsidRPr="000A6485">
        <w:rPr>
          <w:rFonts w:ascii="Verdana" w:hAnsi="Verdana"/>
          <w:bCs/>
          <w:sz w:val="16"/>
          <w:szCs w:val="16"/>
        </w:rPr>
        <w:t xml:space="preserve">W odrębnej części załącznika zaprezentowano przedsięwzięcia wieloletnie dotyczące zadań finansowanych </w:t>
      </w:r>
      <w:r w:rsidRPr="000A6485">
        <w:rPr>
          <w:rFonts w:ascii="Verdana" w:hAnsi="Verdana"/>
          <w:bCs/>
          <w:sz w:val="16"/>
          <w:szCs w:val="16"/>
        </w:rPr>
        <w:br/>
      </w:r>
      <w:r>
        <w:rPr>
          <w:rFonts w:ascii="Verdana" w:hAnsi="Verdana"/>
          <w:bCs/>
          <w:sz w:val="16"/>
          <w:szCs w:val="16"/>
        </w:rPr>
        <w:t>z udziałem środków z Unii Europejskiej oraz oddzielnie wykazano przedsięwzięcia wieloletnie związane z umowami partnerstwa publiczno-prywatnego.</w:t>
      </w:r>
    </w:p>
    <w:p w:rsidR="00CA374E" w:rsidRDefault="00CA374E" w:rsidP="00CA374E">
      <w:pPr>
        <w:spacing w:before="60" w:after="60"/>
        <w:jc w:val="both"/>
        <w:rPr>
          <w:rFonts w:ascii="Verdana" w:hAnsi="Verdana" w:cs="Arial"/>
          <w:sz w:val="16"/>
          <w:szCs w:val="16"/>
        </w:rPr>
      </w:pPr>
      <w:r w:rsidRPr="000A6485">
        <w:rPr>
          <w:rFonts w:ascii="Verdana" w:hAnsi="Verdana" w:cs="Arial"/>
          <w:sz w:val="16"/>
          <w:szCs w:val="16"/>
        </w:rPr>
        <w:t>Dla każdego przedsięwzięcia, poza nazwą, określono lata realizacji, jednostkę koordynującą (realizującą), łączne nakłady finansowe, łączny limit wydatków oraz limity wydatków w poszczególnych latach. Horyzont czasowy dokumentu został wyznaczony przez najbardziej odległy termin zakończenia przedsięwzięcia, dla którego zaplanowano środki na realizację.</w:t>
      </w:r>
    </w:p>
    <w:p w:rsidR="00CA374E" w:rsidRDefault="00CA374E" w:rsidP="00CA374E">
      <w:pPr>
        <w:spacing w:before="60" w:after="60"/>
        <w:jc w:val="both"/>
        <w:rPr>
          <w:rFonts w:ascii="Verdana" w:hAnsi="Verdana" w:cs="Arial"/>
          <w:sz w:val="16"/>
          <w:szCs w:val="16"/>
        </w:rPr>
      </w:pPr>
    </w:p>
    <w:p w:rsidR="00CA374E" w:rsidRPr="000A6485" w:rsidRDefault="00CA374E" w:rsidP="00CA374E">
      <w:pPr>
        <w:tabs>
          <w:tab w:val="num" w:pos="1273"/>
        </w:tabs>
        <w:spacing w:before="120" w:after="120"/>
        <w:rPr>
          <w:rFonts w:ascii="Verdana" w:hAnsi="Verdana"/>
          <w:b/>
          <w:bCs/>
          <w:sz w:val="22"/>
          <w:szCs w:val="22"/>
        </w:rPr>
      </w:pPr>
      <w:r w:rsidRPr="000A6485">
        <w:rPr>
          <w:rFonts w:ascii="Verdana" w:hAnsi="Verdana"/>
          <w:b/>
          <w:bCs/>
          <w:sz w:val="22"/>
          <w:szCs w:val="22"/>
        </w:rPr>
        <w:t xml:space="preserve">10. Podsumowanie </w:t>
      </w:r>
    </w:p>
    <w:p w:rsidR="00CA374E" w:rsidRPr="000A6485" w:rsidRDefault="00CA374E" w:rsidP="00CA374E">
      <w:pPr>
        <w:tabs>
          <w:tab w:val="left" w:pos="567"/>
        </w:tabs>
        <w:spacing w:before="60" w:after="60"/>
        <w:jc w:val="both"/>
        <w:rPr>
          <w:rFonts w:ascii="Verdana" w:hAnsi="Verdana"/>
          <w:sz w:val="16"/>
          <w:szCs w:val="16"/>
        </w:rPr>
      </w:pPr>
      <w:r w:rsidRPr="000A6485">
        <w:rPr>
          <w:rFonts w:ascii="Verdana" w:hAnsi="Verdana"/>
          <w:sz w:val="20"/>
          <w:szCs w:val="20"/>
        </w:rPr>
        <w:tab/>
      </w:r>
      <w:r w:rsidRPr="000A6485">
        <w:rPr>
          <w:rFonts w:ascii="Verdana" w:hAnsi="Verdana"/>
          <w:sz w:val="16"/>
          <w:szCs w:val="16"/>
        </w:rPr>
        <w:t xml:space="preserve">Szczegółowe dane prognostyczne oparte o opisane we wstępie założenia i metodologię zaprezentowano </w:t>
      </w:r>
      <w:r w:rsidRPr="000A6485">
        <w:rPr>
          <w:rFonts w:ascii="Verdana" w:hAnsi="Verdana"/>
          <w:sz w:val="16"/>
          <w:szCs w:val="16"/>
        </w:rPr>
        <w:br/>
        <w:t>w załączn</w:t>
      </w:r>
      <w:r>
        <w:rPr>
          <w:rFonts w:ascii="Verdana" w:hAnsi="Verdana"/>
          <w:sz w:val="16"/>
          <w:szCs w:val="16"/>
        </w:rPr>
        <w:t xml:space="preserve">iku nr 1, </w:t>
      </w:r>
      <w:r w:rsidRPr="000A6485">
        <w:rPr>
          <w:rFonts w:ascii="Verdana" w:hAnsi="Verdana"/>
          <w:sz w:val="16"/>
          <w:szCs w:val="16"/>
        </w:rPr>
        <w:t xml:space="preserve">będącym integralną częścią uchwały w sprawie Wieloletniej Prognozy Finansowej </w:t>
      </w:r>
      <w:r>
        <w:rPr>
          <w:rFonts w:ascii="Verdana" w:hAnsi="Verdana"/>
          <w:sz w:val="16"/>
          <w:szCs w:val="16"/>
        </w:rPr>
        <w:br/>
      </w:r>
      <w:r w:rsidRPr="000A6485">
        <w:rPr>
          <w:rFonts w:ascii="Verdana" w:hAnsi="Verdana"/>
          <w:sz w:val="16"/>
          <w:szCs w:val="16"/>
        </w:rPr>
        <w:t xml:space="preserve">m.st. Warszawy na lata </w:t>
      </w:r>
      <w:r w:rsidRPr="008F3935">
        <w:rPr>
          <w:rFonts w:ascii="Verdana" w:eastAsiaTheme="minorEastAsia" w:hAnsi="Verdana" w:cs="Verdana"/>
          <w:color w:val="000000"/>
          <w:sz w:val="16"/>
          <w:szCs w:val="16"/>
        </w:rPr>
        <w:t>2024</w:t>
      </w:r>
      <w:r w:rsidRPr="000A6485">
        <w:rPr>
          <w:rFonts w:ascii="Verdana" w:hAnsi="Verdana"/>
          <w:sz w:val="16"/>
          <w:szCs w:val="16"/>
        </w:rPr>
        <w:t>-2050, sporządzonym zgodne ze wzorem określonym w rozporzą</w:t>
      </w:r>
      <w:r>
        <w:rPr>
          <w:rFonts w:ascii="Verdana" w:hAnsi="Verdana"/>
          <w:sz w:val="16"/>
          <w:szCs w:val="16"/>
        </w:rPr>
        <w:t xml:space="preserve">dzeniu Ministra Finansów z </w:t>
      </w:r>
      <w:r w:rsidRPr="000A6485">
        <w:rPr>
          <w:rFonts w:ascii="Verdana" w:hAnsi="Verdana"/>
          <w:sz w:val="16"/>
          <w:szCs w:val="16"/>
        </w:rPr>
        <w:t>10 stycznia 2013 r. w sprawie wieloletniej prognozy finansowej jednostki samorządu terytorialnego (</w:t>
      </w:r>
      <w:r>
        <w:rPr>
          <w:rFonts w:ascii="Verdana" w:hAnsi="Verdana"/>
          <w:sz w:val="16"/>
          <w:szCs w:val="16"/>
        </w:rPr>
        <w:t>Dz. U. z 2021</w:t>
      </w:r>
      <w:r w:rsidRPr="000A6485">
        <w:rPr>
          <w:rFonts w:ascii="Verdana" w:hAnsi="Verdana"/>
          <w:sz w:val="16"/>
          <w:szCs w:val="16"/>
        </w:rPr>
        <w:t xml:space="preserve"> r. poz. </w:t>
      </w:r>
      <w:r>
        <w:rPr>
          <w:rFonts w:ascii="Verdana" w:hAnsi="Verdana"/>
          <w:sz w:val="16"/>
          <w:szCs w:val="16"/>
        </w:rPr>
        <w:t>83</w:t>
      </w:r>
      <w:r w:rsidRPr="000A6485">
        <w:rPr>
          <w:rFonts w:ascii="Verdana" w:hAnsi="Verdana"/>
          <w:sz w:val="16"/>
          <w:szCs w:val="16"/>
        </w:rPr>
        <w:t xml:space="preserve">). Zestawienie tabelaryczne prognozowanych kategorii budżetowych ujętych w </w:t>
      </w:r>
      <w:r>
        <w:rPr>
          <w:rFonts w:ascii="Verdana" w:hAnsi="Verdana"/>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sz w:val="16"/>
          <w:szCs w:val="16"/>
        </w:rPr>
        <w:t>-2050, stanowiące załącznik nr 1, składa się z 12 sekcji obejmujących:</w:t>
      </w:r>
    </w:p>
    <w:p w:rsidR="00CA374E" w:rsidRPr="000A6485" w:rsidRDefault="00CA374E" w:rsidP="00CA374E">
      <w:pPr>
        <w:spacing w:before="60" w:after="60"/>
        <w:jc w:val="both"/>
        <w:rPr>
          <w:rFonts w:ascii="Verdana" w:hAnsi="Verdana"/>
          <w:sz w:val="16"/>
          <w:szCs w:val="16"/>
        </w:rPr>
      </w:pPr>
      <w:r w:rsidRPr="000A6485">
        <w:rPr>
          <w:rFonts w:ascii="Verdana" w:hAnsi="Verdana"/>
          <w:b/>
          <w:bCs/>
          <w:sz w:val="16"/>
          <w:szCs w:val="16"/>
        </w:rPr>
        <w:t>SEKCJA 1</w:t>
      </w:r>
      <w:r w:rsidRPr="000A6485">
        <w:rPr>
          <w:rFonts w:ascii="Verdana" w:hAnsi="Verdana"/>
          <w:sz w:val="16"/>
          <w:szCs w:val="16"/>
        </w:rPr>
        <w:t xml:space="preserve"> – wybrane pozycje</w:t>
      </w:r>
      <w:r w:rsidRPr="000A6485">
        <w:rPr>
          <w:rFonts w:ascii="Verdana" w:hAnsi="Verdana"/>
          <w:b/>
          <w:sz w:val="16"/>
          <w:szCs w:val="16"/>
        </w:rPr>
        <w:t xml:space="preserve"> dochodów</w:t>
      </w:r>
    </w:p>
    <w:p w:rsidR="00CA374E" w:rsidRPr="000A6485" w:rsidRDefault="00CA374E" w:rsidP="00CA374E">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bieżące</w:t>
      </w:r>
      <w:r>
        <w:rPr>
          <w:rFonts w:ascii="Verdana" w:hAnsi="Verdana"/>
          <w:sz w:val="16"/>
          <w:szCs w:val="16"/>
        </w:rPr>
        <w:t>, z tego</w:t>
      </w:r>
      <w:r w:rsidRPr="000A6485">
        <w:rPr>
          <w:rFonts w:ascii="Verdana" w:hAnsi="Verdana"/>
          <w:sz w:val="16"/>
          <w:szCs w:val="16"/>
        </w:rPr>
        <w:t>:</w:t>
      </w:r>
    </w:p>
    <w:p w:rsidR="00CA374E" w:rsidRPr="000A6485" w:rsidRDefault="00CA374E" w:rsidP="00CA374E">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fizycznych</w:t>
      </w:r>
    </w:p>
    <w:p w:rsidR="00CA374E" w:rsidRPr="000A6485" w:rsidRDefault="00CA374E" w:rsidP="00CA374E">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dochody z tytułu udziału we wpływach z podatku dochodowego od osób prawnych</w:t>
      </w:r>
    </w:p>
    <w:p w:rsidR="00CA374E" w:rsidRPr="000A6485" w:rsidRDefault="00CA374E" w:rsidP="00CA374E">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subwencji ogólnej</w:t>
      </w:r>
    </w:p>
    <w:p w:rsidR="00CA374E" w:rsidRPr="000A6485" w:rsidRDefault="00CA374E" w:rsidP="00CA374E">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z tytułu dotacji i środków przeznaczonych na cele bieżące</w:t>
      </w:r>
    </w:p>
    <w:p w:rsidR="00CA374E" w:rsidRPr="000A6485" w:rsidRDefault="00CA374E" w:rsidP="00CA374E">
      <w:pPr>
        <w:pStyle w:val="Akapitzlist"/>
        <w:numPr>
          <w:ilvl w:val="0"/>
          <w:numId w:val="15"/>
        </w:numPr>
        <w:spacing w:before="60" w:after="60"/>
        <w:ind w:left="993" w:hanging="284"/>
        <w:jc w:val="both"/>
        <w:rPr>
          <w:rFonts w:ascii="Verdana" w:hAnsi="Verdana"/>
          <w:sz w:val="16"/>
          <w:szCs w:val="16"/>
        </w:rPr>
      </w:pPr>
      <w:r w:rsidRPr="000A6485">
        <w:rPr>
          <w:rFonts w:ascii="Verdana" w:hAnsi="Verdana"/>
          <w:sz w:val="16"/>
          <w:szCs w:val="16"/>
        </w:rPr>
        <w:t>pozostałe dochody bieżące, w tym:</w:t>
      </w:r>
    </w:p>
    <w:p w:rsidR="00CA374E" w:rsidRPr="000A6485" w:rsidRDefault="00CA374E" w:rsidP="00CA374E">
      <w:pPr>
        <w:pStyle w:val="Akapitzlist"/>
        <w:numPr>
          <w:ilvl w:val="0"/>
          <w:numId w:val="16"/>
        </w:numPr>
        <w:spacing w:before="60" w:after="60"/>
        <w:ind w:left="1560" w:hanging="284"/>
        <w:jc w:val="both"/>
        <w:rPr>
          <w:rFonts w:ascii="Verdana" w:hAnsi="Verdana"/>
          <w:sz w:val="16"/>
          <w:szCs w:val="16"/>
        </w:rPr>
      </w:pPr>
      <w:r w:rsidRPr="000A6485">
        <w:rPr>
          <w:rFonts w:ascii="Verdana" w:hAnsi="Verdana"/>
          <w:sz w:val="16"/>
          <w:szCs w:val="16"/>
        </w:rPr>
        <w:t>z podatku od nieruchomości</w:t>
      </w:r>
    </w:p>
    <w:p w:rsidR="00CA374E" w:rsidRPr="000A6485" w:rsidRDefault="00CA374E" w:rsidP="00CA374E">
      <w:pPr>
        <w:pStyle w:val="Akapitzlist"/>
        <w:numPr>
          <w:ilvl w:val="0"/>
          <w:numId w:val="14"/>
        </w:numPr>
        <w:spacing w:before="60" w:after="60"/>
        <w:ind w:left="567" w:hanging="283"/>
        <w:jc w:val="both"/>
        <w:rPr>
          <w:rFonts w:ascii="Verdana" w:hAnsi="Verdana"/>
          <w:sz w:val="16"/>
          <w:szCs w:val="16"/>
        </w:rPr>
      </w:pPr>
      <w:r w:rsidRPr="000A6485">
        <w:rPr>
          <w:rFonts w:ascii="Verdana" w:hAnsi="Verdana"/>
          <w:sz w:val="16"/>
          <w:szCs w:val="16"/>
        </w:rPr>
        <w:t>dochody majątkowe, w tym:</w:t>
      </w:r>
    </w:p>
    <w:p w:rsidR="00CA374E" w:rsidRPr="000A6485" w:rsidRDefault="00CA374E" w:rsidP="00CA374E">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ze sprzedaży majątku</w:t>
      </w:r>
    </w:p>
    <w:p w:rsidR="00CA374E" w:rsidRPr="000A6485" w:rsidRDefault="00CA374E" w:rsidP="00CA374E">
      <w:pPr>
        <w:pStyle w:val="Akapitzlist"/>
        <w:numPr>
          <w:ilvl w:val="0"/>
          <w:numId w:val="17"/>
        </w:numPr>
        <w:spacing w:before="60" w:after="60"/>
        <w:ind w:left="993" w:hanging="284"/>
        <w:jc w:val="both"/>
        <w:rPr>
          <w:rFonts w:ascii="Verdana" w:hAnsi="Verdana"/>
          <w:sz w:val="16"/>
          <w:szCs w:val="16"/>
        </w:rPr>
      </w:pPr>
      <w:r w:rsidRPr="000A6485">
        <w:rPr>
          <w:rFonts w:ascii="Verdana" w:hAnsi="Verdana"/>
          <w:sz w:val="16"/>
          <w:szCs w:val="16"/>
        </w:rPr>
        <w:t>z tytułu dotacji oraz środków przeznaczonych na inwestycje</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dochodów ogółem</w:t>
      </w:r>
      <w:r w:rsidRPr="000A6485">
        <w:rPr>
          <w:rFonts w:ascii="Verdana" w:hAnsi="Verdana"/>
          <w:sz w:val="16"/>
          <w:szCs w:val="16"/>
        </w:rPr>
        <w:t>:</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24,519</w:t>
      </w:r>
      <w:r w:rsidRPr="005553AB">
        <w:rPr>
          <w:rFonts w:ascii="Verdana" w:eastAsiaTheme="minorEastAsia" w:hAnsi="Verdana" w:cs="Verdana"/>
          <w:b/>
          <w:bCs/>
          <w:color w:val="000000"/>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25,348</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26,156</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26,468</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27,116</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spacing w:before="60" w:after="60"/>
        <w:ind w:left="567"/>
        <w:jc w:val="both"/>
        <w:rPr>
          <w:rFonts w:ascii="Verdana" w:hAnsi="Verdana"/>
          <w:sz w:val="16"/>
          <w:szCs w:val="16"/>
        </w:rPr>
      </w:pPr>
      <w:r w:rsidRPr="000A6485">
        <w:rPr>
          <w:rFonts w:ascii="Verdana" w:hAnsi="Verdana"/>
          <w:sz w:val="16"/>
          <w:szCs w:val="16"/>
        </w:rPr>
        <w:t>.</w:t>
      </w:r>
    </w:p>
    <w:p w:rsidR="00CA374E" w:rsidRDefault="00CA374E" w:rsidP="00CA374E">
      <w:pPr>
        <w:pStyle w:val="Akapitzlist"/>
        <w:numPr>
          <w:ilvl w:val="0"/>
          <w:numId w:val="18"/>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8F3935">
        <w:rPr>
          <w:rFonts w:ascii="Verdana" w:eastAsiaTheme="minorEastAsia" w:hAnsi="Verdana" w:cs="Verdana"/>
          <w:b/>
          <w:bCs/>
          <w:color w:val="000000"/>
          <w:sz w:val="16"/>
          <w:szCs w:val="16"/>
        </w:rPr>
        <w:t>56,768</w:t>
      </w:r>
      <w:r w:rsidRPr="000A6485">
        <w:rPr>
          <w:rFonts w:ascii="Verdana" w:hAnsi="Verdana"/>
          <w:sz w:val="16"/>
          <w:szCs w:val="16"/>
        </w:rPr>
        <w:t xml:space="preserve"> </w:t>
      </w:r>
      <w:r w:rsidRPr="000A6485">
        <w:rPr>
          <w:rFonts w:ascii="Verdana" w:hAnsi="Verdana"/>
          <w:b/>
          <w:sz w:val="16"/>
          <w:szCs w:val="16"/>
        </w:rPr>
        <w:t>mld zł</w:t>
      </w:r>
      <w:r>
        <w:rPr>
          <w:rFonts w:ascii="Verdana" w:hAnsi="Verdana"/>
          <w:b/>
          <w:sz w:val="16"/>
          <w:szCs w:val="16"/>
        </w:rPr>
        <w:br w:type="page"/>
      </w:r>
    </w:p>
    <w:p w:rsidR="00CA374E" w:rsidRPr="000A6485" w:rsidRDefault="00CA374E" w:rsidP="00CA374E">
      <w:pPr>
        <w:spacing w:before="60" w:after="60"/>
        <w:jc w:val="both"/>
        <w:rPr>
          <w:rFonts w:ascii="Verdana" w:hAnsi="Verdana"/>
          <w:sz w:val="16"/>
          <w:szCs w:val="16"/>
        </w:rPr>
      </w:pPr>
      <w:r w:rsidRPr="000A6485">
        <w:rPr>
          <w:rFonts w:ascii="Verdana" w:hAnsi="Verdana"/>
          <w:b/>
          <w:bCs/>
          <w:sz w:val="16"/>
          <w:szCs w:val="16"/>
        </w:rPr>
        <w:lastRenderedPageBreak/>
        <w:t>SEKCJA 2</w:t>
      </w:r>
      <w:r w:rsidRPr="000A6485">
        <w:rPr>
          <w:rFonts w:ascii="Verdana" w:hAnsi="Verdana"/>
          <w:sz w:val="16"/>
          <w:szCs w:val="16"/>
        </w:rPr>
        <w:t xml:space="preserve"> – wybrane pozycje</w:t>
      </w:r>
      <w:r w:rsidRPr="000A6485">
        <w:rPr>
          <w:rFonts w:ascii="Verdana" w:hAnsi="Verdana"/>
          <w:b/>
          <w:sz w:val="16"/>
          <w:szCs w:val="16"/>
        </w:rPr>
        <w:t xml:space="preserve"> wydatków</w:t>
      </w:r>
    </w:p>
    <w:p w:rsidR="00CA374E" w:rsidRPr="000A6485" w:rsidRDefault="00CA374E" w:rsidP="00CA374E">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bieżące, w tym:</w:t>
      </w:r>
    </w:p>
    <w:p w:rsidR="00CA374E" w:rsidRPr="000A6485" w:rsidRDefault="00CA374E" w:rsidP="00CA374E">
      <w:pPr>
        <w:pStyle w:val="Akapitzlist"/>
        <w:numPr>
          <w:ilvl w:val="0"/>
          <w:numId w:val="32"/>
        </w:numPr>
        <w:spacing w:before="60" w:after="60" w:line="324" w:lineRule="auto"/>
        <w:ind w:left="993" w:hanging="284"/>
        <w:jc w:val="both"/>
        <w:rPr>
          <w:rFonts w:ascii="Verdana" w:hAnsi="Verdana"/>
          <w:sz w:val="16"/>
          <w:szCs w:val="16"/>
        </w:rPr>
      </w:pPr>
      <w:r w:rsidRPr="000A6485">
        <w:rPr>
          <w:rFonts w:ascii="Verdana" w:hAnsi="Verdana"/>
          <w:sz w:val="16"/>
          <w:szCs w:val="16"/>
        </w:rPr>
        <w:t>na wynagrodzenia i składki od nich naliczane</w:t>
      </w:r>
    </w:p>
    <w:p w:rsidR="00CA374E" w:rsidRPr="000A6485" w:rsidRDefault="00CA374E" w:rsidP="00CA374E">
      <w:pPr>
        <w:pStyle w:val="Akapitzlist"/>
        <w:numPr>
          <w:ilvl w:val="0"/>
          <w:numId w:val="15"/>
        </w:numPr>
        <w:spacing w:before="60" w:after="60" w:line="324" w:lineRule="auto"/>
        <w:ind w:left="993" w:hanging="284"/>
        <w:jc w:val="both"/>
        <w:rPr>
          <w:rFonts w:ascii="Verdana" w:hAnsi="Verdana"/>
          <w:sz w:val="16"/>
          <w:szCs w:val="16"/>
        </w:rPr>
      </w:pPr>
      <w:r w:rsidRPr="000A6485">
        <w:rPr>
          <w:rFonts w:ascii="Verdana" w:hAnsi="Verdana"/>
          <w:sz w:val="16"/>
          <w:szCs w:val="16"/>
        </w:rPr>
        <w:t>z tytułu poręczeń i gwarancji, w tym:</w:t>
      </w:r>
    </w:p>
    <w:p w:rsidR="00CA374E" w:rsidRPr="000A6485" w:rsidRDefault="00CA374E" w:rsidP="00CA374E">
      <w:pPr>
        <w:pStyle w:val="Akapitzlist"/>
        <w:numPr>
          <w:ilvl w:val="0"/>
          <w:numId w:val="19"/>
        </w:numPr>
        <w:tabs>
          <w:tab w:val="left" w:pos="1560"/>
        </w:tabs>
        <w:spacing w:before="60" w:after="60" w:line="324" w:lineRule="auto"/>
        <w:ind w:left="1560" w:hanging="284"/>
        <w:jc w:val="both"/>
        <w:rPr>
          <w:rFonts w:ascii="Verdana" w:hAnsi="Verdana"/>
          <w:sz w:val="16"/>
          <w:szCs w:val="16"/>
        </w:rPr>
      </w:pPr>
      <w:r w:rsidRPr="000A6485">
        <w:rPr>
          <w:rFonts w:ascii="Verdana" w:hAnsi="Verdana"/>
          <w:sz w:val="16"/>
          <w:szCs w:val="16"/>
        </w:rPr>
        <w:t>gwarancje i poręczenia podlegające wyłącze</w:t>
      </w:r>
      <w:r>
        <w:rPr>
          <w:rFonts w:ascii="Verdana" w:hAnsi="Verdana"/>
          <w:sz w:val="16"/>
          <w:szCs w:val="16"/>
        </w:rPr>
        <w:t>niu z limitu spłaty zobowiązań, o którym</w:t>
      </w:r>
      <w:r w:rsidRPr="000A6485">
        <w:rPr>
          <w:rFonts w:ascii="Verdana" w:hAnsi="Verdana"/>
          <w:sz w:val="16"/>
          <w:szCs w:val="16"/>
        </w:rPr>
        <w:t xml:space="preserve"> mowa</w:t>
      </w:r>
      <w:r w:rsidRPr="000A6485">
        <w:rPr>
          <w:rFonts w:ascii="Verdana" w:hAnsi="Verdana"/>
          <w:sz w:val="16"/>
          <w:szCs w:val="16"/>
        </w:rPr>
        <w:br/>
      </w:r>
      <w:r>
        <w:rPr>
          <w:rFonts w:ascii="Verdana" w:hAnsi="Verdana"/>
          <w:sz w:val="16"/>
          <w:szCs w:val="16"/>
        </w:rPr>
        <w:t>w art. 243 ustawy</w:t>
      </w:r>
    </w:p>
    <w:p w:rsidR="00CA374E" w:rsidRPr="000A6485" w:rsidRDefault="00CA374E" w:rsidP="00CA374E">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wydatki na obsługę długu, w tym:</w:t>
      </w:r>
    </w:p>
    <w:p w:rsidR="00CA374E" w:rsidRPr="000A6485" w:rsidRDefault="00CA374E" w:rsidP="00CA374E">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 xml:space="preserve">odsetki i dyskonto podlegające wyłączeniu z limitu spłaty zobowiązań, o którym mowa </w:t>
      </w:r>
      <w:r w:rsidRPr="000A6485">
        <w:rPr>
          <w:rFonts w:ascii="Verdana" w:hAnsi="Verdana"/>
          <w:sz w:val="16"/>
          <w:szCs w:val="16"/>
        </w:rPr>
        <w:br/>
        <w:t>w art. 243 ustawy</w:t>
      </w:r>
    </w:p>
    <w:p w:rsidR="00CA374E" w:rsidRPr="000A6485" w:rsidRDefault="00CA374E" w:rsidP="00CA374E">
      <w:pPr>
        <w:pStyle w:val="Akapitzlist"/>
        <w:numPr>
          <w:ilvl w:val="0"/>
          <w:numId w:val="14"/>
        </w:numPr>
        <w:spacing w:before="60" w:after="60" w:line="324" w:lineRule="auto"/>
        <w:ind w:left="567" w:hanging="283"/>
        <w:jc w:val="both"/>
        <w:rPr>
          <w:rFonts w:ascii="Verdana" w:hAnsi="Verdana"/>
          <w:sz w:val="16"/>
          <w:szCs w:val="16"/>
        </w:rPr>
      </w:pPr>
      <w:r w:rsidRPr="000A6485">
        <w:rPr>
          <w:rFonts w:ascii="Verdana" w:hAnsi="Verdana"/>
          <w:sz w:val="16"/>
          <w:szCs w:val="16"/>
        </w:rPr>
        <w:t>wydatki majątkowe, w tym:</w:t>
      </w:r>
    </w:p>
    <w:p w:rsidR="00CA374E" w:rsidRPr="000A6485" w:rsidRDefault="00CA374E" w:rsidP="00CA374E">
      <w:pPr>
        <w:pStyle w:val="Akapitzlist"/>
        <w:numPr>
          <w:ilvl w:val="0"/>
          <w:numId w:val="20"/>
        </w:numPr>
        <w:spacing w:before="60" w:after="60" w:line="324" w:lineRule="auto"/>
        <w:ind w:left="993" w:hanging="284"/>
        <w:jc w:val="both"/>
        <w:rPr>
          <w:rFonts w:ascii="Verdana" w:hAnsi="Verdana"/>
          <w:sz w:val="16"/>
          <w:szCs w:val="16"/>
        </w:rPr>
      </w:pPr>
      <w:r w:rsidRPr="000A6485">
        <w:rPr>
          <w:rFonts w:ascii="Verdana" w:hAnsi="Verdana"/>
          <w:sz w:val="16"/>
          <w:szCs w:val="16"/>
        </w:rPr>
        <w:t>inwestycje i zakupy inwestycyjne, o których mowa w art. 236 ust. 4 pkt 1 ustawy, w tym:</w:t>
      </w:r>
    </w:p>
    <w:p w:rsidR="00CA374E" w:rsidRPr="000A6485" w:rsidRDefault="00CA374E" w:rsidP="00CA374E">
      <w:pPr>
        <w:pStyle w:val="Akapitzlist"/>
        <w:numPr>
          <w:ilvl w:val="0"/>
          <w:numId w:val="22"/>
        </w:numPr>
        <w:spacing w:before="60" w:after="60" w:line="324" w:lineRule="auto"/>
        <w:ind w:left="1560" w:hanging="284"/>
        <w:jc w:val="both"/>
        <w:rPr>
          <w:rFonts w:ascii="Verdana" w:hAnsi="Verdana"/>
          <w:sz w:val="16"/>
          <w:szCs w:val="16"/>
        </w:rPr>
      </w:pPr>
      <w:r w:rsidRPr="000A6485">
        <w:rPr>
          <w:rFonts w:ascii="Verdana" w:hAnsi="Verdana"/>
          <w:sz w:val="16"/>
          <w:szCs w:val="16"/>
        </w:rPr>
        <w:t>wydatki o charakterze dotacyjnym na inwestycje i zakupy inwestycyjne</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ogółem</w:t>
      </w:r>
      <w:r w:rsidRPr="000A6485">
        <w:rPr>
          <w:rFonts w:ascii="Verdana" w:hAnsi="Verdana"/>
          <w:sz w:val="16"/>
          <w:szCs w:val="16"/>
        </w:rPr>
        <w:t>:</w:t>
      </w:r>
    </w:p>
    <w:p w:rsidR="00CA374E" w:rsidRPr="000A6485" w:rsidRDefault="00CA374E" w:rsidP="00CA374E">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27,775</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27,441</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26,895</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26,701</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40" w:after="4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26,503</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spacing w:before="40" w:after="40"/>
        <w:ind w:left="567"/>
        <w:jc w:val="both"/>
        <w:rPr>
          <w:rFonts w:ascii="Verdana" w:hAnsi="Verdana"/>
          <w:sz w:val="16"/>
          <w:szCs w:val="16"/>
        </w:rPr>
      </w:pPr>
      <w:r w:rsidRPr="000A6485">
        <w:rPr>
          <w:rFonts w:ascii="Verdana" w:hAnsi="Verdana"/>
          <w:sz w:val="16"/>
          <w:szCs w:val="16"/>
        </w:rPr>
        <w:t>.</w:t>
      </w:r>
    </w:p>
    <w:p w:rsidR="00CA374E" w:rsidRDefault="00CA374E" w:rsidP="00CA374E">
      <w:pPr>
        <w:pStyle w:val="Akapitzlist"/>
        <w:numPr>
          <w:ilvl w:val="0"/>
          <w:numId w:val="21"/>
        </w:numPr>
        <w:spacing w:before="40" w:after="40"/>
        <w:ind w:left="567" w:hanging="283"/>
        <w:jc w:val="both"/>
        <w:rPr>
          <w:rFonts w:ascii="Verdana" w:hAnsi="Verdana"/>
          <w:b/>
          <w:sz w:val="16"/>
          <w:szCs w:val="16"/>
        </w:rPr>
      </w:pPr>
      <w:r w:rsidRPr="000A6485">
        <w:rPr>
          <w:rFonts w:ascii="Verdana" w:hAnsi="Verdana"/>
          <w:sz w:val="16"/>
          <w:szCs w:val="16"/>
        </w:rPr>
        <w:t xml:space="preserve">2050 r. – </w:t>
      </w:r>
      <w:r w:rsidRPr="008F3935">
        <w:rPr>
          <w:rFonts w:ascii="Verdana" w:eastAsiaTheme="minorEastAsia" w:hAnsi="Verdana" w:cs="Verdana"/>
          <w:b/>
          <w:bCs/>
          <w:color w:val="000000"/>
          <w:sz w:val="16"/>
          <w:szCs w:val="16"/>
        </w:rPr>
        <w:t>56,368</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bieżących</w:t>
      </w:r>
      <w:r w:rsidRPr="000A6485">
        <w:rPr>
          <w:rFonts w:ascii="Verdana" w:hAnsi="Verdana"/>
          <w:sz w:val="16"/>
          <w:szCs w:val="16"/>
        </w:rPr>
        <w:t>:</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24,722</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24,122</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24,008</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24,730</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25,565</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spacing w:before="60" w:after="60"/>
        <w:ind w:left="567"/>
        <w:jc w:val="both"/>
        <w:rPr>
          <w:rFonts w:ascii="Verdana" w:hAnsi="Verdana"/>
          <w:sz w:val="16"/>
          <w:szCs w:val="16"/>
        </w:rPr>
      </w:pPr>
      <w:r w:rsidRPr="000A6485">
        <w:rPr>
          <w:rFonts w:ascii="Verdana" w:hAnsi="Verdana"/>
          <w:sz w:val="16"/>
          <w:szCs w:val="16"/>
        </w:rPr>
        <w:t>.</w:t>
      </w:r>
    </w:p>
    <w:p w:rsidR="00CA374E" w:rsidRDefault="00CA374E" w:rsidP="00CA374E">
      <w:pPr>
        <w:pStyle w:val="Akapitzlist"/>
        <w:numPr>
          <w:ilvl w:val="0"/>
          <w:numId w:val="21"/>
        </w:numPr>
        <w:spacing w:before="60" w:after="60"/>
        <w:ind w:left="567" w:hanging="283"/>
        <w:jc w:val="both"/>
        <w:rPr>
          <w:rFonts w:ascii="Verdana" w:hAnsi="Verdana"/>
          <w:b/>
          <w:sz w:val="16"/>
          <w:szCs w:val="16"/>
        </w:rPr>
      </w:pPr>
      <w:r w:rsidRPr="000A6485">
        <w:rPr>
          <w:rFonts w:ascii="Verdana" w:hAnsi="Verdana"/>
          <w:sz w:val="16"/>
          <w:szCs w:val="16"/>
        </w:rPr>
        <w:t xml:space="preserve">2050 r. – </w:t>
      </w:r>
      <w:r w:rsidRPr="008F3935">
        <w:rPr>
          <w:rFonts w:ascii="Verdana" w:eastAsiaTheme="minorEastAsia" w:hAnsi="Verdana" w:cs="Verdana"/>
          <w:b/>
          <w:bCs/>
          <w:color w:val="000000"/>
          <w:sz w:val="16"/>
          <w:szCs w:val="16"/>
        </w:rPr>
        <w:t>51,904</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spacing w:before="240" w:after="60"/>
        <w:jc w:val="both"/>
        <w:rPr>
          <w:rFonts w:ascii="Verdana" w:hAnsi="Verdana"/>
          <w:sz w:val="16"/>
          <w:szCs w:val="16"/>
        </w:rPr>
      </w:pPr>
      <w:r w:rsidRPr="000A6485">
        <w:rPr>
          <w:rFonts w:ascii="Verdana" w:hAnsi="Verdana"/>
          <w:sz w:val="16"/>
          <w:szCs w:val="16"/>
        </w:rPr>
        <w:t xml:space="preserve">Wysokość prognozowanych </w:t>
      </w:r>
      <w:r w:rsidRPr="000A6485">
        <w:rPr>
          <w:rFonts w:ascii="Verdana" w:hAnsi="Verdana"/>
          <w:sz w:val="16"/>
          <w:szCs w:val="16"/>
          <w:u w:val="single"/>
        </w:rPr>
        <w:t>wydatków majątkowych</w:t>
      </w:r>
      <w:r w:rsidRPr="000A6485">
        <w:rPr>
          <w:rFonts w:ascii="Verdana" w:hAnsi="Verdana"/>
          <w:sz w:val="16"/>
          <w:szCs w:val="16"/>
        </w:rPr>
        <w:t>:</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3,053</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3,319</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2,887</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1,971</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8</w:t>
      </w:r>
      <w:r w:rsidRPr="000A6485">
        <w:rPr>
          <w:rFonts w:ascii="Verdana" w:hAnsi="Verdana"/>
          <w:sz w:val="16"/>
          <w:szCs w:val="16"/>
        </w:rPr>
        <w:t xml:space="preserve"> r. – </w:t>
      </w:r>
      <w:r w:rsidRPr="008F3935">
        <w:rPr>
          <w:rFonts w:ascii="Verdana" w:eastAsiaTheme="minorEastAsia" w:hAnsi="Verdana" w:cs="Verdana"/>
          <w:b/>
          <w:bCs/>
          <w:color w:val="000000"/>
          <w:sz w:val="16"/>
          <w:szCs w:val="16"/>
        </w:rPr>
        <w:t>938</w:t>
      </w:r>
      <w:r w:rsidRPr="000A6485">
        <w:rPr>
          <w:rFonts w:ascii="Verdana" w:hAnsi="Verdana"/>
          <w:sz w:val="16"/>
          <w:szCs w:val="16"/>
        </w:rPr>
        <w:t xml:space="preserve"> </w:t>
      </w:r>
      <w:r w:rsidRPr="000A6485">
        <w:rPr>
          <w:rFonts w:ascii="Verdana" w:hAnsi="Verdana"/>
          <w:b/>
          <w:sz w:val="16"/>
          <w:szCs w:val="16"/>
        </w:rPr>
        <w:t>mln zł</w:t>
      </w:r>
    </w:p>
    <w:p w:rsidR="00CA374E" w:rsidRPr="000A6485" w:rsidRDefault="00CA374E" w:rsidP="00CA374E">
      <w:pPr>
        <w:pStyle w:val="Akapitzlist"/>
        <w:spacing w:before="60" w:after="60"/>
        <w:ind w:left="567"/>
        <w:jc w:val="both"/>
        <w:rPr>
          <w:rFonts w:ascii="Verdana" w:hAnsi="Verdana"/>
          <w:sz w:val="16"/>
          <w:szCs w:val="16"/>
        </w:rPr>
      </w:pPr>
      <w:r w:rsidRPr="000A6485">
        <w:rPr>
          <w:rFonts w:ascii="Verdana" w:hAnsi="Verdana"/>
          <w:sz w:val="16"/>
          <w:szCs w:val="16"/>
        </w:rPr>
        <w:t>.</w:t>
      </w:r>
    </w:p>
    <w:p w:rsidR="00CA374E" w:rsidRPr="000A6485" w:rsidRDefault="00CA374E" w:rsidP="00CA374E">
      <w:pPr>
        <w:pStyle w:val="Akapitzlist"/>
        <w:numPr>
          <w:ilvl w:val="0"/>
          <w:numId w:val="21"/>
        </w:numPr>
        <w:spacing w:before="60" w:after="60"/>
        <w:ind w:left="567" w:hanging="283"/>
        <w:jc w:val="both"/>
        <w:rPr>
          <w:rFonts w:ascii="Verdana" w:hAnsi="Verdana"/>
          <w:sz w:val="16"/>
          <w:szCs w:val="16"/>
        </w:rPr>
      </w:pPr>
      <w:r w:rsidRPr="000A6485">
        <w:rPr>
          <w:rFonts w:ascii="Verdana" w:hAnsi="Verdana"/>
          <w:sz w:val="16"/>
          <w:szCs w:val="16"/>
        </w:rPr>
        <w:t xml:space="preserve">2050 r. – </w:t>
      </w:r>
      <w:r w:rsidRPr="008F3935">
        <w:rPr>
          <w:rFonts w:ascii="Verdana" w:eastAsiaTheme="minorEastAsia" w:hAnsi="Verdana" w:cs="Verdana"/>
          <w:b/>
          <w:bCs/>
          <w:color w:val="000000"/>
          <w:sz w:val="16"/>
          <w:szCs w:val="16"/>
        </w:rPr>
        <w:t>4,464</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spacing w:before="240" w:after="60"/>
        <w:jc w:val="both"/>
        <w:rPr>
          <w:rFonts w:ascii="Verdana" w:hAnsi="Verdana"/>
          <w:sz w:val="16"/>
          <w:szCs w:val="16"/>
        </w:rPr>
      </w:pPr>
      <w:r w:rsidRPr="000A6485">
        <w:rPr>
          <w:rFonts w:ascii="Verdana" w:hAnsi="Verdana"/>
          <w:b/>
          <w:bCs/>
          <w:sz w:val="16"/>
          <w:szCs w:val="16"/>
        </w:rPr>
        <w:t>SEKCJA 3</w:t>
      </w:r>
      <w:r w:rsidRPr="000A6485">
        <w:rPr>
          <w:rFonts w:ascii="Verdana" w:hAnsi="Verdana"/>
          <w:sz w:val="16"/>
          <w:szCs w:val="16"/>
        </w:rPr>
        <w:t xml:space="preserve"> – prognozowany</w:t>
      </w:r>
      <w:r w:rsidRPr="000A6485">
        <w:rPr>
          <w:rFonts w:ascii="Verdana" w:hAnsi="Verdana"/>
          <w:b/>
          <w:sz w:val="16"/>
          <w:szCs w:val="16"/>
        </w:rPr>
        <w:t xml:space="preserve"> wynik budżetu</w:t>
      </w:r>
      <w:r w:rsidRPr="000A6485">
        <w:rPr>
          <w:rFonts w:ascii="Verdana" w:hAnsi="Verdana"/>
          <w:sz w:val="16"/>
          <w:szCs w:val="16"/>
        </w:rPr>
        <w:t xml:space="preserve"> stanowiący różnicę pomiędzy prognozowanymi dochodami </w:t>
      </w:r>
      <w:r w:rsidRPr="000A6485">
        <w:rPr>
          <w:rFonts w:ascii="Verdana" w:hAnsi="Verdana"/>
          <w:sz w:val="16"/>
          <w:szCs w:val="16"/>
        </w:rPr>
        <w:br/>
        <w:t>a wydatkami, w tym wyszczególniona kwota prognozowanej nadwyżki budżetu przeznaczana na spłatę kredytów, pożyczek i wykup papierów wartościowych</w:t>
      </w:r>
    </w:p>
    <w:p w:rsidR="00CA374E" w:rsidRPr="000A6485" w:rsidRDefault="00CA374E" w:rsidP="00CA374E">
      <w:pPr>
        <w:spacing w:before="60" w:after="60"/>
        <w:jc w:val="both"/>
        <w:rPr>
          <w:rFonts w:ascii="Verdana" w:hAnsi="Verdana"/>
          <w:sz w:val="16"/>
          <w:szCs w:val="16"/>
        </w:rPr>
      </w:pPr>
      <w:r>
        <w:rPr>
          <w:rFonts w:ascii="Verdana" w:hAnsi="Verdana"/>
          <w:sz w:val="16"/>
          <w:szCs w:val="16"/>
        </w:rPr>
        <w:t>Lata</w:t>
      </w:r>
      <w:r w:rsidRPr="000A6485">
        <w:rPr>
          <w:rFonts w:ascii="Verdana" w:hAnsi="Verdana"/>
          <w:sz w:val="16"/>
          <w:szCs w:val="16"/>
        </w:rPr>
        <w:t xml:space="preserve"> </w:t>
      </w:r>
      <w:r w:rsidRPr="008F3935">
        <w:rPr>
          <w:rFonts w:ascii="Verdana" w:eastAsiaTheme="minorEastAsia" w:hAnsi="Verdana" w:cs="Verdana"/>
          <w:color w:val="000000"/>
          <w:sz w:val="16"/>
          <w:szCs w:val="16"/>
        </w:rPr>
        <w:t>2024</w:t>
      </w:r>
      <w:r w:rsidRPr="000A6485">
        <w:rPr>
          <w:rFonts w:ascii="Verdana" w:hAnsi="Verdana"/>
          <w:sz w:val="16"/>
          <w:szCs w:val="16"/>
        </w:rPr>
        <w:t>-202</w:t>
      </w:r>
      <w:r>
        <w:rPr>
          <w:rFonts w:ascii="Verdana" w:hAnsi="Verdana"/>
          <w:sz w:val="16"/>
          <w:szCs w:val="16"/>
        </w:rPr>
        <w:t xml:space="preserve">7 </w:t>
      </w:r>
      <w:r w:rsidRPr="000A6485">
        <w:rPr>
          <w:rFonts w:ascii="Verdana" w:hAnsi="Verdana"/>
          <w:sz w:val="16"/>
          <w:szCs w:val="16"/>
        </w:rPr>
        <w:t>zamyka</w:t>
      </w:r>
      <w:r>
        <w:rPr>
          <w:rFonts w:ascii="Verdana" w:hAnsi="Verdana"/>
          <w:sz w:val="16"/>
          <w:szCs w:val="16"/>
        </w:rPr>
        <w:t>ją</w:t>
      </w:r>
      <w:r w:rsidRPr="000A6485">
        <w:rPr>
          <w:rFonts w:ascii="Verdana" w:hAnsi="Verdana"/>
          <w:sz w:val="16"/>
          <w:szCs w:val="16"/>
        </w:rPr>
        <w:t xml:space="preserve"> się deficytem, począwszy od 202</w:t>
      </w:r>
      <w:r>
        <w:rPr>
          <w:rFonts w:ascii="Verdana" w:hAnsi="Verdana"/>
          <w:sz w:val="16"/>
          <w:szCs w:val="16"/>
        </w:rPr>
        <w:t>8</w:t>
      </w:r>
      <w:r w:rsidRPr="000A6485">
        <w:rPr>
          <w:rFonts w:ascii="Verdana" w:hAnsi="Verdana"/>
          <w:sz w:val="16"/>
          <w:szCs w:val="16"/>
        </w:rPr>
        <w:t xml:space="preserve"> r. do 2050 r. wynik budżetu stanowi nadwyżkę.</w:t>
      </w:r>
    </w:p>
    <w:p w:rsidR="00CA374E" w:rsidRPr="000A6485" w:rsidRDefault="00CA374E" w:rsidP="00CA374E">
      <w:pPr>
        <w:spacing w:before="60" w:after="60"/>
        <w:jc w:val="both"/>
        <w:rPr>
          <w:rFonts w:ascii="Verdana" w:hAnsi="Verdana"/>
          <w:sz w:val="16"/>
          <w:szCs w:val="16"/>
        </w:rPr>
      </w:pPr>
      <w:r w:rsidRPr="000A6485">
        <w:rPr>
          <w:rFonts w:ascii="Verdana" w:hAnsi="Verdana"/>
          <w:sz w:val="16"/>
          <w:szCs w:val="16"/>
        </w:rPr>
        <w:t xml:space="preserve">Wysokość prognozowanego </w:t>
      </w:r>
      <w:r w:rsidRPr="000A6485">
        <w:rPr>
          <w:rFonts w:ascii="Verdana" w:hAnsi="Verdana"/>
          <w:sz w:val="16"/>
          <w:szCs w:val="16"/>
          <w:u w:val="single"/>
        </w:rPr>
        <w:t>wyniku budżetu</w:t>
      </w:r>
      <w:r w:rsidRPr="000A6485">
        <w:rPr>
          <w:rFonts w:ascii="Verdana" w:hAnsi="Verdana"/>
          <w:sz w:val="16"/>
          <w:szCs w:val="16"/>
        </w:rPr>
        <w:t>:</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4</w:t>
      </w:r>
      <w:r w:rsidRPr="000A6485">
        <w:rPr>
          <w:rFonts w:ascii="Verdana" w:hAnsi="Verdana"/>
          <w:sz w:val="16"/>
          <w:szCs w:val="16"/>
        </w:rPr>
        <w:t xml:space="preserve"> r. – deficyt w kwocie </w:t>
      </w:r>
      <w:r w:rsidRPr="008F3935">
        <w:rPr>
          <w:rFonts w:ascii="Verdana" w:eastAsiaTheme="minorEastAsia" w:hAnsi="Verdana" w:cs="Verdana"/>
          <w:b/>
          <w:bCs/>
          <w:color w:val="000000"/>
          <w:sz w:val="16"/>
          <w:szCs w:val="16"/>
        </w:rPr>
        <w:t>3,255</w:t>
      </w:r>
      <w:r w:rsidRPr="000A6485">
        <w:rPr>
          <w:rFonts w:ascii="Verdana" w:hAnsi="Verdana"/>
          <w:sz w:val="16"/>
          <w:szCs w:val="16"/>
        </w:rPr>
        <w:t xml:space="preserve"> </w:t>
      </w:r>
      <w:r>
        <w:rPr>
          <w:rFonts w:ascii="Verdana" w:hAnsi="Verdana"/>
          <w:b/>
          <w:sz w:val="16"/>
          <w:szCs w:val="16"/>
        </w:rPr>
        <w:t>mld</w:t>
      </w:r>
      <w:r w:rsidRPr="000A6485">
        <w:rPr>
          <w:rFonts w:ascii="Verdana" w:hAnsi="Verdana"/>
          <w:b/>
          <w:sz w:val="16"/>
          <w:szCs w:val="16"/>
        </w:rPr>
        <w:t xml:space="preserve">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5</w:t>
      </w:r>
      <w:r w:rsidRPr="000A6485">
        <w:rPr>
          <w:rFonts w:ascii="Verdana" w:hAnsi="Verdana"/>
          <w:sz w:val="16"/>
          <w:szCs w:val="16"/>
        </w:rPr>
        <w:t xml:space="preserve"> r. – deficyt w kwocie </w:t>
      </w:r>
      <w:r w:rsidRPr="008F3935">
        <w:rPr>
          <w:rFonts w:ascii="Verdana" w:eastAsiaTheme="minorEastAsia" w:hAnsi="Verdana" w:cs="Verdana"/>
          <w:b/>
          <w:bCs/>
          <w:color w:val="000000"/>
          <w:sz w:val="16"/>
          <w:szCs w:val="16"/>
        </w:rPr>
        <w:t>2,093</w:t>
      </w:r>
      <w:r w:rsidRPr="000A6485">
        <w:rPr>
          <w:rFonts w:ascii="Verdana" w:hAnsi="Verdana"/>
          <w:sz w:val="16"/>
          <w:szCs w:val="16"/>
        </w:rPr>
        <w:t xml:space="preserve"> </w:t>
      </w:r>
      <w:r w:rsidRPr="000A6485">
        <w:rPr>
          <w:rFonts w:ascii="Verdana" w:hAnsi="Verdana"/>
          <w:b/>
          <w:sz w:val="16"/>
          <w:szCs w:val="16"/>
        </w:rPr>
        <w:t>mld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6</w:t>
      </w:r>
      <w:r w:rsidRPr="000A6485">
        <w:rPr>
          <w:rFonts w:ascii="Verdana" w:hAnsi="Verdana"/>
          <w:sz w:val="16"/>
          <w:szCs w:val="16"/>
        </w:rPr>
        <w:t xml:space="preserve"> r. – deficyt w kwocie </w:t>
      </w:r>
      <w:r w:rsidRPr="008F3935">
        <w:rPr>
          <w:rFonts w:ascii="Verdana" w:eastAsiaTheme="minorEastAsia" w:hAnsi="Verdana" w:cs="Verdana"/>
          <w:b/>
          <w:bCs/>
          <w:color w:val="000000"/>
          <w:sz w:val="16"/>
          <w:szCs w:val="16"/>
        </w:rPr>
        <w:t>739</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202</w:t>
      </w:r>
      <w:r>
        <w:rPr>
          <w:rFonts w:ascii="Verdana" w:hAnsi="Verdana"/>
          <w:sz w:val="16"/>
          <w:szCs w:val="16"/>
        </w:rPr>
        <w:t>7</w:t>
      </w:r>
      <w:r w:rsidRPr="000A6485">
        <w:rPr>
          <w:rFonts w:ascii="Verdana" w:hAnsi="Verdana"/>
          <w:sz w:val="16"/>
          <w:szCs w:val="16"/>
        </w:rPr>
        <w:t xml:space="preserve"> r. – deficyt w kwocie </w:t>
      </w:r>
      <w:r w:rsidRPr="008F3935">
        <w:rPr>
          <w:rFonts w:ascii="Verdana" w:eastAsiaTheme="minorEastAsia" w:hAnsi="Verdana" w:cs="Verdana"/>
          <w:b/>
          <w:bCs/>
          <w:color w:val="000000"/>
          <w:sz w:val="16"/>
          <w:szCs w:val="16"/>
        </w:rPr>
        <w:t>233</w:t>
      </w:r>
      <w:r w:rsidRPr="000A6485">
        <w:rPr>
          <w:rFonts w:ascii="Verdana" w:hAnsi="Verdana" w:cs="Verdana"/>
          <w:b/>
          <w:color w:val="000000"/>
          <w:sz w:val="16"/>
          <w:szCs w:val="16"/>
        </w:rPr>
        <w:t xml:space="preserve"> ml</w:t>
      </w:r>
      <w:r>
        <w:rPr>
          <w:rFonts w:ascii="Verdana" w:hAnsi="Verdana" w:cs="Verdana"/>
          <w:b/>
          <w:color w:val="000000"/>
          <w:sz w:val="16"/>
          <w:szCs w:val="16"/>
        </w:rPr>
        <w:t>n</w:t>
      </w:r>
      <w:r w:rsidRPr="000A6485">
        <w:rPr>
          <w:rFonts w:ascii="Verdana" w:hAnsi="Verdana"/>
          <w:b/>
          <w:sz w:val="16"/>
          <w:szCs w:val="16"/>
        </w:rPr>
        <w:t xml:space="preserve"> zł</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lastRenderedPageBreak/>
        <w:t>202</w:t>
      </w:r>
      <w:r>
        <w:rPr>
          <w:rFonts w:ascii="Verdana" w:hAnsi="Verdana"/>
          <w:sz w:val="16"/>
          <w:szCs w:val="16"/>
        </w:rPr>
        <w:t>8</w:t>
      </w:r>
      <w:r w:rsidRPr="000A6485">
        <w:rPr>
          <w:rFonts w:ascii="Verdana" w:hAnsi="Verdana"/>
          <w:sz w:val="16"/>
          <w:szCs w:val="16"/>
        </w:rPr>
        <w:t xml:space="preserve"> r. – </w:t>
      </w:r>
      <w:r>
        <w:rPr>
          <w:rFonts w:ascii="Verdana" w:hAnsi="Verdana"/>
          <w:sz w:val="16"/>
          <w:szCs w:val="16"/>
        </w:rPr>
        <w:t>nadwyżka</w:t>
      </w:r>
      <w:r w:rsidRPr="000A6485">
        <w:rPr>
          <w:rFonts w:ascii="Verdana" w:hAnsi="Verdana"/>
          <w:sz w:val="16"/>
          <w:szCs w:val="16"/>
        </w:rPr>
        <w:t xml:space="preserve"> w kwocie </w:t>
      </w:r>
      <w:r w:rsidRPr="008F3935">
        <w:rPr>
          <w:rFonts w:ascii="Verdana" w:eastAsiaTheme="minorEastAsia" w:hAnsi="Verdana" w:cs="Verdana"/>
          <w:b/>
          <w:bCs/>
          <w:color w:val="000000"/>
          <w:sz w:val="16"/>
          <w:szCs w:val="16"/>
        </w:rPr>
        <w:t>613</w:t>
      </w:r>
      <w:r w:rsidRPr="000A6485">
        <w:rPr>
          <w:rFonts w:ascii="Verdana" w:hAnsi="Verdana"/>
          <w:sz w:val="16"/>
          <w:szCs w:val="16"/>
        </w:rPr>
        <w:t xml:space="preserve"> </w:t>
      </w:r>
      <w:r w:rsidRPr="000A6485">
        <w:rPr>
          <w:rFonts w:ascii="Verdana" w:hAnsi="Verdana"/>
          <w:b/>
          <w:sz w:val="16"/>
          <w:szCs w:val="16"/>
        </w:rPr>
        <w:t>mln zł</w:t>
      </w:r>
    </w:p>
    <w:p w:rsidR="00CA374E" w:rsidRPr="000A6485" w:rsidRDefault="00CA374E" w:rsidP="00CA374E">
      <w:pPr>
        <w:pStyle w:val="Akapitzlist"/>
        <w:spacing w:before="60" w:after="60"/>
        <w:ind w:left="567"/>
        <w:jc w:val="both"/>
        <w:rPr>
          <w:rFonts w:ascii="Verdana" w:hAnsi="Verdana"/>
          <w:sz w:val="16"/>
          <w:szCs w:val="16"/>
        </w:rPr>
      </w:pPr>
      <w:r w:rsidRPr="000A6485">
        <w:rPr>
          <w:rFonts w:ascii="Verdana" w:hAnsi="Verdana"/>
          <w:sz w:val="16"/>
          <w:szCs w:val="16"/>
        </w:rPr>
        <w:t>.</w:t>
      </w:r>
    </w:p>
    <w:p w:rsidR="00CA374E" w:rsidRPr="000A6485" w:rsidRDefault="00CA374E" w:rsidP="00CA374E">
      <w:pPr>
        <w:pStyle w:val="Akapitzlist"/>
        <w:numPr>
          <w:ilvl w:val="0"/>
          <w:numId w:val="18"/>
        </w:numPr>
        <w:spacing w:before="60" w:after="60"/>
        <w:ind w:left="567" w:hanging="283"/>
        <w:jc w:val="both"/>
        <w:rPr>
          <w:rFonts w:ascii="Verdana" w:hAnsi="Verdana"/>
          <w:sz w:val="16"/>
          <w:szCs w:val="16"/>
        </w:rPr>
      </w:pPr>
      <w:r w:rsidRPr="000A6485">
        <w:rPr>
          <w:rFonts w:ascii="Verdana" w:hAnsi="Verdana"/>
          <w:sz w:val="16"/>
          <w:szCs w:val="16"/>
        </w:rPr>
        <w:t xml:space="preserve">2050 r. – </w:t>
      </w:r>
      <w:r>
        <w:rPr>
          <w:rFonts w:ascii="Verdana" w:hAnsi="Verdana"/>
          <w:sz w:val="16"/>
          <w:szCs w:val="16"/>
        </w:rPr>
        <w:t xml:space="preserve">nadwyżka </w:t>
      </w:r>
      <w:r w:rsidRPr="000A6485">
        <w:rPr>
          <w:rFonts w:ascii="Verdana" w:hAnsi="Verdana"/>
          <w:sz w:val="16"/>
          <w:szCs w:val="16"/>
        </w:rPr>
        <w:t xml:space="preserve">w kwocie </w:t>
      </w:r>
      <w:r w:rsidRPr="008F3935">
        <w:rPr>
          <w:rFonts w:ascii="Verdana" w:eastAsiaTheme="minorEastAsia" w:hAnsi="Verdana" w:cs="Verdana"/>
          <w:b/>
          <w:bCs/>
          <w:color w:val="000000"/>
          <w:sz w:val="16"/>
          <w:szCs w:val="16"/>
        </w:rPr>
        <w:t>400</w:t>
      </w:r>
      <w:r w:rsidRPr="000A6485">
        <w:rPr>
          <w:rFonts w:ascii="Verdana" w:hAnsi="Verdana"/>
          <w:b/>
          <w:sz w:val="16"/>
          <w:szCs w:val="16"/>
        </w:rPr>
        <w:t xml:space="preserve"> mln zł</w:t>
      </w:r>
    </w:p>
    <w:p w:rsidR="00CA374E" w:rsidRPr="000A6485" w:rsidRDefault="00CA374E" w:rsidP="00CA374E">
      <w:pPr>
        <w:spacing w:before="240" w:after="60"/>
        <w:jc w:val="both"/>
        <w:rPr>
          <w:rFonts w:ascii="Verdana" w:hAnsi="Verdana"/>
          <w:sz w:val="16"/>
          <w:szCs w:val="16"/>
        </w:rPr>
      </w:pPr>
      <w:r w:rsidRPr="000A6485">
        <w:rPr>
          <w:rFonts w:ascii="Verdana" w:hAnsi="Verdana"/>
          <w:b/>
          <w:bCs/>
          <w:sz w:val="16"/>
          <w:szCs w:val="16"/>
        </w:rPr>
        <w:t>SEKCJA 4</w:t>
      </w:r>
      <w:r w:rsidRPr="000A6485">
        <w:rPr>
          <w:rFonts w:ascii="Verdana" w:hAnsi="Verdana"/>
          <w:sz w:val="16"/>
          <w:szCs w:val="16"/>
        </w:rPr>
        <w:t xml:space="preserve"> – zagregowane główne kategorie </w:t>
      </w:r>
      <w:r w:rsidRPr="000A6485">
        <w:rPr>
          <w:rFonts w:ascii="Verdana" w:hAnsi="Verdana"/>
          <w:b/>
          <w:sz w:val="16"/>
          <w:szCs w:val="16"/>
        </w:rPr>
        <w:t xml:space="preserve">przychodów </w:t>
      </w:r>
      <w:r w:rsidRPr="000A6485">
        <w:rPr>
          <w:rFonts w:ascii="Verdana" w:hAnsi="Verdana"/>
          <w:sz w:val="16"/>
          <w:szCs w:val="16"/>
        </w:rPr>
        <w:t>z wyszczególnieniem sposobu pokrycia deficytu</w:t>
      </w:r>
    </w:p>
    <w:p w:rsidR="00CA374E" w:rsidRDefault="00CA374E" w:rsidP="00CA374E">
      <w:pPr>
        <w:spacing w:before="60" w:after="60"/>
        <w:jc w:val="both"/>
        <w:rPr>
          <w:rFonts w:ascii="Verdana" w:hAnsi="Verdana"/>
          <w:sz w:val="16"/>
          <w:szCs w:val="16"/>
        </w:rPr>
      </w:pPr>
      <w:r w:rsidRPr="000A6485">
        <w:rPr>
          <w:rFonts w:ascii="Verdana" w:hAnsi="Verdana"/>
          <w:sz w:val="16"/>
          <w:szCs w:val="16"/>
        </w:rPr>
        <w:t>Prognozowane przychody będą stanowiły zaciągane kredyty</w:t>
      </w:r>
      <w:r>
        <w:rPr>
          <w:rFonts w:ascii="Verdana" w:hAnsi="Verdana"/>
          <w:sz w:val="16"/>
          <w:szCs w:val="16"/>
        </w:rPr>
        <w:t xml:space="preserve"> i pożyczki</w:t>
      </w:r>
      <w:r w:rsidRPr="000A6485">
        <w:rPr>
          <w:rFonts w:ascii="Verdana" w:hAnsi="Verdana"/>
          <w:sz w:val="16"/>
          <w:szCs w:val="16"/>
        </w:rPr>
        <w:t xml:space="preserve"> lub emitowane obligacje oraz wolne środki na rachunku bieżącym budżetu </w:t>
      </w:r>
      <w:r w:rsidRPr="000A6485">
        <w:rPr>
          <w:rFonts w:ascii="Verdana" w:hAnsi="Verdana" w:cs="Arial"/>
          <w:iCs/>
          <w:sz w:val="16"/>
          <w:szCs w:val="16"/>
        </w:rPr>
        <w:t xml:space="preserve">wynikające z rozliczeń wyemitowanych papierów wartościowych oraz kredytów </w:t>
      </w:r>
      <w:r>
        <w:rPr>
          <w:rFonts w:ascii="Verdana" w:hAnsi="Verdana" w:cs="Arial"/>
          <w:iCs/>
          <w:sz w:val="16"/>
          <w:szCs w:val="16"/>
        </w:rPr>
        <w:br/>
      </w:r>
      <w:r w:rsidRPr="000A6485">
        <w:rPr>
          <w:rFonts w:ascii="Verdana" w:hAnsi="Verdana" w:cs="Arial"/>
          <w:iCs/>
          <w:sz w:val="16"/>
          <w:szCs w:val="16"/>
        </w:rPr>
        <w:t>i pożyczek z lat ubiegłych</w:t>
      </w:r>
      <w:r>
        <w:rPr>
          <w:rFonts w:ascii="Verdana" w:hAnsi="Verdana" w:cs="Arial"/>
          <w:iCs/>
          <w:sz w:val="16"/>
          <w:szCs w:val="16"/>
        </w:rPr>
        <w:t xml:space="preserve"> i nadwyżka budżetowa z lat ubiegłych stanowiąca </w:t>
      </w:r>
      <w:r w:rsidRPr="000A6485">
        <w:rPr>
          <w:rFonts w:ascii="Verdana" w:hAnsi="Verdana"/>
          <w:sz w:val="16"/>
          <w:szCs w:val="16"/>
        </w:rPr>
        <w:t xml:space="preserve">niewykorzystane środki pieniężne na rachunku bieżącym budżetu, wynikające z rozliczenia dochodów i wydatków nimi finansowanych związanych ze szczególnymi zasadami wykonywania budżetu określonymi w odrębnych ustawach. Przychody zostaną przeznaczone na finansowanie deficytu budżetu oraz rozchodów stanowiących spłatę rat kredytów i pożyczek oraz wykup wyemitowanych obligacji. </w:t>
      </w:r>
    </w:p>
    <w:p w:rsidR="00CA374E" w:rsidRDefault="00CA374E" w:rsidP="00CA374E">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przychodów</w:t>
      </w:r>
      <w:r w:rsidRPr="00D162B5">
        <w:rPr>
          <w:rFonts w:ascii="Verdana" w:hAnsi="Verdana" w:cs="Verdana"/>
          <w:sz w:val="16"/>
          <w:szCs w:val="16"/>
        </w:rPr>
        <w:t xml:space="preserve"> uwzględniono dofinansowanie w formie </w:t>
      </w:r>
      <w:r>
        <w:rPr>
          <w:rFonts w:ascii="Verdana" w:hAnsi="Verdana" w:cs="Verdana"/>
          <w:sz w:val="16"/>
          <w:szCs w:val="16"/>
        </w:rPr>
        <w:t>pożyczek:</w:t>
      </w:r>
    </w:p>
    <w:p w:rsidR="00CA374E" w:rsidRPr="003F6E37" w:rsidRDefault="00CA374E" w:rsidP="00CA374E">
      <w:pPr>
        <w:pStyle w:val="Akapitzlist"/>
        <w:numPr>
          <w:ilvl w:val="0"/>
          <w:numId w:val="60"/>
        </w:numPr>
        <w:autoSpaceDE w:val="0"/>
        <w:autoSpaceDN w:val="0"/>
        <w:adjustRightInd w:val="0"/>
        <w:spacing w:before="60" w:after="60"/>
        <w:ind w:left="567" w:hanging="283"/>
        <w:contextualSpacing w:val="0"/>
        <w:jc w:val="both"/>
        <w:rPr>
          <w:rFonts w:ascii="Verdana" w:hAnsi="Verdana" w:cs="Verdana"/>
          <w:sz w:val="16"/>
          <w:szCs w:val="16"/>
        </w:rPr>
      </w:pPr>
      <w:r w:rsidRPr="003F6E37">
        <w:rPr>
          <w:rFonts w:ascii="Verdana" w:hAnsi="Verdana" w:cs="Verdana"/>
          <w:sz w:val="16"/>
          <w:szCs w:val="16"/>
        </w:rPr>
        <w:t>z Narodowego Funduszu Ochrony Środowiska i Gospodarki Wodnej do zadania</w:t>
      </w:r>
      <w:r>
        <w:rPr>
          <w:rFonts w:ascii="Verdana" w:hAnsi="Verdana" w:cs="Verdana"/>
          <w:sz w:val="16"/>
          <w:szCs w:val="16"/>
        </w:rPr>
        <w:t xml:space="preserve"> </w:t>
      </w:r>
      <w:r w:rsidRPr="003F6E37">
        <w:rPr>
          <w:rFonts w:ascii="Verdana" w:hAnsi="Verdana" w:cs="Verdana"/>
          <w:sz w:val="16"/>
          <w:szCs w:val="16"/>
        </w:rPr>
        <w:t>"Zakup 12 autobusów niskoemisyjnych dla m.st. Warszawy" - pożyczka w kwocie 24.960.000 zł w latach 2024-2025 z planowaną spłatą w latach 2026-2036;</w:t>
      </w:r>
    </w:p>
    <w:p w:rsidR="00CA374E" w:rsidRPr="005B3072" w:rsidRDefault="00CA374E" w:rsidP="00CA374E">
      <w:pPr>
        <w:pStyle w:val="Akapitzlist"/>
        <w:numPr>
          <w:ilvl w:val="0"/>
          <w:numId w:val="60"/>
        </w:numPr>
        <w:spacing w:before="60" w:after="60"/>
        <w:ind w:left="567" w:hanging="283"/>
        <w:jc w:val="both"/>
        <w:rPr>
          <w:rFonts w:ascii="Verdana" w:hAnsi="Verdana"/>
          <w:sz w:val="16"/>
          <w:szCs w:val="16"/>
        </w:rPr>
      </w:pPr>
      <w:r w:rsidRPr="003F6E37">
        <w:rPr>
          <w:rFonts w:ascii="Verdana" w:hAnsi="Verdana" w:cs="Verdana"/>
          <w:sz w:val="16"/>
          <w:szCs w:val="16"/>
        </w:rPr>
        <w:t>z Wojewódzkiego Funduszu Ochrony Środowiska i Gospodarki Wodnej w Warszawie do zadania</w:t>
      </w:r>
      <w:r>
        <w:rPr>
          <w:rFonts w:ascii="Verdana" w:hAnsi="Verdana" w:cs="Verdana"/>
          <w:sz w:val="16"/>
          <w:szCs w:val="16"/>
        </w:rPr>
        <w:t xml:space="preserve"> </w:t>
      </w:r>
      <w:r w:rsidRPr="003F6E37">
        <w:rPr>
          <w:rFonts w:ascii="Verdana" w:hAnsi="Verdana" w:cs="Verdana"/>
          <w:sz w:val="16"/>
          <w:szCs w:val="16"/>
        </w:rPr>
        <w:t>modernizacja Węzła Komunikacyjnego Młociny w ramach Programu pn. "Zadania z zakresu ochrony powietrza" - pożyczka w kwocie 8.205.000 zł w latach 2024-2025 z planowaną spłatą w latach 2025-2039.</w:t>
      </w:r>
    </w:p>
    <w:p w:rsidR="00CA374E" w:rsidRPr="000A6485" w:rsidRDefault="00CA374E" w:rsidP="00CA374E">
      <w:pPr>
        <w:spacing w:before="240" w:after="60"/>
        <w:jc w:val="both"/>
        <w:rPr>
          <w:rFonts w:ascii="Verdana" w:hAnsi="Verdana"/>
          <w:sz w:val="16"/>
          <w:szCs w:val="16"/>
        </w:rPr>
      </w:pPr>
      <w:r w:rsidRPr="000A6485">
        <w:rPr>
          <w:rFonts w:ascii="Verdana" w:hAnsi="Verdana"/>
          <w:b/>
          <w:bCs/>
          <w:sz w:val="16"/>
          <w:szCs w:val="16"/>
        </w:rPr>
        <w:t>SEKCJA 5</w:t>
      </w:r>
      <w:r w:rsidRPr="000A6485">
        <w:rPr>
          <w:rFonts w:ascii="Verdana" w:hAnsi="Verdana"/>
          <w:sz w:val="16"/>
          <w:szCs w:val="16"/>
        </w:rPr>
        <w:t xml:space="preserve"> – zagregowane główne kategorie </w:t>
      </w:r>
      <w:r w:rsidRPr="000A6485">
        <w:rPr>
          <w:rFonts w:ascii="Verdana" w:hAnsi="Verdana"/>
          <w:b/>
          <w:sz w:val="16"/>
          <w:szCs w:val="16"/>
        </w:rPr>
        <w:t xml:space="preserve">rozchodów </w:t>
      </w:r>
      <w:r w:rsidRPr="000A6485">
        <w:rPr>
          <w:rFonts w:ascii="Verdana" w:hAnsi="Verdana"/>
          <w:sz w:val="16"/>
          <w:szCs w:val="16"/>
        </w:rPr>
        <w:t xml:space="preserve">z wyszczególnieniem kwot przypadających </w:t>
      </w:r>
      <w:r w:rsidRPr="000A6485">
        <w:rPr>
          <w:rFonts w:ascii="Verdana" w:hAnsi="Verdana"/>
          <w:sz w:val="16"/>
          <w:szCs w:val="16"/>
        </w:rPr>
        <w:br/>
        <w:t xml:space="preserve">na dany rok wyłączeń </w:t>
      </w:r>
      <w:r>
        <w:rPr>
          <w:rFonts w:ascii="Verdana" w:hAnsi="Verdana"/>
          <w:sz w:val="16"/>
          <w:szCs w:val="16"/>
        </w:rPr>
        <w:t>z limitu</w:t>
      </w:r>
      <w:r w:rsidRPr="000A6485">
        <w:rPr>
          <w:rFonts w:ascii="Verdana" w:hAnsi="Verdana"/>
          <w:sz w:val="16"/>
          <w:szCs w:val="16"/>
        </w:rPr>
        <w:t xml:space="preserve"> spłaty zobowiązań</w:t>
      </w:r>
      <w:r>
        <w:rPr>
          <w:rFonts w:ascii="Verdana" w:hAnsi="Verdana"/>
          <w:sz w:val="16"/>
          <w:szCs w:val="16"/>
        </w:rPr>
        <w:t>, o którym mowa w</w:t>
      </w:r>
      <w:r w:rsidRPr="000A6485">
        <w:rPr>
          <w:rFonts w:ascii="Verdana" w:hAnsi="Verdana"/>
          <w:sz w:val="16"/>
          <w:szCs w:val="16"/>
        </w:rPr>
        <w:t xml:space="preserve"> art. 243 ust. 3, 3a i 3b </w:t>
      </w:r>
      <w:r>
        <w:rPr>
          <w:rFonts w:ascii="Verdana" w:hAnsi="Verdana"/>
          <w:sz w:val="16"/>
          <w:szCs w:val="16"/>
        </w:rPr>
        <w:t>ustawy oraz pozostałych wyłączeń</w:t>
      </w:r>
    </w:p>
    <w:p w:rsidR="00CA374E" w:rsidRDefault="00CA374E" w:rsidP="00CA374E">
      <w:pPr>
        <w:spacing w:before="60" w:after="60"/>
        <w:jc w:val="both"/>
        <w:rPr>
          <w:rFonts w:ascii="Verdana" w:hAnsi="Verdana"/>
          <w:sz w:val="16"/>
          <w:szCs w:val="16"/>
        </w:rPr>
      </w:pPr>
      <w:r w:rsidRPr="000A6485">
        <w:rPr>
          <w:rFonts w:ascii="Verdana" w:hAnsi="Verdana"/>
          <w:sz w:val="16"/>
          <w:szCs w:val="16"/>
        </w:rPr>
        <w:t>Prognozowane rozchody stanowią wyłącznie środki przeznaczone na spłatę zobowiązań dłużnych, w tym spłatę rat kapitałowych zaciągniętych kredytów i pożyczek oraz wykup wyemitowanych obligacji.</w:t>
      </w:r>
    </w:p>
    <w:p w:rsidR="00CA374E" w:rsidRDefault="00CA374E" w:rsidP="00CA374E">
      <w:pPr>
        <w:autoSpaceDE w:val="0"/>
        <w:autoSpaceDN w:val="0"/>
        <w:adjustRightInd w:val="0"/>
        <w:spacing w:before="60" w:after="60"/>
        <w:jc w:val="both"/>
        <w:rPr>
          <w:rFonts w:ascii="Verdana" w:hAnsi="Verdana" w:cs="Verdana"/>
          <w:sz w:val="16"/>
          <w:szCs w:val="16"/>
        </w:rPr>
      </w:pPr>
      <w:r w:rsidRPr="00D162B5">
        <w:rPr>
          <w:rFonts w:ascii="Verdana" w:hAnsi="Verdana" w:cs="Verdana"/>
          <w:sz w:val="16"/>
          <w:szCs w:val="16"/>
        </w:rPr>
        <w:t xml:space="preserve">W ramach </w:t>
      </w:r>
      <w:r>
        <w:rPr>
          <w:rFonts w:ascii="Verdana" w:hAnsi="Verdana" w:cs="Verdana"/>
          <w:sz w:val="16"/>
          <w:szCs w:val="16"/>
        </w:rPr>
        <w:t>rozchodów</w:t>
      </w:r>
      <w:r w:rsidRPr="00D162B5">
        <w:rPr>
          <w:rFonts w:ascii="Verdana" w:hAnsi="Verdana" w:cs="Verdana"/>
          <w:sz w:val="16"/>
          <w:szCs w:val="16"/>
        </w:rPr>
        <w:t xml:space="preserve"> uwzględniono </w:t>
      </w:r>
      <w:r>
        <w:rPr>
          <w:rFonts w:ascii="Verdana" w:hAnsi="Verdana" w:cs="Verdana"/>
          <w:sz w:val="16"/>
          <w:szCs w:val="16"/>
        </w:rPr>
        <w:t xml:space="preserve">spłatę zobowiązań wynikającą z dofinansowania w formie już udzielonych </w:t>
      </w:r>
      <w:r>
        <w:rPr>
          <w:rFonts w:ascii="Verdana" w:hAnsi="Verdana" w:cs="Verdana"/>
          <w:sz w:val="16"/>
          <w:szCs w:val="16"/>
        </w:rPr>
        <w:br/>
        <w:t>i planowanych pożyczek:</w:t>
      </w:r>
    </w:p>
    <w:p w:rsidR="00CA374E" w:rsidRPr="00770C9D" w:rsidRDefault="00CA374E" w:rsidP="00CA374E">
      <w:pPr>
        <w:pStyle w:val="Akapitzlist"/>
        <w:numPr>
          <w:ilvl w:val="0"/>
          <w:numId w:val="59"/>
        </w:numPr>
        <w:autoSpaceDE w:val="0"/>
        <w:autoSpaceDN w:val="0"/>
        <w:adjustRightInd w:val="0"/>
        <w:spacing w:before="60" w:after="60"/>
        <w:ind w:left="426" w:hanging="284"/>
        <w:jc w:val="both"/>
        <w:rPr>
          <w:rFonts w:ascii="Verdana" w:hAnsi="Verdana" w:cs="Verdana"/>
          <w:sz w:val="16"/>
          <w:szCs w:val="16"/>
        </w:rPr>
      </w:pPr>
      <w:r w:rsidRPr="00770C9D">
        <w:rPr>
          <w:rFonts w:ascii="Verdana" w:hAnsi="Verdana" w:cs="Verdana"/>
          <w:sz w:val="16"/>
          <w:szCs w:val="16"/>
        </w:rPr>
        <w:t>z Narodowego Funduszu Ochrony Środowiska i Gospodarki Wodnej do następujących zadań:</w:t>
      </w:r>
    </w:p>
    <w:p w:rsidR="00CA374E" w:rsidRDefault="00CA374E" w:rsidP="00CA374E">
      <w:pPr>
        <w:pStyle w:val="Akapitzlist"/>
        <w:numPr>
          <w:ilvl w:val="0"/>
          <w:numId w:val="54"/>
        </w:numPr>
        <w:autoSpaceDE w:val="0"/>
        <w:autoSpaceDN w:val="0"/>
        <w:adjustRightInd w:val="0"/>
        <w:spacing w:before="60" w:after="60"/>
        <w:ind w:left="851" w:hanging="284"/>
        <w:contextualSpacing w:val="0"/>
        <w:jc w:val="both"/>
        <w:rPr>
          <w:rFonts w:ascii="Verdana" w:hAnsi="Verdana" w:cs="Verdana"/>
          <w:sz w:val="16"/>
          <w:szCs w:val="16"/>
        </w:rPr>
      </w:pPr>
      <w:r>
        <w:rPr>
          <w:rFonts w:ascii="Verdana" w:hAnsi="Verdana" w:cs="Verdana"/>
          <w:sz w:val="16"/>
          <w:szCs w:val="16"/>
        </w:rPr>
        <w:t>modernizacja</w:t>
      </w:r>
      <w:r w:rsidRPr="00752505">
        <w:rPr>
          <w:rFonts w:ascii="Verdana" w:hAnsi="Verdana" w:cs="Verdana"/>
          <w:sz w:val="16"/>
          <w:szCs w:val="16"/>
        </w:rPr>
        <w:t xml:space="preserve"> oświetlenia ulicznego w ramach programu "SOWA - oświetlenie zewnętrzne"</w:t>
      </w:r>
      <w:r w:rsidRPr="00D162B5">
        <w:rPr>
          <w:rFonts w:ascii="Verdana" w:hAnsi="Verdana" w:cs="Verdana"/>
          <w:sz w:val="16"/>
          <w:szCs w:val="16"/>
        </w:rPr>
        <w:t xml:space="preserve"> - pożyczka w kwocie </w:t>
      </w:r>
      <w:r>
        <w:rPr>
          <w:rFonts w:ascii="Verdana" w:hAnsi="Verdana" w:cs="Verdana"/>
          <w:sz w:val="16"/>
          <w:szCs w:val="16"/>
        </w:rPr>
        <w:t>10.310.187,58</w:t>
      </w:r>
      <w:r w:rsidRPr="00D162B5">
        <w:rPr>
          <w:rFonts w:ascii="Verdana" w:hAnsi="Verdana" w:cs="Verdana"/>
          <w:sz w:val="16"/>
          <w:szCs w:val="16"/>
        </w:rPr>
        <w:t xml:space="preserve"> zł w latach 202</w:t>
      </w:r>
      <w:r>
        <w:rPr>
          <w:rFonts w:ascii="Verdana" w:hAnsi="Verdana" w:cs="Verdana"/>
          <w:sz w:val="16"/>
          <w:szCs w:val="16"/>
        </w:rPr>
        <w:t>0</w:t>
      </w:r>
      <w:r w:rsidRPr="00D162B5">
        <w:rPr>
          <w:rFonts w:ascii="Verdana" w:hAnsi="Verdana" w:cs="Verdana"/>
          <w:sz w:val="16"/>
          <w:szCs w:val="16"/>
        </w:rPr>
        <w:t>-202</w:t>
      </w:r>
      <w:r>
        <w:rPr>
          <w:rFonts w:ascii="Verdana" w:hAnsi="Verdana" w:cs="Verdana"/>
          <w:sz w:val="16"/>
          <w:szCs w:val="16"/>
        </w:rPr>
        <w:t>1</w:t>
      </w:r>
      <w:r w:rsidRPr="00D162B5">
        <w:rPr>
          <w:rFonts w:ascii="Verdana" w:hAnsi="Verdana" w:cs="Verdana"/>
          <w:sz w:val="16"/>
          <w:szCs w:val="16"/>
        </w:rPr>
        <w:t xml:space="preserve"> z planowaną spłatą w latach 202</w:t>
      </w:r>
      <w:r>
        <w:rPr>
          <w:rFonts w:ascii="Verdana" w:hAnsi="Verdana" w:cs="Verdana"/>
          <w:sz w:val="16"/>
          <w:szCs w:val="16"/>
        </w:rPr>
        <w:t>2</w:t>
      </w:r>
      <w:r w:rsidRPr="00D162B5">
        <w:rPr>
          <w:rFonts w:ascii="Verdana" w:hAnsi="Verdana" w:cs="Verdana"/>
          <w:sz w:val="16"/>
          <w:szCs w:val="16"/>
        </w:rPr>
        <w:t>-20</w:t>
      </w:r>
      <w:r>
        <w:rPr>
          <w:rFonts w:ascii="Verdana" w:hAnsi="Verdana" w:cs="Verdana"/>
          <w:sz w:val="16"/>
          <w:szCs w:val="16"/>
        </w:rPr>
        <w:t>27</w:t>
      </w:r>
      <w:r w:rsidRPr="00D162B5">
        <w:rPr>
          <w:rFonts w:ascii="Verdana" w:hAnsi="Verdana" w:cs="Verdana"/>
          <w:sz w:val="16"/>
          <w:szCs w:val="16"/>
        </w:rPr>
        <w:t>,</w:t>
      </w:r>
    </w:p>
    <w:p w:rsidR="00CA374E" w:rsidRDefault="00CA374E" w:rsidP="00CA374E">
      <w:pPr>
        <w:pStyle w:val="Akapitzlist"/>
        <w:numPr>
          <w:ilvl w:val="0"/>
          <w:numId w:val="54"/>
        </w:numPr>
        <w:autoSpaceDE w:val="0"/>
        <w:autoSpaceDN w:val="0"/>
        <w:adjustRightInd w:val="0"/>
        <w:spacing w:before="60" w:after="60"/>
        <w:ind w:left="851" w:hanging="284"/>
        <w:contextualSpacing w:val="0"/>
        <w:jc w:val="both"/>
        <w:rPr>
          <w:rFonts w:ascii="Verdana" w:hAnsi="Verdana" w:cs="Verdana"/>
          <w:sz w:val="16"/>
          <w:szCs w:val="16"/>
        </w:rPr>
      </w:pPr>
      <w:r w:rsidRPr="003F6E37">
        <w:rPr>
          <w:rFonts w:ascii="Verdana" w:hAnsi="Verdana" w:cs="Verdana"/>
          <w:sz w:val="16"/>
          <w:szCs w:val="16"/>
        </w:rPr>
        <w:t xml:space="preserve">"Zakup 12 autobusów niskoemisyjnych dla m.st. Warszawy" - pożyczka w kwocie 24.960.000 zł </w:t>
      </w:r>
      <w:r>
        <w:rPr>
          <w:rFonts w:ascii="Verdana" w:hAnsi="Verdana" w:cs="Verdana"/>
          <w:sz w:val="16"/>
          <w:szCs w:val="16"/>
        </w:rPr>
        <w:br/>
      </w:r>
      <w:r w:rsidRPr="003F6E37">
        <w:rPr>
          <w:rFonts w:ascii="Verdana" w:hAnsi="Verdana" w:cs="Verdana"/>
          <w:sz w:val="16"/>
          <w:szCs w:val="16"/>
        </w:rPr>
        <w:t>w latach 2024-2025 z planowaną spłatą w latach 2026-2036</w:t>
      </w:r>
      <w:r>
        <w:rPr>
          <w:rFonts w:ascii="Verdana" w:hAnsi="Verdana" w:cs="Verdana"/>
          <w:sz w:val="16"/>
          <w:szCs w:val="16"/>
        </w:rPr>
        <w:t>;</w:t>
      </w:r>
    </w:p>
    <w:p w:rsidR="00CA374E" w:rsidRPr="00703003" w:rsidRDefault="00CA374E" w:rsidP="00CA374E">
      <w:pPr>
        <w:pStyle w:val="Akapitzlist"/>
        <w:numPr>
          <w:ilvl w:val="0"/>
          <w:numId w:val="59"/>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z Mazowieckiego Regionalnego Funduszu Pożyczkowego w Warszawie do zadania „Pożyczka Energetyczna” - pożyczka w kwocie 10.000.000 zł w 2021 r. z planowaną spłatą w latach 2023-2041;</w:t>
      </w:r>
    </w:p>
    <w:p w:rsidR="00CA374E" w:rsidRPr="00703003" w:rsidRDefault="00CA374E" w:rsidP="00CA374E">
      <w:pPr>
        <w:pStyle w:val="Akapitzlist"/>
        <w:numPr>
          <w:ilvl w:val="0"/>
          <w:numId w:val="59"/>
        </w:numPr>
        <w:autoSpaceDE w:val="0"/>
        <w:autoSpaceDN w:val="0"/>
        <w:adjustRightInd w:val="0"/>
        <w:spacing w:before="60" w:after="60"/>
        <w:ind w:left="426" w:hanging="284"/>
        <w:contextualSpacing w:val="0"/>
        <w:jc w:val="both"/>
        <w:rPr>
          <w:rFonts w:ascii="Verdana" w:hAnsi="Verdana" w:cs="Verdana"/>
          <w:sz w:val="16"/>
          <w:szCs w:val="16"/>
        </w:rPr>
      </w:pPr>
      <w:r w:rsidRPr="00703003">
        <w:rPr>
          <w:rFonts w:ascii="Verdana" w:hAnsi="Verdana" w:cs="Verdana"/>
          <w:sz w:val="16"/>
          <w:szCs w:val="16"/>
        </w:rPr>
        <w:t>z Wojewódzkiego Funduszu Ochrony Środowiska i Gospodarki Wodnej w Warszawie do zadania modernizacja Węzła Komunikacyjnego Młociny w ramach Programu pn. "Zadania z zakresu ochrony powietrza" - pożyczka w kwocie 8.205.000 zł w latach 2024-2025 z planowaną spłatą w latach 2025-2039.</w:t>
      </w:r>
    </w:p>
    <w:p w:rsidR="00CA374E" w:rsidRPr="000A6485" w:rsidRDefault="00CA374E" w:rsidP="00CA374E">
      <w:pPr>
        <w:spacing w:before="240" w:after="60"/>
        <w:jc w:val="both"/>
        <w:rPr>
          <w:rFonts w:ascii="Verdana" w:hAnsi="Verdana"/>
          <w:bCs/>
          <w:sz w:val="16"/>
          <w:szCs w:val="16"/>
        </w:rPr>
      </w:pPr>
      <w:r w:rsidRPr="000A6485">
        <w:rPr>
          <w:rFonts w:ascii="Verdana" w:hAnsi="Verdana"/>
          <w:b/>
          <w:bCs/>
          <w:sz w:val="16"/>
          <w:szCs w:val="16"/>
        </w:rPr>
        <w:t>SEKCJA 6</w:t>
      </w:r>
      <w:r w:rsidRPr="000A6485">
        <w:rPr>
          <w:rFonts w:ascii="Verdana" w:hAnsi="Verdana"/>
          <w:sz w:val="16"/>
          <w:szCs w:val="16"/>
        </w:rPr>
        <w:t xml:space="preserve"> – prognoza </w:t>
      </w:r>
      <w:r w:rsidRPr="000A6485">
        <w:rPr>
          <w:rFonts w:ascii="Verdana" w:hAnsi="Verdana"/>
          <w:b/>
          <w:sz w:val="16"/>
          <w:szCs w:val="16"/>
        </w:rPr>
        <w:t>kwoty długu</w:t>
      </w:r>
      <w:r w:rsidRPr="000A6485">
        <w:rPr>
          <w:rFonts w:ascii="Verdana" w:hAnsi="Verdana"/>
          <w:sz w:val="16"/>
          <w:szCs w:val="16"/>
        </w:rPr>
        <w:t xml:space="preserve"> wg stanu na 31 XII, z wyszczególnieniem kwoty długu, którego planowana spłata dokona się z wydatków</w:t>
      </w:r>
    </w:p>
    <w:p w:rsidR="00CA374E" w:rsidRPr="000A6485" w:rsidRDefault="00CA374E" w:rsidP="00CA374E">
      <w:pPr>
        <w:spacing w:before="240" w:after="60"/>
        <w:jc w:val="both"/>
        <w:rPr>
          <w:rFonts w:ascii="Verdana" w:hAnsi="Verdana"/>
          <w:b/>
          <w:bCs/>
          <w:sz w:val="16"/>
          <w:szCs w:val="16"/>
        </w:rPr>
      </w:pPr>
      <w:r w:rsidRPr="000A6485">
        <w:rPr>
          <w:rFonts w:ascii="Verdana" w:hAnsi="Verdana"/>
          <w:b/>
          <w:bCs/>
          <w:sz w:val="16"/>
          <w:szCs w:val="16"/>
        </w:rPr>
        <w:t>SEKCJA 7</w:t>
      </w:r>
      <w:r w:rsidRPr="000A6485">
        <w:rPr>
          <w:rFonts w:ascii="Verdana" w:hAnsi="Verdana"/>
          <w:sz w:val="16"/>
          <w:szCs w:val="16"/>
        </w:rPr>
        <w:t xml:space="preserve"> – reguła wydatkowa w zakresie </w:t>
      </w:r>
      <w:r w:rsidRPr="000A6485">
        <w:rPr>
          <w:rFonts w:ascii="Verdana" w:hAnsi="Verdana"/>
          <w:b/>
          <w:sz w:val="16"/>
          <w:szCs w:val="16"/>
        </w:rPr>
        <w:t>wydatków bieżących</w:t>
      </w:r>
      <w:r w:rsidRPr="000A6485">
        <w:rPr>
          <w:rFonts w:ascii="Verdana" w:hAnsi="Verdana"/>
          <w:sz w:val="16"/>
          <w:szCs w:val="16"/>
        </w:rPr>
        <w:t xml:space="preserve">, o której mowa w art. 242 ustawy </w:t>
      </w:r>
      <w:r w:rsidRPr="000A6485">
        <w:rPr>
          <w:rFonts w:ascii="Verdana" w:hAnsi="Verdana"/>
          <w:sz w:val="16"/>
          <w:szCs w:val="16"/>
        </w:rPr>
        <w:br/>
        <w:t>o finansach publicznych</w:t>
      </w:r>
    </w:p>
    <w:p w:rsidR="00CA374E" w:rsidRDefault="00CA374E" w:rsidP="00CA374E">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8F3935">
        <w:rPr>
          <w:rFonts w:ascii="Verdana" w:eastAsiaTheme="minorEastAsia" w:hAnsi="Verdana" w:cs="Verdana"/>
          <w:color w:val="000000"/>
          <w:sz w:val="16"/>
          <w:szCs w:val="16"/>
        </w:rPr>
        <w:t>2024</w:t>
      </w:r>
      <w:r>
        <w:rPr>
          <w:rFonts w:ascii="Verdana" w:hAnsi="Verdana"/>
          <w:bCs/>
          <w:sz w:val="16"/>
          <w:szCs w:val="16"/>
        </w:rPr>
        <w:t>-2050</w:t>
      </w:r>
      <w:r w:rsidRPr="000A6485">
        <w:rPr>
          <w:rFonts w:ascii="Verdana" w:hAnsi="Verdana"/>
          <w:bCs/>
          <w:sz w:val="16"/>
          <w:szCs w:val="16"/>
        </w:rPr>
        <w:t xml:space="preserve"> </w:t>
      </w:r>
      <w:r>
        <w:rPr>
          <w:rFonts w:ascii="Verdana" w:hAnsi="Verdana"/>
          <w:bCs/>
          <w:sz w:val="16"/>
          <w:szCs w:val="16"/>
        </w:rPr>
        <w:t>prognozuje</w:t>
      </w:r>
      <w:r w:rsidRPr="000A6485">
        <w:rPr>
          <w:rFonts w:ascii="Verdana" w:hAnsi="Verdana"/>
          <w:bCs/>
          <w:sz w:val="16"/>
          <w:szCs w:val="16"/>
        </w:rPr>
        <w:t xml:space="preserve"> się, że </w:t>
      </w:r>
      <w:r>
        <w:rPr>
          <w:rFonts w:ascii="Verdana" w:hAnsi="Verdana"/>
          <w:bCs/>
          <w:sz w:val="16"/>
          <w:szCs w:val="16"/>
        </w:rPr>
        <w:t>limit wydatków bieżących</w:t>
      </w:r>
      <w:r w:rsidRPr="000A6485">
        <w:rPr>
          <w:rFonts w:ascii="Verdana" w:hAnsi="Verdana"/>
          <w:bCs/>
          <w:sz w:val="16"/>
          <w:szCs w:val="16"/>
        </w:rPr>
        <w:t xml:space="preserve"> </w:t>
      </w:r>
      <w:r>
        <w:rPr>
          <w:rFonts w:ascii="Verdana" w:hAnsi="Verdana"/>
          <w:bCs/>
          <w:sz w:val="16"/>
          <w:szCs w:val="16"/>
        </w:rPr>
        <w:t>będzie wyższy od planowanych wydatków bieżących (zgodnie z obowiązującymi przepisami badanie spełnienia reguły prowadzone jest łącznie dla lat 2022-2025)</w:t>
      </w:r>
      <w:r w:rsidRPr="000A6485">
        <w:rPr>
          <w:rFonts w:ascii="Verdana" w:hAnsi="Verdana"/>
          <w:bCs/>
          <w:sz w:val="16"/>
          <w:szCs w:val="16"/>
        </w:rPr>
        <w:t>, co oznacza spełnienie przedmiotowej reguły ustawowej.</w:t>
      </w:r>
      <w:r>
        <w:rPr>
          <w:rFonts w:ascii="Verdana" w:hAnsi="Verdana"/>
          <w:bCs/>
          <w:sz w:val="16"/>
          <w:szCs w:val="16"/>
        </w:rPr>
        <w:br w:type="page"/>
      </w:r>
    </w:p>
    <w:p w:rsidR="00CA374E" w:rsidRDefault="00CA374E" w:rsidP="00CA374E">
      <w:pPr>
        <w:spacing w:before="60" w:after="60"/>
        <w:jc w:val="both"/>
        <w:rPr>
          <w:rFonts w:ascii="Verdana" w:hAnsi="Verdana"/>
          <w:bCs/>
          <w:sz w:val="16"/>
          <w:szCs w:val="16"/>
        </w:rPr>
      </w:pPr>
      <w:r>
        <w:rPr>
          <w:rFonts w:ascii="Verdana" w:hAnsi="Verdana"/>
          <w:bCs/>
          <w:sz w:val="16"/>
          <w:szCs w:val="16"/>
        </w:rPr>
        <w:lastRenderedPageBreak/>
        <w:t>Tabela nr 4</w:t>
      </w:r>
      <w:r w:rsidRPr="000A6485">
        <w:rPr>
          <w:rFonts w:ascii="Verdana" w:hAnsi="Verdana"/>
          <w:bCs/>
          <w:sz w:val="16"/>
          <w:szCs w:val="16"/>
        </w:rPr>
        <w:t xml:space="preserve"> prezentuje kształtowanie się ustawowej reguły wydatkowej w zakresie wydatków bieżących </w:t>
      </w:r>
      <w:r w:rsidRPr="000A6485">
        <w:rPr>
          <w:rFonts w:ascii="Verdana" w:hAnsi="Verdana"/>
          <w:bCs/>
          <w:sz w:val="16"/>
          <w:szCs w:val="16"/>
        </w:rPr>
        <w:br/>
        <w:t xml:space="preserve">w perspektywie objętej </w:t>
      </w:r>
      <w:r>
        <w:rPr>
          <w:rFonts w:ascii="Verdana" w:hAnsi="Verdana"/>
          <w:bCs/>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bCs/>
          <w:sz w:val="16"/>
          <w:szCs w:val="16"/>
        </w:rPr>
        <w:t>-2050.</w:t>
      </w:r>
    </w:p>
    <w:p w:rsidR="00CA374E" w:rsidRPr="000A6485" w:rsidRDefault="00CA374E" w:rsidP="00CA374E">
      <w:pPr>
        <w:pStyle w:val="Legenda"/>
        <w:keepNext/>
        <w:spacing w:before="120" w:after="120"/>
        <w:ind w:left="567" w:hanging="567"/>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Pr>
          <w:rFonts w:ascii="Verdana" w:hAnsi="Verdana" w:cs="Arial"/>
          <w:noProof/>
          <w:sz w:val="14"/>
          <w:szCs w:val="14"/>
        </w:rPr>
        <w:t>4</w:t>
      </w:r>
      <w:r w:rsidRPr="000A6485">
        <w:rPr>
          <w:rFonts w:ascii="Verdana" w:hAnsi="Verdana" w:cs="Arial"/>
          <w:sz w:val="14"/>
          <w:szCs w:val="14"/>
        </w:rPr>
        <w:fldChar w:fldCharType="end"/>
      </w:r>
      <w:r w:rsidRPr="000A6485">
        <w:rPr>
          <w:rFonts w:ascii="Verdana" w:hAnsi="Verdana" w:cs="Arial"/>
          <w:sz w:val="14"/>
          <w:szCs w:val="14"/>
        </w:rPr>
        <w:t xml:space="preserve">. PROGNOZA REGUŁY DOPUSZCZALNEGO POZIOMU WYDATKÓW BIEŻĄCYCH W M.ST. WARSZAWA   </w:t>
      </w:r>
      <w:r w:rsidRPr="000A6485">
        <w:rPr>
          <w:rFonts w:ascii="Verdana" w:hAnsi="Verdana" w:cs="Arial"/>
          <w:sz w:val="14"/>
          <w:szCs w:val="14"/>
        </w:rPr>
        <w:br/>
        <w:t xml:space="preserve"> NA LATA </w:t>
      </w:r>
      <w:r w:rsidRPr="008F3935">
        <w:rPr>
          <w:rFonts w:ascii="Verdana" w:hAnsi="Verdana" w:cs="Arial"/>
          <w:sz w:val="14"/>
          <w:szCs w:val="14"/>
        </w:rPr>
        <w:t>2024</w:t>
      </w:r>
      <w:r w:rsidRPr="000A6485">
        <w:rPr>
          <w:rFonts w:ascii="Verdana" w:hAnsi="Verdana" w:cs="Arial"/>
          <w:sz w:val="14"/>
          <w:szCs w:val="14"/>
        </w:rPr>
        <w:t xml:space="preserve">-2050 </w:t>
      </w:r>
      <w:r>
        <w:rPr>
          <w:rFonts w:ascii="Verdana" w:hAnsi="Verdana" w:cs="Arial"/>
          <w:b w:val="0"/>
          <w:bCs w:val="0"/>
          <w:sz w:val="14"/>
          <w:szCs w:val="14"/>
        </w:rPr>
        <w:t xml:space="preserve">[w </w:t>
      </w:r>
      <w:r w:rsidRPr="000A6485">
        <w:rPr>
          <w:rFonts w:ascii="Verdana" w:hAnsi="Verdana" w:cs="Arial"/>
          <w:b w:val="0"/>
          <w:bCs w:val="0"/>
          <w:sz w:val="14"/>
          <w:szCs w:val="14"/>
        </w:rPr>
        <w:t>mln zł]</w:t>
      </w:r>
    </w:p>
    <w:p w:rsidR="00CA374E" w:rsidRPr="000A6485" w:rsidRDefault="00E91E8C" w:rsidP="00CA374E">
      <w:pPr>
        <w:spacing w:before="120" w:after="120"/>
        <w:rPr>
          <w:noProof/>
        </w:rPr>
      </w:pPr>
      <w:r>
        <w:rPr>
          <w:noProof/>
        </w:rPr>
        <w:pict>
          <v:shape id="_x0000_i1065" type="#_x0000_t75" style="width:451.5pt;height:163.5pt">
            <v:imagedata r:id="rId58" o:title=""/>
          </v:shape>
        </w:pict>
      </w:r>
    </w:p>
    <w:p w:rsidR="00CA374E" w:rsidRDefault="00CA374E" w:rsidP="00CA374E">
      <w:pPr>
        <w:spacing w:before="120" w:after="120"/>
        <w:jc w:val="both"/>
        <w:rPr>
          <w:rFonts w:ascii="Verdana" w:hAnsi="Verdana"/>
          <w:b/>
          <w:bCs/>
          <w:sz w:val="16"/>
          <w:szCs w:val="16"/>
        </w:rPr>
      </w:pPr>
      <w:r w:rsidRPr="004F7532">
        <w:rPr>
          <w:rFonts w:ascii="Verdana" w:hAnsi="Verdana"/>
          <w:sz w:val="16"/>
          <w:szCs w:val="16"/>
        </w:rPr>
        <w:t>Zgodnie z art. 9 ust. 2 ustawy z 14</w:t>
      </w:r>
      <w:r>
        <w:rPr>
          <w:rFonts w:ascii="Verdana" w:hAnsi="Verdana"/>
          <w:sz w:val="16"/>
          <w:szCs w:val="16"/>
        </w:rPr>
        <w:t xml:space="preserve"> października </w:t>
      </w:r>
      <w:r w:rsidRPr="004F7532">
        <w:rPr>
          <w:rFonts w:ascii="Verdana" w:hAnsi="Verdana"/>
          <w:sz w:val="16"/>
          <w:szCs w:val="16"/>
        </w:rPr>
        <w:t xml:space="preserve">2021 r. </w:t>
      </w:r>
      <w:r w:rsidRPr="004F7532">
        <w:rPr>
          <w:rFonts w:ascii="Verdana" w:hAnsi="Verdana"/>
          <w:i/>
          <w:sz w:val="16"/>
          <w:szCs w:val="16"/>
        </w:rPr>
        <w:t>o zmianie ustawy o dochodach jednostek samorządu terytorialnego oraz niektórych innych ustaw</w:t>
      </w:r>
      <w:r w:rsidRPr="004F7532">
        <w:rPr>
          <w:rFonts w:ascii="Verdana" w:hAnsi="Verdana"/>
          <w:sz w:val="16"/>
          <w:szCs w:val="16"/>
        </w:rPr>
        <w:t xml:space="preserve"> (Dz.U. poz. 1927 i 2427) "W latach 2022–2025 jednostka samorządu terytorialnego może w danym roku budżetowym przekroczyć relację, o której mowa w art. 242 ust. 1 i 2 ustawy z dnia 27 sierpnia 2009 r. o finansach publicznych, pod warunkiem że w latach 2022–2025 suma przekroczeń tej relacji w poszczególnych latach nie będzie wyższa od sumy nadwyżek wynikających z tej relacji w poszczególnych latach.”</w:t>
      </w:r>
      <w:r>
        <w:rPr>
          <w:rFonts w:ascii="Verdana" w:hAnsi="Verdana"/>
          <w:sz w:val="16"/>
          <w:szCs w:val="16"/>
        </w:rPr>
        <w:t xml:space="preserve"> </w:t>
      </w:r>
      <w:r w:rsidRPr="000A6485">
        <w:rPr>
          <w:rFonts w:ascii="Verdana" w:hAnsi="Verdana"/>
          <w:sz w:val="16"/>
          <w:szCs w:val="16"/>
        </w:rPr>
        <w:t xml:space="preserve">Kwoty różnic stanowią </w:t>
      </w:r>
      <w:r>
        <w:rPr>
          <w:rFonts w:ascii="Verdana" w:hAnsi="Verdana"/>
          <w:sz w:val="16"/>
          <w:szCs w:val="16"/>
        </w:rPr>
        <w:t>różnice między dochodami bieżącymi</w:t>
      </w:r>
      <w:r w:rsidRPr="000A6485">
        <w:rPr>
          <w:rFonts w:ascii="Verdana" w:hAnsi="Verdana"/>
          <w:sz w:val="16"/>
          <w:szCs w:val="16"/>
        </w:rPr>
        <w:t xml:space="preserve"> </w:t>
      </w:r>
      <w:r>
        <w:rPr>
          <w:rFonts w:ascii="Verdana" w:hAnsi="Verdana"/>
          <w:sz w:val="16"/>
          <w:szCs w:val="16"/>
        </w:rPr>
        <w:t>a</w:t>
      </w:r>
      <w:r w:rsidRPr="000A6485">
        <w:rPr>
          <w:rFonts w:ascii="Verdana" w:hAnsi="Verdana"/>
          <w:sz w:val="16"/>
          <w:szCs w:val="16"/>
        </w:rPr>
        <w:t xml:space="preserve"> wydatkami bieżącymi</w:t>
      </w:r>
      <w:r>
        <w:rPr>
          <w:rFonts w:ascii="Verdana" w:hAnsi="Verdana"/>
          <w:sz w:val="16"/>
          <w:szCs w:val="16"/>
        </w:rPr>
        <w:t xml:space="preserve"> z wyłączeniami,</w:t>
      </w:r>
      <w:r w:rsidRPr="005824C4">
        <w:rPr>
          <w:rFonts w:ascii="Verdana" w:hAnsi="Verdana"/>
          <w:sz w:val="16"/>
          <w:szCs w:val="16"/>
        </w:rPr>
        <w:t xml:space="preserve"> </w:t>
      </w:r>
      <w:r w:rsidRPr="000A6485">
        <w:rPr>
          <w:rFonts w:ascii="Verdana" w:hAnsi="Verdana"/>
          <w:sz w:val="16"/>
          <w:szCs w:val="16"/>
        </w:rPr>
        <w:t>pow</w:t>
      </w:r>
      <w:r>
        <w:rPr>
          <w:rFonts w:ascii="Verdana" w:hAnsi="Verdana"/>
          <w:sz w:val="16"/>
          <w:szCs w:val="16"/>
        </w:rPr>
        <w:t>iększone</w:t>
      </w:r>
      <w:r w:rsidRPr="000A6485">
        <w:rPr>
          <w:rFonts w:ascii="Verdana" w:hAnsi="Verdana"/>
          <w:sz w:val="16"/>
          <w:szCs w:val="16"/>
        </w:rPr>
        <w:t xml:space="preserve"> </w:t>
      </w:r>
      <w:r>
        <w:rPr>
          <w:rFonts w:ascii="Verdana" w:hAnsi="Verdana"/>
          <w:sz w:val="16"/>
          <w:szCs w:val="16"/>
        </w:rPr>
        <w:t xml:space="preserve">dla lat 2022-2025 łącznie o pochodzące z 2022 r. tzw. </w:t>
      </w:r>
      <w:r w:rsidRPr="000A6485">
        <w:rPr>
          <w:rFonts w:ascii="Verdana" w:hAnsi="Verdana"/>
          <w:sz w:val="16"/>
          <w:szCs w:val="16"/>
        </w:rPr>
        <w:t>wolne środki</w:t>
      </w:r>
      <w:r>
        <w:rPr>
          <w:rFonts w:ascii="Verdana" w:hAnsi="Verdana"/>
          <w:sz w:val="16"/>
          <w:szCs w:val="16"/>
        </w:rPr>
        <w:t xml:space="preserve"> i nadwyżkę budżetową z lat ubiegłych (poz. 4.2 i 4.3</w:t>
      </w:r>
      <w:r w:rsidRPr="000A6485">
        <w:rPr>
          <w:rFonts w:ascii="Verdana" w:hAnsi="Verdana"/>
          <w:sz w:val="16"/>
          <w:szCs w:val="16"/>
        </w:rPr>
        <w:t xml:space="preserve"> wzoru WPF – załącznik nr 1).</w:t>
      </w:r>
    </w:p>
    <w:p w:rsidR="00CA374E" w:rsidRPr="000A6485" w:rsidRDefault="00CA374E" w:rsidP="00CA374E">
      <w:pPr>
        <w:spacing w:before="240" w:after="120"/>
        <w:jc w:val="both"/>
        <w:rPr>
          <w:rFonts w:ascii="Verdana" w:hAnsi="Verdana"/>
          <w:sz w:val="16"/>
          <w:szCs w:val="16"/>
        </w:rPr>
      </w:pPr>
      <w:r w:rsidRPr="000A6485">
        <w:rPr>
          <w:rFonts w:ascii="Verdana" w:hAnsi="Verdana"/>
          <w:b/>
          <w:bCs/>
          <w:sz w:val="16"/>
          <w:szCs w:val="16"/>
        </w:rPr>
        <w:t>SEKCJA 8</w:t>
      </w:r>
      <w:r w:rsidRPr="000A6485">
        <w:rPr>
          <w:rFonts w:ascii="Verdana" w:hAnsi="Verdana"/>
          <w:sz w:val="16"/>
          <w:szCs w:val="16"/>
        </w:rPr>
        <w:t xml:space="preserve"> – ustawowe </w:t>
      </w:r>
      <w:r w:rsidRPr="000A6485">
        <w:rPr>
          <w:rFonts w:ascii="Verdana" w:hAnsi="Verdana"/>
          <w:b/>
          <w:sz w:val="16"/>
          <w:szCs w:val="16"/>
        </w:rPr>
        <w:t>wskaźniki spłaty zobowiązań</w:t>
      </w:r>
    </w:p>
    <w:p w:rsidR="00CA374E" w:rsidRPr="000A6485" w:rsidRDefault="00CA374E" w:rsidP="00CA374E">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 xml:space="preserve">ustawowy wskaźnik spłaty zobowiązań określony w art. 243 ust. 1 ustawy o finansach publicznych (lewa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oraz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p>
    <w:p w:rsidR="00CA374E" w:rsidRPr="000A6485" w:rsidRDefault="00CA374E" w:rsidP="00CA374E">
      <w:pPr>
        <w:pStyle w:val="Akapitzlist"/>
        <w:numPr>
          <w:ilvl w:val="0"/>
          <w:numId w:val="14"/>
        </w:numPr>
        <w:spacing w:before="60" w:after="60"/>
        <w:ind w:left="567" w:hanging="283"/>
        <w:contextualSpacing w:val="0"/>
        <w:jc w:val="both"/>
        <w:rPr>
          <w:rFonts w:ascii="Verdana" w:hAnsi="Verdana"/>
          <w:sz w:val="16"/>
          <w:szCs w:val="16"/>
        </w:rPr>
      </w:pPr>
      <w:r w:rsidRPr="000A6485">
        <w:rPr>
          <w:rFonts w:ascii="Verdana" w:hAnsi="Verdana"/>
          <w:sz w:val="16"/>
          <w:szCs w:val="16"/>
        </w:rPr>
        <w:t>ustawowy dopuszczalny limit spłaty zobowiązań określony w art. 243 ust 1 ustawy o finansach publicznych (prawa strona wzoru – pkt 4.1.2), obliczony w oparciu o plan 3 kwartału roku poprzedzającego pierwszy rok prognozy oraz obliczony w oparciu o wykonanie roku poprzedzającego pierwszy rok prognozy</w:t>
      </w:r>
      <w:r>
        <w:rPr>
          <w:rFonts w:ascii="Verdana" w:hAnsi="Verdana"/>
          <w:sz w:val="16"/>
          <w:szCs w:val="16"/>
        </w:rPr>
        <w:t xml:space="preserve"> </w:t>
      </w:r>
      <w:r>
        <w:rPr>
          <w:rFonts w:ascii="Verdana" w:hAnsi="Verdana"/>
          <w:sz w:val="16"/>
          <w:szCs w:val="16"/>
        </w:rPr>
        <w:br/>
        <w:t xml:space="preserve">z uwzględnieniem wyłączeń, o których mowa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t>
      </w:r>
      <w:r>
        <w:rPr>
          <w:rFonts w:ascii="Verdana" w:hAnsi="Verdana"/>
          <w:sz w:val="16"/>
          <w:szCs w:val="16"/>
        </w:rPr>
        <w:lastRenderedPageBreak/>
        <w:t xml:space="preserve">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13"/>
      </w:r>
      <w:r w:rsidRPr="00E7313D">
        <w:rPr>
          <w:rFonts w:ascii="Verdana" w:hAnsi="Verdana" w:cs="Arial"/>
          <w:sz w:val="16"/>
          <w:szCs w:val="16"/>
        </w:rPr>
        <w:t>)</w:t>
      </w:r>
    </w:p>
    <w:p w:rsidR="00CA374E" w:rsidRDefault="00CA374E" w:rsidP="00CA374E">
      <w:pPr>
        <w:pStyle w:val="Akapitzlist"/>
        <w:numPr>
          <w:ilvl w:val="0"/>
          <w:numId w:val="14"/>
        </w:numPr>
        <w:spacing w:before="60" w:after="60"/>
        <w:ind w:left="567" w:hanging="283"/>
        <w:contextualSpacing w:val="0"/>
        <w:jc w:val="both"/>
        <w:rPr>
          <w:rFonts w:ascii="Verdana" w:hAnsi="Verdana"/>
          <w:sz w:val="16"/>
          <w:szCs w:val="16"/>
        </w:rPr>
      </w:pPr>
      <w:r>
        <w:rPr>
          <w:rFonts w:ascii="Verdana" w:hAnsi="Verdana"/>
          <w:sz w:val="16"/>
          <w:szCs w:val="16"/>
        </w:rPr>
        <w:t>informacja</w:t>
      </w:r>
      <w:r w:rsidRPr="000A6485">
        <w:rPr>
          <w:rFonts w:ascii="Verdana" w:hAnsi="Verdana"/>
          <w:sz w:val="16"/>
          <w:szCs w:val="16"/>
        </w:rPr>
        <w:t xml:space="preserve"> o spełnieniu wskaźnika spłaty zobowiązań określonego w art. 243 ust. 1 ustawy o finansach publicznych (lewa strona wzoru nie wyższa niż prawa strona wzoru – pkt 4.1.2), po uwzględnieniu zobowiązań związku współtworzonego przez jednostkę samorządu terytorialnego oraz po uwzględnieniu wyłączeń, o których mowa w art. 243 ust. 3, 3a i 3b ustawy o finansach publicznych i w art. 121a ustawy z 27 sierpnia 2009 r. - Przepisy wprowadzające ustawę o finansach publicznych </w:t>
      </w:r>
      <w:r>
        <w:rPr>
          <w:rFonts w:ascii="Verdana" w:hAnsi="Verdana"/>
          <w:sz w:val="16"/>
          <w:szCs w:val="16"/>
        </w:rPr>
        <w:t xml:space="preserve">i po uwzględnieniu wyłączeń wskazanych w art. 15zob w art. 15zob ustawy </w:t>
      </w:r>
      <w:r w:rsidRPr="003527FB">
        <w:rPr>
          <w:rFonts w:ascii="Verdana" w:hAnsi="Verdana"/>
          <w:sz w:val="16"/>
          <w:szCs w:val="16"/>
        </w:rPr>
        <w:t xml:space="preserve">z dnia 2 marca 2020 r. </w:t>
      </w:r>
      <w:r w:rsidRPr="003527FB">
        <w:rPr>
          <w:rFonts w:ascii="Verdana" w:hAnsi="Verdana"/>
          <w:i/>
          <w:sz w:val="16"/>
          <w:szCs w:val="16"/>
        </w:rPr>
        <w:t xml:space="preserve">o szczególnych rozwiązaniach związanych z zapobieganiem, przeciwdziałaniem i zwalczaniem COVID-19, innych chorób zakaźnych oraz wywołanych nimi sytuacji kryzysowych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w:t>
      </w:r>
      <w:r>
        <w:rPr>
          <w:rFonts w:ascii="Verdana" w:hAnsi="Verdana"/>
          <w:sz w:val="16"/>
          <w:szCs w:val="16"/>
        </w:rPr>
        <w:t>1</w:t>
      </w:r>
      <w:r w:rsidRPr="003527FB">
        <w:rPr>
          <w:rFonts w:ascii="Verdana" w:hAnsi="Verdana"/>
          <w:sz w:val="16"/>
          <w:szCs w:val="16"/>
        </w:rPr>
        <w:t xml:space="preserve"> r. poz. </w:t>
      </w:r>
      <w:r>
        <w:rPr>
          <w:rFonts w:ascii="Verdana" w:hAnsi="Verdana"/>
          <w:sz w:val="16"/>
          <w:szCs w:val="16"/>
        </w:rPr>
        <w:t>2095, 2120, 2133, 2262, 2269 i 2317</w:t>
      </w:r>
      <w:r w:rsidRPr="003527FB">
        <w:rPr>
          <w:rFonts w:ascii="Verdana" w:hAnsi="Verdana"/>
          <w:sz w:val="16"/>
          <w:szCs w:val="16"/>
        </w:rPr>
        <w:t>)</w:t>
      </w:r>
      <w:r>
        <w:rPr>
          <w:rFonts w:ascii="Verdana" w:hAnsi="Verdana"/>
          <w:sz w:val="16"/>
          <w:szCs w:val="16"/>
        </w:rPr>
        <w:t xml:space="preserve"> i w </w:t>
      </w:r>
      <w:r w:rsidRPr="003527FB">
        <w:rPr>
          <w:rFonts w:ascii="Verdana" w:hAnsi="Verdana" w:cs="Arial"/>
          <w:sz w:val="16"/>
          <w:szCs w:val="16"/>
        </w:rPr>
        <w:t xml:space="preserve">art. 79 </w:t>
      </w:r>
      <w:r w:rsidRPr="003527FB">
        <w:rPr>
          <w:rFonts w:ascii="Verdana" w:hAnsi="Verdana"/>
          <w:sz w:val="16"/>
          <w:szCs w:val="16"/>
        </w:rPr>
        <w:t xml:space="preserve">ustawy z dnia 19 listopada 2020 r. </w:t>
      </w:r>
      <w:r w:rsidRPr="003527FB">
        <w:rPr>
          <w:rFonts w:ascii="Verdana" w:hAnsi="Verdana"/>
          <w:i/>
          <w:sz w:val="16"/>
          <w:szCs w:val="16"/>
        </w:rPr>
        <w:t xml:space="preserve">o szczególnych rozwiązaniach służących realizacji ustawy budżetowej na rok 2021 </w:t>
      </w:r>
      <w:r w:rsidRPr="003527FB">
        <w:rPr>
          <w:rFonts w:ascii="Verdana" w:hAnsi="Verdana"/>
          <w:sz w:val="16"/>
          <w:szCs w:val="16"/>
        </w:rPr>
        <w:t>(Dz.</w:t>
      </w:r>
      <w:r>
        <w:rPr>
          <w:rFonts w:ascii="Verdana" w:hAnsi="Verdana"/>
          <w:sz w:val="16"/>
          <w:szCs w:val="16"/>
        </w:rPr>
        <w:t xml:space="preserve"> </w:t>
      </w:r>
      <w:r w:rsidRPr="003527FB">
        <w:rPr>
          <w:rFonts w:ascii="Verdana" w:hAnsi="Verdana"/>
          <w:sz w:val="16"/>
          <w:szCs w:val="16"/>
        </w:rPr>
        <w:t>U. z 2020 r. poz. 2400 i z 2021 r. poz. 1104</w:t>
      </w:r>
      <w:r>
        <w:rPr>
          <w:rFonts w:ascii="Verdana" w:hAnsi="Verdana"/>
          <w:sz w:val="16"/>
          <w:szCs w:val="16"/>
        </w:rPr>
        <w:t xml:space="preserve"> i 1901</w:t>
      </w:r>
      <w:r w:rsidRPr="003527FB">
        <w:rPr>
          <w:rFonts w:ascii="Verdana" w:hAnsi="Verdana"/>
          <w:sz w:val="16"/>
          <w:szCs w:val="16"/>
        </w:rPr>
        <w:t>)</w:t>
      </w:r>
      <w:r>
        <w:rPr>
          <w:rFonts w:ascii="Verdana" w:hAnsi="Verdana"/>
          <w:sz w:val="16"/>
          <w:szCs w:val="16"/>
        </w:rPr>
        <w:t xml:space="preserve"> oraz w </w:t>
      </w:r>
      <w:r>
        <w:rPr>
          <w:rFonts w:ascii="Verdana" w:hAnsi="Verdana" w:cs="Arial"/>
          <w:sz w:val="16"/>
          <w:szCs w:val="16"/>
        </w:rPr>
        <w:t>art. 110 ust. 3 ustawy</w:t>
      </w:r>
      <w:r w:rsidRPr="00006222">
        <w:rPr>
          <w:rFonts w:ascii="Verdana" w:hAnsi="Verdana" w:cs="Arial"/>
          <w:sz w:val="16"/>
          <w:szCs w:val="16"/>
        </w:rPr>
        <w:t xml:space="preserve"> z </w:t>
      </w:r>
      <w:r>
        <w:rPr>
          <w:rFonts w:ascii="Verdana" w:hAnsi="Verdana" w:cs="Arial"/>
          <w:sz w:val="16"/>
          <w:szCs w:val="16"/>
        </w:rPr>
        <w:t>12 marca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pomocy obywatelom Ukrainy w związku z konfliktem zbrojnym na terytorium tego państwa</w:t>
      </w:r>
      <w:r w:rsidRPr="00E7313D">
        <w:rPr>
          <w:rFonts w:ascii="Verdana" w:hAnsi="Verdana" w:cs="Arial"/>
          <w:sz w:val="16"/>
          <w:szCs w:val="16"/>
        </w:rPr>
        <w:t xml:space="preserve"> </w:t>
      </w:r>
      <w:r>
        <w:rPr>
          <w:rFonts w:ascii="Verdana" w:hAnsi="Verdana" w:cs="Arial"/>
          <w:sz w:val="16"/>
          <w:szCs w:val="16"/>
        </w:rPr>
        <w:t>(Dz. U. poz. 583</w:t>
      </w:r>
      <w:r w:rsidRPr="00011AAA">
        <w:rPr>
          <w:rStyle w:val="Odwoanieprzypisudolnego"/>
          <w:rFonts w:ascii="Verdana" w:hAnsi="Verdana"/>
          <w:bCs/>
          <w:iCs/>
          <w:color w:val="000000"/>
          <w:sz w:val="16"/>
          <w:szCs w:val="16"/>
        </w:rPr>
        <w:footnoteReference w:id="14"/>
      </w:r>
      <w:r w:rsidRPr="00E7313D">
        <w:rPr>
          <w:rFonts w:ascii="Verdana" w:hAnsi="Verdana" w:cs="Arial"/>
          <w:sz w:val="16"/>
          <w:szCs w:val="16"/>
        </w:rPr>
        <w:t>)</w:t>
      </w:r>
      <w:r>
        <w:rPr>
          <w:rFonts w:ascii="Verdana" w:hAnsi="Verdana" w:cs="Arial"/>
          <w:sz w:val="16"/>
          <w:szCs w:val="16"/>
        </w:rPr>
        <w:t xml:space="preserve"> i w art. 35 ust. 1-2 ustawy</w:t>
      </w:r>
      <w:r w:rsidRPr="00006222">
        <w:rPr>
          <w:rFonts w:ascii="Verdana" w:hAnsi="Verdana" w:cs="Arial"/>
          <w:sz w:val="16"/>
          <w:szCs w:val="16"/>
        </w:rPr>
        <w:t xml:space="preserve"> z </w:t>
      </w:r>
      <w:r>
        <w:rPr>
          <w:rFonts w:ascii="Verdana" w:hAnsi="Verdana" w:cs="Arial"/>
          <w:sz w:val="16"/>
          <w:szCs w:val="16"/>
        </w:rPr>
        <w:t>9 czerwca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podatku dochodowym od osób fizycznych oraz niektórych innych ustaw</w:t>
      </w:r>
      <w:r w:rsidRPr="00E7313D">
        <w:rPr>
          <w:rFonts w:ascii="Verdana" w:hAnsi="Verdana" w:cs="Arial"/>
          <w:sz w:val="16"/>
          <w:szCs w:val="16"/>
        </w:rPr>
        <w:t xml:space="preserve"> </w:t>
      </w:r>
      <w:r>
        <w:rPr>
          <w:rFonts w:ascii="Verdana" w:hAnsi="Verdana" w:cs="Arial"/>
          <w:sz w:val="16"/>
          <w:szCs w:val="16"/>
        </w:rPr>
        <w:t>(Dz. U. poz. 1265, 1964 i 2180</w:t>
      </w:r>
      <w:r w:rsidRPr="00E7313D">
        <w:rPr>
          <w:rFonts w:ascii="Verdana" w:hAnsi="Verdana" w:cs="Arial"/>
          <w:sz w:val="16"/>
          <w:szCs w:val="16"/>
        </w:rPr>
        <w:t>)</w:t>
      </w:r>
      <w:r w:rsidRPr="000A6485">
        <w:rPr>
          <w:rFonts w:ascii="Verdana" w:hAnsi="Verdana"/>
          <w:sz w:val="16"/>
          <w:szCs w:val="16"/>
        </w:rPr>
        <w:t>, obliczonego w oparciu o plan 3 kwartału roku poprzedzającego pierwszy rok prognozy oraz obliczonego w oparciu o wykonanie roku poprzedzającego pierwszy rok prognozy</w:t>
      </w:r>
      <w:r>
        <w:rPr>
          <w:rFonts w:ascii="Verdana" w:hAnsi="Verdana"/>
          <w:sz w:val="16"/>
          <w:szCs w:val="16"/>
        </w:rPr>
        <w:t>.</w:t>
      </w:r>
    </w:p>
    <w:p w:rsidR="00CA374E" w:rsidRPr="000A6485" w:rsidRDefault="00CA374E" w:rsidP="00CA374E">
      <w:pPr>
        <w:spacing w:before="60" w:after="60"/>
        <w:jc w:val="both"/>
        <w:rPr>
          <w:rFonts w:ascii="Verdana" w:hAnsi="Verdana"/>
          <w:bCs/>
          <w:sz w:val="16"/>
          <w:szCs w:val="16"/>
        </w:rPr>
      </w:pPr>
      <w:r w:rsidRPr="000A6485">
        <w:rPr>
          <w:rFonts w:ascii="Verdana" w:hAnsi="Verdana"/>
          <w:bCs/>
          <w:sz w:val="16"/>
          <w:szCs w:val="16"/>
        </w:rPr>
        <w:t xml:space="preserve">W całym okresie objętym </w:t>
      </w:r>
      <w:r>
        <w:rPr>
          <w:rFonts w:ascii="Verdana" w:hAnsi="Verdana"/>
          <w:bCs/>
          <w:sz w:val="16"/>
          <w:szCs w:val="16"/>
        </w:rPr>
        <w:t xml:space="preserve">WPF </w:t>
      </w:r>
      <w:r w:rsidRPr="008F3935">
        <w:rPr>
          <w:rFonts w:ascii="Verdana" w:eastAsiaTheme="minorEastAsia" w:hAnsi="Verdana" w:cs="Verdana"/>
          <w:color w:val="000000"/>
          <w:sz w:val="16"/>
          <w:szCs w:val="16"/>
        </w:rPr>
        <w:t>2024</w:t>
      </w:r>
      <w:r>
        <w:rPr>
          <w:rFonts w:ascii="Verdana" w:hAnsi="Verdana"/>
          <w:bCs/>
          <w:sz w:val="16"/>
          <w:szCs w:val="16"/>
        </w:rPr>
        <w:t>-2050</w:t>
      </w:r>
      <w:r w:rsidRPr="000A6485">
        <w:rPr>
          <w:rFonts w:ascii="Verdana" w:hAnsi="Verdana"/>
          <w:bCs/>
          <w:sz w:val="16"/>
          <w:szCs w:val="16"/>
        </w:rPr>
        <w:t xml:space="preserve"> planuje się spełnienie przedmiotowej reguły ustawowej określonej </w:t>
      </w:r>
      <w:r>
        <w:rPr>
          <w:rFonts w:ascii="Verdana" w:hAnsi="Verdana"/>
          <w:bCs/>
          <w:sz w:val="16"/>
          <w:szCs w:val="16"/>
        </w:rPr>
        <w:br/>
      </w:r>
      <w:r w:rsidRPr="000A6485">
        <w:rPr>
          <w:rFonts w:ascii="Verdana" w:hAnsi="Verdana"/>
          <w:bCs/>
          <w:sz w:val="16"/>
          <w:szCs w:val="16"/>
        </w:rPr>
        <w:t xml:space="preserve">w art. 243 ust. 1 </w:t>
      </w:r>
      <w:r w:rsidRPr="000A6485">
        <w:rPr>
          <w:rFonts w:ascii="Verdana" w:hAnsi="Verdana"/>
          <w:sz w:val="16"/>
          <w:szCs w:val="16"/>
        </w:rPr>
        <w:t>ustawy o finansach publicznych</w:t>
      </w:r>
      <w:r w:rsidRPr="000A6485">
        <w:rPr>
          <w:rFonts w:ascii="Verdana" w:hAnsi="Verdana"/>
          <w:bCs/>
          <w:sz w:val="16"/>
          <w:szCs w:val="16"/>
        </w:rPr>
        <w:t>.</w:t>
      </w:r>
    </w:p>
    <w:p w:rsidR="00CA374E" w:rsidRDefault="00CA374E" w:rsidP="00CA374E">
      <w:pPr>
        <w:spacing w:before="60" w:after="60"/>
        <w:jc w:val="both"/>
        <w:rPr>
          <w:rFonts w:ascii="Verdana" w:hAnsi="Verdana"/>
          <w:bCs/>
          <w:sz w:val="16"/>
          <w:szCs w:val="16"/>
        </w:rPr>
      </w:pPr>
      <w:r w:rsidRPr="000A6485">
        <w:rPr>
          <w:rFonts w:ascii="Verdana" w:hAnsi="Verdana"/>
          <w:bCs/>
          <w:sz w:val="16"/>
          <w:szCs w:val="16"/>
        </w:rPr>
        <w:t xml:space="preserve">Tabela </w:t>
      </w:r>
      <w:r>
        <w:rPr>
          <w:rFonts w:ascii="Verdana" w:hAnsi="Verdana"/>
          <w:bCs/>
          <w:sz w:val="16"/>
          <w:szCs w:val="16"/>
        </w:rPr>
        <w:t>nr 5</w:t>
      </w:r>
      <w:r w:rsidRPr="000A6485">
        <w:rPr>
          <w:rFonts w:ascii="Verdana" w:hAnsi="Verdana"/>
          <w:bCs/>
          <w:sz w:val="16"/>
          <w:szCs w:val="16"/>
        </w:rPr>
        <w:t xml:space="preserve"> prezentuje kształtowanie się limitu (obliczonego w oparciu o </w:t>
      </w:r>
      <w:r w:rsidRPr="000A6485">
        <w:rPr>
          <w:rFonts w:ascii="Verdana" w:hAnsi="Verdana"/>
          <w:sz w:val="16"/>
          <w:szCs w:val="16"/>
        </w:rPr>
        <w:t>plan 3 kwartałów roku poprzedzającego rok budżetowy)</w:t>
      </w:r>
      <w:r w:rsidRPr="000A6485">
        <w:rPr>
          <w:rFonts w:ascii="Verdana" w:hAnsi="Verdana"/>
          <w:bCs/>
          <w:sz w:val="16"/>
          <w:szCs w:val="16"/>
        </w:rPr>
        <w:t xml:space="preserve"> i wskaźnika spłaty zobowiązań, określonego w art. 243 ust. 1 ustawy o finansach publicznych, </w:t>
      </w:r>
      <w:r w:rsidRPr="000A6485">
        <w:rPr>
          <w:rFonts w:ascii="Verdana" w:hAnsi="Verdana"/>
          <w:bCs/>
          <w:sz w:val="16"/>
          <w:szCs w:val="16"/>
        </w:rPr>
        <w:br/>
        <w:t>w</w:t>
      </w:r>
      <w:r>
        <w:rPr>
          <w:rFonts w:ascii="Verdana" w:hAnsi="Verdana"/>
          <w:bCs/>
          <w:sz w:val="16"/>
          <w:szCs w:val="16"/>
        </w:rPr>
        <w:t xml:space="preserve"> perspektywie objętej WPF </w:t>
      </w:r>
      <w:r w:rsidRPr="008F3935">
        <w:rPr>
          <w:rFonts w:ascii="Verdana" w:eastAsiaTheme="minorEastAsia" w:hAnsi="Verdana" w:cs="Verdana"/>
          <w:color w:val="000000"/>
          <w:sz w:val="16"/>
          <w:szCs w:val="16"/>
        </w:rPr>
        <w:t>2024</w:t>
      </w:r>
      <w:r w:rsidRPr="000A6485">
        <w:rPr>
          <w:rFonts w:ascii="Verdana" w:hAnsi="Verdana"/>
          <w:bCs/>
          <w:sz w:val="16"/>
          <w:szCs w:val="16"/>
        </w:rPr>
        <w:t>-2050.</w:t>
      </w:r>
    </w:p>
    <w:p w:rsidR="00CA374E" w:rsidRDefault="00CA374E" w:rsidP="00CA374E">
      <w:pPr>
        <w:pStyle w:val="Legenda"/>
        <w:keepNext/>
        <w:spacing w:before="120" w:after="120"/>
        <w:rPr>
          <w:rFonts w:ascii="Verdana" w:hAnsi="Verdana" w:cs="Arial"/>
          <w:b w:val="0"/>
          <w:sz w:val="14"/>
          <w:szCs w:val="14"/>
        </w:rPr>
      </w:pPr>
      <w:r w:rsidRPr="000A6485">
        <w:rPr>
          <w:rFonts w:ascii="Verdana" w:hAnsi="Verdana" w:cs="Arial"/>
          <w:sz w:val="14"/>
          <w:szCs w:val="14"/>
        </w:rPr>
        <w:t xml:space="preserve">TAB. </w:t>
      </w:r>
      <w:r w:rsidRPr="000A6485">
        <w:rPr>
          <w:rFonts w:ascii="Verdana" w:hAnsi="Verdana" w:cs="Arial"/>
          <w:sz w:val="14"/>
          <w:szCs w:val="14"/>
        </w:rPr>
        <w:fldChar w:fldCharType="begin"/>
      </w:r>
      <w:r w:rsidRPr="000A6485">
        <w:rPr>
          <w:rFonts w:ascii="Verdana" w:hAnsi="Verdana" w:cs="Arial"/>
          <w:sz w:val="14"/>
          <w:szCs w:val="14"/>
        </w:rPr>
        <w:instrText xml:space="preserve"> SEQ Tab. \* ARABIC </w:instrText>
      </w:r>
      <w:r w:rsidRPr="000A6485">
        <w:rPr>
          <w:rFonts w:ascii="Verdana" w:hAnsi="Verdana" w:cs="Arial"/>
          <w:sz w:val="14"/>
          <w:szCs w:val="14"/>
        </w:rPr>
        <w:fldChar w:fldCharType="separate"/>
      </w:r>
      <w:r>
        <w:rPr>
          <w:rFonts w:ascii="Verdana" w:hAnsi="Verdana" w:cs="Arial"/>
          <w:noProof/>
          <w:sz w:val="14"/>
          <w:szCs w:val="14"/>
        </w:rPr>
        <w:t>5</w:t>
      </w:r>
      <w:r w:rsidRPr="000A6485">
        <w:rPr>
          <w:rFonts w:ascii="Verdana" w:hAnsi="Verdana" w:cs="Arial"/>
          <w:sz w:val="14"/>
          <w:szCs w:val="14"/>
        </w:rPr>
        <w:fldChar w:fldCharType="end"/>
      </w:r>
      <w:r w:rsidRPr="000A6485">
        <w:rPr>
          <w:rFonts w:ascii="Verdana" w:hAnsi="Verdana" w:cs="Arial"/>
          <w:sz w:val="14"/>
          <w:szCs w:val="14"/>
        </w:rPr>
        <w:t xml:space="preserve">. </w:t>
      </w:r>
      <w:r w:rsidRPr="000A6485">
        <w:rPr>
          <w:rFonts w:ascii="Verdana" w:hAnsi="Verdana" w:cs="Arial"/>
          <w:bCs w:val="0"/>
          <w:sz w:val="14"/>
          <w:szCs w:val="14"/>
        </w:rPr>
        <w:t xml:space="preserve">PROGNOZA DOPUSZCZALNEGO USTAWOWO I RZECZYWISTEGO POZIOMU WYDATKÓW I ROZCHODÓW </w:t>
      </w:r>
      <w:r w:rsidRPr="000A6485">
        <w:rPr>
          <w:rFonts w:ascii="Verdana" w:hAnsi="Verdana" w:cs="Arial"/>
          <w:bCs w:val="0"/>
          <w:sz w:val="14"/>
          <w:szCs w:val="14"/>
        </w:rPr>
        <w:br/>
        <w:t xml:space="preserve">             ZWIĄZANYCH Z OBSŁUGĄ ZADŁUŻENIA I PORĘCZENIAMI I GWARANCJAMI W RELACJI DO DOCHODÓW  </w:t>
      </w:r>
      <w:r w:rsidRPr="000A6485">
        <w:rPr>
          <w:rFonts w:ascii="Verdana" w:hAnsi="Verdana" w:cs="Arial"/>
          <w:bCs w:val="0"/>
          <w:sz w:val="14"/>
          <w:szCs w:val="14"/>
        </w:rPr>
        <w:br/>
        <w:t xml:space="preserve">          </w:t>
      </w:r>
      <w:r>
        <w:rPr>
          <w:rFonts w:ascii="Verdana" w:hAnsi="Verdana" w:cs="Arial"/>
          <w:bCs w:val="0"/>
          <w:sz w:val="14"/>
          <w:szCs w:val="14"/>
        </w:rPr>
        <w:t xml:space="preserve">   W M.ST. WARSZAWA NA LATA </w:t>
      </w:r>
      <w:r w:rsidRPr="008F3935">
        <w:rPr>
          <w:rFonts w:ascii="Verdana" w:hAnsi="Verdana" w:cs="Arial"/>
          <w:bCs w:val="0"/>
          <w:sz w:val="14"/>
          <w:szCs w:val="14"/>
        </w:rPr>
        <w:t>2024</w:t>
      </w:r>
      <w:r w:rsidRPr="000A6485">
        <w:rPr>
          <w:rFonts w:ascii="Verdana" w:hAnsi="Verdana" w:cs="Arial"/>
          <w:bCs w:val="0"/>
          <w:sz w:val="14"/>
          <w:szCs w:val="14"/>
        </w:rPr>
        <w:t>-2050</w:t>
      </w:r>
      <w:r w:rsidRPr="000A6485">
        <w:rPr>
          <w:rFonts w:ascii="Verdana" w:hAnsi="Verdana" w:cs="Arial"/>
          <w:sz w:val="14"/>
          <w:szCs w:val="14"/>
        </w:rPr>
        <w:t xml:space="preserve"> </w:t>
      </w:r>
      <w:r w:rsidRPr="000A6485">
        <w:rPr>
          <w:rFonts w:ascii="Verdana" w:hAnsi="Verdana" w:cs="Arial"/>
          <w:b w:val="0"/>
          <w:sz w:val="14"/>
          <w:szCs w:val="14"/>
        </w:rPr>
        <w:t>[</w:t>
      </w:r>
      <w:r>
        <w:rPr>
          <w:rFonts w:ascii="Verdana" w:hAnsi="Verdana" w:cs="Arial"/>
          <w:b w:val="0"/>
          <w:sz w:val="14"/>
          <w:szCs w:val="14"/>
        </w:rPr>
        <w:t xml:space="preserve">w </w:t>
      </w:r>
      <w:r w:rsidRPr="000A6485">
        <w:rPr>
          <w:rFonts w:ascii="Verdana" w:hAnsi="Verdana" w:cs="Arial"/>
          <w:b w:val="0"/>
          <w:sz w:val="14"/>
          <w:szCs w:val="14"/>
        </w:rPr>
        <w:t>%]</w:t>
      </w:r>
    </w:p>
    <w:p w:rsidR="00CA374E" w:rsidRDefault="00E91E8C" w:rsidP="00CA374E">
      <w:pPr>
        <w:pStyle w:val="Legenda"/>
        <w:keepNext/>
        <w:spacing w:before="120" w:after="240"/>
        <w:rPr>
          <w:rFonts w:ascii="Verdana" w:hAnsi="Verdana"/>
          <w:b w:val="0"/>
          <w:bCs w:val="0"/>
          <w:sz w:val="12"/>
          <w:szCs w:val="12"/>
        </w:rPr>
      </w:pPr>
      <w:r>
        <w:rPr>
          <w:rFonts w:ascii="Verdana" w:hAnsi="Verdana"/>
          <w:b w:val="0"/>
          <w:bCs w:val="0"/>
          <w:sz w:val="12"/>
          <w:szCs w:val="12"/>
        </w:rPr>
        <w:pict>
          <v:shape id="_x0000_i1066" type="#_x0000_t75" style="width:482.1pt;height:238.2pt">
            <v:imagedata r:id="rId59" o:title=""/>
          </v:shape>
        </w:pict>
      </w:r>
      <w:r w:rsidR="00CA374E">
        <w:rPr>
          <w:rFonts w:ascii="Verdana" w:hAnsi="Verdana"/>
          <w:b w:val="0"/>
          <w:bCs w:val="0"/>
          <w:sz w:val="12"/>
          <w:szCs w:val="12"/>
        </w:rPr>
        <w:br w:type="page"/>
      </w:r>
    </w:p>
    <w:p w:rsidR="00CA374E" w:rsidRDefault="00CA374E" w:rsidP="00CA374E">
      <w:pPr>
        <w:spacing w:before="240" w:after="240"/>
        <w:jc w:val="both"/>
        <w:rPr>
          <w:rFonts w:ascii="Verdana" w:hAnsi="Verdana"/>
          <w:b/>
          <w:bCs/>
          <w:sz w:val="16"/>
          <w:szCs w:val="16"/>
        </w:rPr>
      </w:pPr>
      <w:r>
        <w:rPr>
          <w:rFonts w:ascii="Verdana" w:hAnsi="Verdana" w:cs="Arial"/>
          <w:sz w:val="16"/>
          <w:szCs w:val="16"/>
        </w:rPr>
        <w:lastRenderedPageBreak/>
        <w:t>W myśl art. 7 ustawy</w:t>
      </w:r>
      <w:r w:rsidRPr="00006222">
        <w:rPr>
          <w:rFonts w:ascii="Verdana" w:hAnsi="Verdana" w:cs="Arial"/>
          <w:sz w:val="16"/>
          <w:szCs w:val="16"/>
        </w:rPr>
        <w:t xml:space="preserve"> z </w:t>
      </w:r>
      <w:r>
        <w:rPr>
          <w:rFonts w:ascii="Verdana" w:hAnsi="Verdana" w:cs="Arial"/>
          <w:sz w:val="16"/>
          <w:szCs w:val="16"/>
        </w:rPr>
        <w:t>15 września 2022</w:t>
      </w:r>
      <w:r w:rsidRPr="00006222">
        <w:rPr>
          <w:rFonts w:ascii="Verdana" w:hAnsi="Verdana" w:cs="Arial"/>
          <w:sz w:val="16"/>
          <w:szCs w:val="16"/>
        </w:rPr>
        <w:t xml:space="preserve"> r. </w:t>
      </w:r>
      <w:r w:rsidRPr="00006222">
        <w:rPr>
          <w:rFonts w:ascii="Verdana" w:hAnsi="Verdana" w:cs="Arial"/>
          <w:i/>
          <w:sz w:val="16"/>
          <w:szCs w:val="16"/>
        </w:rPr>
        <w:t xml:space="preserve">o </w:t>
      </w:r>
      <w:r>
        <w:rPr>
          <w:rFonts w:ascii="Verdana" w:hAnsi="Verdana" w:cs="Arial"/>
          <w:i/>
          <w:sz w:val="16"/>
          <w:szCs w:val="16"/>
        </w:rPr>
        <w:t>zmianie ustawy o dochodach jednostek samorządu terytorialnego oraz niektórych innych ustaw</w:t>
      </w:r>
      <w:r w:rsidRPr="00E7313D">
        <w:rPr>
          <w:rFonts w:ascii="Verdana" w:hAnsi="Verdana" w:cs="Arial"/>
          <w:sz w:val="16"/>
          <w:szCs w:val="16"/>
        </w:rPr>
        <w:t xml:space="preserve"> </w:t>
      </w:r>
      <w:r>
        <w:rPr>
          <w:rFonts w:ascii="Verdana" w:hAnsi="Verdana" w:cs="Arial"/>
          <w:sz w:val="16"/>
          <w:szCs w:val="16"/>
        </w:rPr>
        <w:t>(Dz. U. poz. 1964</w:t>
      </w:r>
      <w:r w:rsidRPr="00E7313D">
        <w:rPr>
          <w:rFonts w:ascii="Verdana" w:hAnsi="Verdana" w:cs="Arial"/>
          <w:sz w:val="16"/>
          <w:szCs w:val="16"/>
        </w:rPr>
        <w:t>)</w:t>
      </w:r>
      <w:r>
        <w:rPr>
          <w:rFonts w:ascii="Verdana" w:hAnsi="Verdana" w:cs="Arial"/>
          <w:sz w:val="16"/>
          <w:szCs w:val="16"/>
        </w:rPr>
        <w:t xml:space="preserve"> </w:t>
      </w:r>
      <w:r>
        <w:rPr>
          <w:rFonts w:ascii="Verdana" w:hAnsi="Verdana"/>
          <w:b/>
          <w:sz w:val="16"/>
          <w:szCs w:val="16"/>
        </w:rPr>
        <w:t>reguła indywidualnego limitu obsługi długu</w:t>
      </w:r>
      <w:r w:rsidRPr="008E4FAA">
        <w:rPr>
          <w:rFonts w:ascii="Verdana" w:hAnsi="Verdana" w:cs="Arial"/>
          <w:i/>
          <w:sz w:val="16"/>
          <w:szCs w:val="16"/>
        </w:rPr>
        <w:t xml:space="preserve"> </w:t>
      </w:r>
      <w:r w:rsidRPr="008E4FAA">
        <w:rPr>
          <w:rFonts w:ascii="Verdana" w:hAnsi="Verdana" w:cs="Arial"/>
          <w:b/>
          <w:sz w:val="16"/>
          <w:szCs w:val="16"/>
        </w:rPr>
        <w:t>może być niezachowana w latach 2023–2025 w przypadku, gdy prognozowana łączna kwota długu jednostki samorządu terytorialnego na koniec danego roku nie przekroczy 100% planowanych dochodów ogółem</w:t>
      </w:r>
      <w:r w:rsidRPr="008E4FAA">
        <w:rPr>
          <w:rFonts w:ascii="Verdana" w:hAnsi="Verdana" w:cs="Arial"/>
          <w:sz w:val="16"/>
          <w:szCs w:val="16"/>
        </w:rPr>
        <w:t xml:space="preserve"> tej jednostki w tym roku budżetowym, pomniejszonych o planowane kwoty dotacji i środków o podobnym charakterze oraz powiększonych o przychody z tytułów określonych w art. 217 ust. 2 pkt 4–8 ustawy </w:t>
      </w:r>
      <w:r>
        <w:rPr>
          <w:rFonts w:ascii="Verdana" w:hAnsi="Verdana" w:cs="Arial"/>
          <w:sz w:val="16"/>
          <w:szCs w:val="16"/>
        </w:rPr>
        <w:t>o finansach publicznych</w:t>
      </w:r>
      <w:r w:rsidRPr="008E4FAA">
        <w:rPr>
          <w:rFonts w:ascii="Verdana" w:hAnsi="Verdana" w:cs="Arial"/>
          <w:sz w:val="16"/>
          <w:szCs w:val="16"/>
        </w:rPr>
        <w:t>, nieprzeznaczone na sfinansowanie deficytu budżetowego</w:t>
      </w:r>
      <w:r>
        <w:rPr>
          <w:rFonts w:ascii="Verdana" w:hAnsi="Verdana" w:cs="Arial"/>
          <w:sz w:val="16"/>
          <w:szCs w:val="16"/>
        </w:rPr>
        <w:t xml:space="preserve">. </w:t>
      </w:r>
      <w:r w:rsidRPr="008E4FAA">
        <w:rPr>
          <w:rFonts w:ascii="Verdana" w:hAnsi="Verdana" w:cs="Arial"/>
          <w:sz w:val="16"/>
          <w:szCs w:val="16"/>
        </w:rPr>
        <w:t xml:space="preserve">Niezachowanie relacji ograniczającej wysokość spłaty zobowiązań jednostki samorządu terytorialnego nie może zagrażać realizacji zadań publicznych przez jednostkę samorządu terytorialnego w roku budżetowym i latach następnych. Regionalna izba obrachunkowa, wydając opinie, o których mowa w art. 91 ust. 2, art. 230 ust. 3 i 4 oraz art. 246 ustawy </w:t>
      </w:r>
      <w:r>
        <w:rPr>
          <w:rFonts w:ascii="Verdana" w:hAnsi="Verdana" w:cs="Arial"/>
          <w:sz w:val="16"/>
          <w:szCs w:val="16"/>
        </w:rPr>
        <w:br/>
        <w:t>o finansach publicznych</w:t>
      </w:r>
      <w:r w:rsidRPr="008E4FAA">
        <w:rPr>
          <w:rFonts w:ascii="Verdana" w:hAnsi="Verdana" w:cs="Arial"/>
          <w:sz w:val="16"/>
          <w:szCs w:val="16"/>
        </w:rPr>
        <w:t>, ocenia również wpływ niezachowania tej relacji na realizację zadań publicznych</w:t>
      </w:r>
      <w:r>
        <w:rPr>
          <w:rFonts w:ascii="Verdana" w:hAnsi="Verdana" w:cs="Arial"/>
          <w:sz w:val="16"/>
          <w:szCs w:val="16"/>
        </w:rPr>
        <w:t>.</w:t>
      </w:r>
    </w:p>
    <w:p w:rsidR="00CA374E" w:rsidRPr="000A6485" w:rsidRDefault="00CA374E" w:rsidP="00CA374E">
      <w:pPr>
        <w:spacing w:before="240" w:after="240"/>
        <w:jc w:val="both"/>
        <w:rPr>
          <w:rFonts w:ascii="Verdana" w:hAnsi="Verdana"/>
          <w:sz w:val="16"/>
          <w:szCs w:val="16"/>
        </w:rPr>
      </w:pPr>
      <w:r w:rsidRPr="000A6485">
        <w:rPr>
          <w:rFonts w:ascii="Verdana" w:hAnsi="Verdana"/>
          <w:b/>
          <w:bCs/>
          <w:sz w:val="16"/>
          <w:szCs w:val="16"/>
        </w:rPr>
        <w:t>SEKCJA 9</w:t>
      </w:r>
      <w:r w:rsidRPr="000A6485">
        <w:rPr>
          <w:rFonts w:ascii="Verdana" w:hAnsi="Verdana"/>
          <w:sz w:val="16"/>
          <w:szCs w:val="16"/>
        </w:rPr>
        <w:t xml:space="preserve"> – </w:t>
      </w:r>
      <w:r w:rsidRPr="000A6485">
        <w:rPr>
          <w:rFonts w:ascii="Verdana" w:hAnsi="Verdana"/>
          <w:b/>
          <w:sz w:val="16"/>
          <w:szCs w:val="16"/>
        </w:rPr>
        <w:t xml:space="preserve">finansowanie programów, projektów lub zadań realizowanych z udziałem środków, </w:t>
      </w:r>
      <w:r w:rsidRPr="000A6485">
        <w:rPr>
          <w:rFonts w:ascii="Verdana" w:hAnsi="Verdana"/>
          <w:b/>
          <w:sz w:val="16"/>
          <w:szCs w:val="16"/>
        </w:rPr>
        <w:br/>
        <w:t>o których mowa w art. 5 ust. 1 pkt 2 i 3 ustawy o finansach publicznych (środki unijne)</w:t>
      </w:r>
      <w:r w:rsidRPr="000A6485">
        <w:rPr>
          <w:rFonts w:ascii="Verdana" w:hAnsi="Verdana" w:cs="Arial"/>
          <w:iCs/>
          <w:sz w:val="16"/>
          <w:szCs w:val="16"/>
        </w:rPr>
        <w:t xml:space="preserve">, </w:t>
      </w:r>
      <w:r w:rsidRPr="000A6485">
        <w:rPr>
          <w:rFonts w:ascii="Verdana" w:hAnsi="Verdana" w:cs="Arial"/>
          <w:iCs/>
          <w:sz w:val="16"/>
          <w:szCs w:val="16"/>
        </w:rPr>
        <w:br/>
        <w:t xml:space="preserve">z wyszczególnieniem dochodów (bieżących i majątkowych) oraz wydatków (bieżących i majątkowych) </w:t>
      </w:r>
    </w:p>
    <w:p w:rsidR="00CA374E" w:rsidRPr="000A6485" w:rsidRDefault="00CA374E" w:rsidP="00CA374E">
      <w:pPr>
        <w:spacing w:before="240" w:after="120"/>
        <w:jc w:val="both"/>
        <w:rPr>
          <w:rFonts w:ascii="Verdana" w:hAnsi="Verdana"/>
          <w:sz w:val="16"/>
          <w:szCs w:val="16"/>
        </w:rPr>
      </w:pPr>
      <w:r w:rsidRPr="000A6485">
        <w:rPr>
          <w:rFonts w:ascii="Verdana" w:hAnsi="Verdana"/>
          <w:b/>
          <w:bCs/>
          <w:sz w:val="16"/>
          <w:szCs w:val="16"/>
        </w:rPr>
        <w:t>SEKCJA 10</w:t>
      </w:r>
      <w:r w:rsidRPr="000A6485">
        <w:rPr>
          <w:rFonts w:ascii="Verdana" w:hAnsi="Verdana"/>
          <w:sz w:val="16"/>
          <w:szCs w:val="16"/>
        </w:rPr>
        <w:t xml:space="preserve"> – informacje uzupełniające o wybranych kategoriach finansowych</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objęte limitem, o którym mowa w art. 226 ust. 3 pkt 4 ustawy o finansach publicznych (przedsięwzięcia wieloletnie)</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bieżące na pokrycie ujemnego wyniku finansowego samodzielnego publicznego zakładu opieki zdrowotnej</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na spłatę zobowiązań przejmowanych w związku z likwidacją lub przekształceniem samodzielnego publicznego zakładu opieki zdrowotnej</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związku współtworzonego przez jednostkę samorządu terytorialnego przypadających do spłaty w danym roku budżetowym, podlegająca doliczeniu zgodnie z art. 244 ustawy o finansach publicznych (kwota ujmowana we wskaźniku spłaty zobowiązań określonym w art. 243 ust. 1 ustawy </w:t>
      </w:r>
      <w:r w:rsidRPr="000A6485">
        <w:rPr>
          <w:rFonts w:ascii="Verdana" w:hAnsi="Verdana"/>
          <w:bCs/>
          <w:sz w:val="16"/>
          <w:szCs w:val="16"/>
        </w:rPr>
        <w:br/>
        <w:t>o finansach publicznych)</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zobowiązań wynikających z przejęcia przez jednostkę samorządu terytorialnego zobowiązań </w:t>
      </w:r>
      <w:r w:rsidRPr="000A6485">
        <w:rPr>
          <w:rFonts w:ascii="Verdana" w:hAnsi="Verdana"/>
          <w:bCs/>
          <w:sz w:val="16"/>
          <w:szCs w:val="16"/>
        </w:rPr>
        <w:br/>
        <w:t>po likwidowanych i przekształcanych samorządowych osobach prawnych</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spłaty zobowiązań dłużnych, o których mowa w pozycji 5.1 wzoru WPF, wynikających wyłącznie z tytułu zobowiązań już zaciągniętych</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sidRPr="000A6485">
        <w:rPr>
          <w:rFonts w:ascii="Verdana" w:hAnsi="Verdana"/>
          <w:bCs/>
          <w:sz w:val="16"/>
          <w:szCs w:val="16"/>
        </w:rPr>
        <w:t>wydatki zmniejszające dług, w tym spłata zobowiązań wymagalnych i zobowiązań zaliczanych do tytułu dłużnego – kredyt i pożyczka</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kwota</w:t>
      </w:r>
      <w:r w:rsidRPr="000A6485">
        <w:rPr>
          <w:rFonts w:ascii="Verdana" w:hAnsi="Verdana"/>
          <w:bCs/>
          <w:sz w:val="16"/>
          <w:szCs w:val="16"/>
        </w:rPr>
        <w:t xml:space="preserve"> wzrostu (+) / spadku(-) kwoty długu wynikającą z operacji niekasowych (m.in. umorzenia, różnice kursowe)</w:t>
      </w:r>
    </w:p>
    <w:p w:rsidR="00CA374E"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wcześniejsza spłata</w:t>
      </w:r>
      <w:r w:rsidRPr="000A6485">
        <w:rPr>
          <w:rFonts w:ascii="Verdana" w:hAnsi="Verdana"/>
          <w:bCs/>
          <w:sz w:val="16"/>
          <w:szCs w:val="16"/>
        </w:rPr>
        <w:t xml:space="preserve"> zobowiązań, wyłączon</w:t>
      </w:r>
      <w:r>
        <w:rPr>
          <w:rFonts w:ascii="Verdana" w:hAnsi="Verdana"/>
          <w:bCs/>
          <w:sz w:val="16"/>
          <w:szCs w:val="16"/>
        </w:rPr>
        <w:t>a</w:t>
      </w:r>
      <w:r w:rsidRPr="000A6485">
        <w:rPr>
          <w:rFonts w:ascii="Verdana" w:hAnsi="Verdana"/>
          <w:bCs/>
          <w:sz w:val="16"/>
          <w:szCs w:val="16"/>
        </w:rPr>
        <w:t xml:space="preserve"> z limi</w:t>
      </w:r>
      <w:r>
        <w:rPr>
          <w:rFonts w:ascii="Verdana" w:hAnsi="Verdana"/>
          <w:bCs/>
          <w:sz w:val="16"/>
          <w:szCs w:val="16"/>
        </w:rPr>
        <w:t>tu spłaty zobowiązań, dokonywana</w:t>
      </w:r>
      <w:r w:rsidRPr="000A6485">
        <w:rPr>
          <w:rFonts w:ascii="Verdana" w:hAnsi="Verdana"/>
          <w:bCs/>
          <w:sz w:val="16"/>
          <w:szCs w:val="16"/>
        </w:rPr>
        <w:t xml:space="preserve"> w formie wydatków budżetowych</w:t>
      </w:r>
    </w:p>
    <w:p w:rsidR="00CA374E"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w:t>
      </w:r>
      <w:r w:rsidRPr="009A439B">
        <w:rPr>
          <w:rFonts w:ascii="Verdana" w:hAnsi="Verdana"/>
          <w:bCs/>
          <w:sz w:val="16"/>
          <w:szCs w:val="16"/>
        </w:rPr>
        <w:t>ykup papierów wartościowych, spłaty rat kredytów i pożyczek wraz z należnymi odsetkami i dyskontem, odpowiednio emitowanych lub zaciąganych do równowartości kwoty ubytku w wykonanych dochodach jednostki samorządu terytorialnego będącego skutkiem wystąpienia COVID-19</w:t>
      </w:r>
    </w:p>
    <w:p w:rsidR="00CA374E" w:rsidRPr="000A6485" w:rsidRDefault="00CA374E" w:rsidP="00CA374E">
      <w:pPr>
        <w:pStyle w:val="Akapitzlist"/>
        <w:numPr>
          <w:ilvl w:val="0"/>
          <w:numId w:val="33"/>
        </w:numPr>
        <w:spacing w:before="120" w:after="120"/>
        <w:ind w:left="567" w:hanging="283"/>
        <w:jc w:val="both"/>
        <w:rPr>
          <w:rFonts w:ascii="Verdana" w:hAnsi="Verdana"/>
          <w:bCs/>
          <w:sz w:val="16"/>
          <w:szCs w:val="16"/>
        </w:rPr>
      </w:pPr>
      <w:r>
        <w:rPr>
          <w:rFonts w:ascii="Verdana" w:hAnsi="Verdana"/>
          <w:bCs/>
          <w:sz w:val="16"/>
          <w:szCs w:val="16"/>
        </w:rPr>
        <w:t>w</w:t>
      </w:r>
      <w:r w:rsidRPr="00DF2B72">
        <w:rPr>
          <w:rFonts w:ascii="Verdana" w:hAnsi="Verdana"/>
          <w:bCs/>
          <w:sz w:val="16"/>
          <w:szCs w:val="16"/>
        </w:rPr>
        <w:t>ydatki bieżące podlegające ustawowemu wyłączeniu z limitu spłaty zobowiązań</w:t>
      </w:r>
    </w:p>
    <w:p w:rsidR="00CA374E" w:rsidRPr="000A6485" w:rsidRDefault="00CA374E" w:rsidP="00CA374E">
      <w:pPr>
        <w:spacing w:before="240" w:after="240"/>
        <w:jc w:val="both"/>
        <w:rPr>
          <w:rFonts w:ascii="Verdana" w:hAnsi="Verdana"/>
          <w:b/>
          <w:sz w:val="16"/>
          <w:szCs w:val="16"/>
        </w:rPr>
      </w:pPr>
      <w:r w:rsidRPr="000A6485">
        <w:rPr>
          <w:rFonts w:ascii="Verdana" w:hAnsi="Verdana"/>
          <w:b/>
          <w:bCs/>
          <w:sz w:val="16"/>
          <w:szCs w:val="16"/>
        </w:rPr>
        <w:t>SEKCJA 11</w:t>
      </w:r>
      <w:r w:rsidRPr="000A6485">
        <w:rPr>
          <w:rFonts w:ascii="Verdana" w:hAnsi="Verdana"/>
          <w:sz w:val="16"/>
          <w:szCs w:val="16"/>
        </w:rPr>
        <w:t xml:space="preserve"> – </w:t>
      </w:r>
      <w:r w:rsidRPr="000A6485">
        <w:rPr>
          <w:rFonts w:ascii="Verdana" w:hAnsi="Verdana"/>
          <w:b/>
          <w:sz w:val="16"/>
          <w:szCs w:val="16"/>
        </w:rPr>
        <w:t>dane dotyczące emitowanych obligacji przychodowych</w:t>
      </w:r>
    </w:p>
    <w:p w:rsidR="00CA374E" w:rsidRPr="000A6485" w:rsidRDefault="00CA374E" w:rsidP="00CA374E">
      <w:pPr>
        <w:spacing w:before="120" w:after="120"/>
        <w:jc w:val="both"/>
        <w:rPr>
          <w:rFonts w:ascii="Verdana" w:hAnsi="Verdana"/>
          <w:bCs/>
          <w:sz w:val="16"/>
          <w:szCs w:val="16"/>
        </w:rPr>
      </w:pPr>
      <w:r w:rsidRPr="000A6485">
        <w:rPr>
          <w:rFonts w:ascii="Verdana" w:hAnsi="Verdana"/>
          <w:bCs/>
          <w:sz w:val="16"/>
          <w:szCs w:val="16"/>
        </w:rPr>
        <w:t xml:space="preserve">W </w:t>
      </w:r>
      <w:r>
        <w:rPr>
          <w:rFonts w:ascii="Verdana" w:hAnsi="Verdana"/>
          <w:bCs/>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bCs/>
          <w:sz w:val="16"/>
          <w:szCs w:val="16"/>
        </w:rPr>
        <w:t>-2050 nie zaplanowano emisji obligacji przychodów, nie występują również zobowiązania z tego tytułu z lat poprzednich.</w:t>
      </w:r>
    </w:p>
    <w:p w:rsidR="00CA374E" w:rsidRPr="000A6485" w:rsidRDefault="00CA374E" w:rsidP="00CA374E">
      <w:pPr>
        <w:spacing w:before="240" w:after="240"/>
        <w:jc w:val="both"/>
        <w:rPr>
          <w:rFonts w:ascii="Verdana" w:hAnsi="Verdana"/>
          <w:b/>
          <w:sz w:val="16"/>
          <w:szCs w:val="16"/>
        </w:rPr>
      </w:pPr>
      <w:r w:rsidRPr="000A6485">
        <w:rPr>
          <w:rFonts w:ascii="Verdana" w:hAnsi="Verdana"/>
          <w:b/>
          <w:bCs/>
          <w:sz w:val="16"/>
          <w:szCs w:val="16"/>
        </w:rPr>
        <w:lastRenderedPageBreak/>
        <w:t>SEKCJA 12</w:t>
      </w:r>
      <w:r w:rsidRPr="000A6485">
        <w:rPr>
          <w:rFonts w:ascii="Verdana" w:hAnsi="Verdana"/>
          <w:sz w:val="16"/>
          <w:szCs w:val="16"/>
        </w:rPr>
        <w:t xml:space="preserve"> – </w:t>
      </w:r>
      <w:r w:rsidRPr="000A6485">
        <w:rPr>
          <w:rFonts w:ascii="Verdana" w:hAnsi="Verdana"/>
          <w:b/>
          <w:sz w:val="16"/>
          <w:szCs w:val="16"/>
        </w:rPr>
        <w:t xml:space="preserve">stopnie niezachowania relacji określonych w art. 242-244 ustawy o finansach publicznych </w:t>
      </w:r>
    </w:p>
    <w:p w:rsidR="005E5299" w:rsidRPr="000A6485" w:rsidRDefault="00CA374E" w:rsidP="00CA374E">
      <w:pPr>
        <w:spacing w:before="120" w:after="120"/>
        <w:jc w:val="both"/>
        <w:rPr>
          <w:rFonts w:ascii="Verdana" w:hAnsi="Verdana"/>
          <w:bCs/>
          <w:sz w:val="18"/>
          <w:szCs w:val="18"/>
        </w:rPr>
      </w:pPr>
      <w:r w:rsidRPr="000A6485">
        <w:rPr>
          <w:rFonts w:ascii="Verdana" w:hAnsi="Verdana"/>
          <w:bCs/>
          <w:sz w:val="16"/>
          <w:szCs w:val="16"/>
        </w:rPr>
        <w:t xml:space="preserve">W </w:t>
      </w:r>
      <w:r>
        <w:rPr>
          <w:rFonts w:ascii="Verdana" w:hAnsi="Verdana"/>
          <w:bCs/>
          <w:sz w:val="16"/>
          <w:szCs w:val="16"/>
        </w:rPr>
        <w:t xml:space="preserve">WPF </w:t>
      </w:r>
      <w:r w:rsidRPr="008F3935">
        <w:rPr>
          <w:rFonts w:ascii="Verdana" w:eastAsiaTheme="minorEastAsia" w:hAnsi="Verdana" w:cs="Verdana"/>
          <w:color w:val="000000"/>
          <w:sz w:val="16"/>
          <w:szCs w:val="16"/>
        </w:rPr>
        <w:t>2024</w:t>
      </w:r>
      <w:r w:rsidRPr="000A6485">
        <w:rPr>
          <w:rFonts w:ascii="Verdana" w:hAnsi="Verdana"/>
          <w:bCs/>
          <w:sz w:val="16"/>
          <w:szCs w:val="16"/>
        </w:rPr>
        <w:t xml:space="preserve">-2050 spełniona jest relacja zrównoważenia wydatków bieżących (pkt 8.1) i indywidualnego </w:t>
      </w:r>
      <w:r>
        <w:rPr>
          <w:rFonts w:ascii="Verdana" w:hAnsi="Verdana"/>
          <w:bCs/>
          <w:sz w:val="16"/>
          <w:szCs w:val="16"/>
        </w:rPr>
        <w:t>w</w:t>
      </w:r>
      <w:r w:rsidRPr="000A6485">
        <w:rPr>
          <w:rFonts w:ascii="Verdana" w:hAnsi="Verdana"/>
          <w:bCs/>
          <w:sz w:val="16"/>
          <w:szCs w:val="16"/>
        </w:rPr>
        <w:t>skaźnika spłaty zobowiązań (pkt 8.2), o których mowa w przepisach art. 242-244 ustawy o finansach publicznych.</w:t>
      </w:r>
    </w:p>
    <w:p w:rsidR="005E5299" w:rsidRPr="000A6485" w:rsidRDefault="005E5299" w:rsidP="005E5299"/>
    <w:p w:rsidR="005E5299" w:rsidRDefault="005E5299" w:rsidP="005E5299"/>
    <w:p w:rsidR="005E5299" w:rsidRDefault="005E5299" w:rsidP="005E5299">
      <w:r w:rsidRPr="000A6485">
        <w:rPr>
          <w:rFonts w:ascii="Verdana" w:hAnsi="Verdana"/>
          <w:noProof/>
          <w:sz w:val="16"/>
          <w:szCs w:val="16"/>
        </w:rPr>
        <mc:AlternateContent>
          <mc:Choice Requires="wps">
            <w:drawing>
              <wp:anchor distT="0" distB="0" distL="114300" distR="114300" simplePos="0" relativeHeight="251689984" behindDoc="0" locked="0" layoutInCell="1" allowOverlap="1" wp14:anchorId="404D3B71" wp14:editId="6DEE3F75">
                <wp:simplePos x="0" y="0"/>
                <wp:positionH relativeFrom="margin">
                  <wp:align>right</wp:align>
                </wp:positionH>
                <wp:positionV relativeFrom="paragraph">
                  <wp:posOffset>50949</wp:posOffset>
                </wp:positionV>
                <wp:extent cx="2438400" cy="609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067F5A" w:rsidRPr="007A5B45" w:rsidRDefault="00067F5A" w:rsidP="005E5299">
                            <w:pPr>
                              <w:jc w:val="center"/>
                              <w:rPr>
                                <w:rFonts w:ascii="Verdana" w:hAnsi="Verdana"/>
                                <w:sz w:val="16"/>
                                <w:szCs w:val="16"/>
                              </w:rPr>
                            </w:pPr>
                            <w:r w:rsidRPr="007A5B45">
                              <w:rPr>
                                <w:rFonts w:ascii="Verdana" w:hAnsi="Verdana"/>
                                <w:sz w:val="16"/>
                                <w:szCs w:val="16"/>
                              </w:rPr>
                              <w:t>Prezydent m.st. Warszawy</w:t>
                            </w:r>
                          </w:p>
                          <w:p w:rsidR="00067F5A" w:rsidRPr="0023713D" w:rsidRDefault="00067F5A"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3B71" id="Pole tekstowe 9" o:spid="_x0000_s1030" type="#_x0000_t202" style="position:absolute;margin-left:140.8pt;margin-top:4pt;width:192pt;height:4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" fillcolor="white [3201]" stroked="f" strokeweight=".5pt">
                <v:textbox>
                  <w:txbxContent>
                    <w:p w:rsidR="00067F5A" w:rsidRPr="007A5B45" w:rsidRDefault="00067F5A" w:rsidP="005E5299">
                      <w:pPr>
                        <w:jc w:val="center"/>
                        <w:rPr>
                          <w:rFonts w:ascii="Verdana" w:hAnsi="Verdana"/>
                          <w:sz w:val="16"/>
                          <w:szCs w:val="16"/>
                        </w:rPr>
                      </w:pPr>
                      <w:r w:rsidRPr="007A5B45">
                        <w:rPr>
                          <w:rFonts w:ascii="Verdana" w:hAnsi="Verdana"/>
                          <w:sz w:val="16"/>
                          <w:szCs w:val="16"/>
                        </w:rPr>
                        <w:t>Prezydent m.st. Warszawy</w:t>
                      </w:r>
                    </w:p>
                    <w:p w:rsidR="00067F5A" w:rsidRPr="0023713D" w:rsidRDefault="00067F5A" w:rsidP="005E5299">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0A6485">
        <w:rPr>
          <w:rFonts w:ascii="Verdana" w:hAnsi="Verdana"/>
          <w:noProof/>
          <w:sz w:val="16"/>
          <w:szCs w:val="16"/>
        </w:rPr>
        <mc:AlternateContent>
          <mc:Choice Requires="wps">
            <w:drawing>
              <wp:anchor distT="0" distB="0" distL="114300" distR="114300" simplePos="0" relativeHeight="251688960" behindDoc="0" locked="0" layoutInCell="1" allowOverlap="1" wp14:anchorId="68054A70" wp14:editId="2E0589EC">
                <wp:simplePos x="0" y="0"/>
                <wp:positionH relativeFrom="margin">
                  <wp:align>left</wp:align>
                </wp:positionH>
                <wp:positionV relativeFrom="paragraph">
                  <wp:posOffset>81428</wp:posOffset>
                </wp:positionV>
                <wp:extent cx="2438400" cy="609600"/>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067F5A" w:rsidRPr="007A5B45" w:rsidRDefault="00067F5A" w:rsidP="005E5299">
                            <w:pPr>
                              <w:jc w:val="center"/>
                              <w:rPr>
                                <w:rFonts w:ascii="Verdana" w:hAnsi="Verdana"/>
                                <w:sz w:val="16"/>
                                <w:szCs w:val="16"/>
                              </w:rPr>
                            </w:pPr>
                            <w:r w:rsidRPr="007A5B45">
                              <w:rPr>
                                <w:rFonts w:ascii="Verdana" w:hAnsi="Verdana"/>
                                <w:sz w:val="16"/>
                                <w:szCs w:val="16"/>
                              </w:rPr>
                              <w:t>Skarbnik m.st. Warszawy</w:t>
                            </w:r>
                          </w:p>
                          <w:p w:rsidR="00067F5A" w:rsidRPr="007A5B45" w:rsidRDefault="00067F5A"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4A70" id="Pole tekstowe 17" o:spid="_x0000_s1031" type="#_x0000_t202" style="position:absolute;margin-left:0;margin-top:6.4pt;width:192pt;height:48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" fillcolor="white [3201]" stroked="f" strokeweight=".5pt">
                <v:textbox>
                  <w:txbxContent>
                    <w:p w:rsidR="00067F5A" w:rsidRPr="007A5B45" w:rsidRDefault="00067F5A" w:rsidP="005E5299">
                      <w:pPr>
                        <w:jc w:val="center"/>
                        <w:rPr>
                          <w:rFonts w:ascii="Verdana" w:hAnsi="Verdana"/>
                          <w:sz w:val="16"/>
                          <w:szCs w:val="16"/>
                        </w:rPr>
                      </w:pPr>
                      <w:r w:rsidRPr="007A5B45">
                        <w:rPr>
                          <w:rFonts w:ascii="Verdana" w:hAnsi="Verdana"/>
                          <w:sz w:val="16"/>
                          <w:szCs w:val="16"/>
                        </w:rPr>
                        <w:t>Skarbnik m.st. Warszawy</w:t>
                      </w:r>
                    </w:p>
                    <w:p w:rsidR="00067F5A" w:rsidRPr="007A5B45" w:rsidRDefault="00067F5A" w:rsidP="005E5299">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377CA9" w:rsidRPr="005E5299" w:rsidRDefault="00377CA9" w:rsidP="00377CA9">
      <w:pPr>
        <w:spacing w:before="120" w:after="120"/>
        <w:jc w:val="both"/>
        <w:rPr>
          <w:rFonts w:ascii="Verdana" w:hAnsi="Verdana" w:cs="Arial"/>
          <w:bCs/>
          <w:sz w:val="16"/>
          <w:szCs w:val="16"/>
        </w:rPr>
        <w:sectPr w:rsidR="00377CA9" w:rsidRPr="005E5299" w:rsidSect="00972C44">
          <w:headerReference w:type="default" r:id="rId60"/>
          <w:type w:val="oddPage"/>
          <w:pgSz w:w="11907" w:h="16840" w:code="9"/>
          <w:pgMar w:top="1417" w:right="1417" w:bottom="1417" w:left="1417" w:header="708" w:footer="708" w:gutter="0"/>
          <w:cols w:space="708"/>
          <w:docGrid w:linePitch="360"/>
        </w:sectPr>
      </w:pPr>
    </w:p>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Default="00F95352" w:rsidP="00F95352"/>
    <w:p w:rsidR="00F95352" w:rsidRPr="0012041D" w:rsidRDefault="00F95352" w:rsidP="00F95352">
      <w:pPr>
        <w:pStyle w:val="Nagwek4"/>
      </w:pPr>
      <w:bookmarkStart w:id="2" w:name="_Toc153960267"/>
      <w:bookmarkStart w:id="3" w:name="_GoBack"/>
      <w:bookmarkEnd w:id="3"/>
      <w:r w:rsidRPr="0012041D">
        <w:t>1.</w:t>
      </w:r>
      <w:r>
        <w:t>2. POLITYKA DŁUGU</w:t>
      </w:r>
      <w:r>
        <w:br/>
        <w:t>MIASTA STOŁECZNEGO WARSZAWY</w:t>
      </w:r>
      <w:r>
        <w:br/>
        <w:t>EDYCJA 20</w:t>
      </w:r>
      <w:r w:rsidR="0080214F">
        <w:t>2</w:t>
      </w:r>
      <w:r w:rsidR="00D85B61">
        <w:t>4</w:t>
      </w:r>
      <w:r>
        <w:t xml:space="preserve"> ROK</w:t>
      </w:r>
      <w:bookmarkEnd w:id="2"/>
    </w:p>
    <w:p w:rsidR="00A478E4" w:rsidRDefault="00A478E4" w:rsidP="001C799C"/>
    <w:p w:rsidR="00A478E4" w:rsidRDefault="00A478E4" w:rsidP="001C799C">
      <w:pPr>
        <w:sectPr w:rsidR="00A478E4" w:rsidSect="00492B3A">
          <w:headerReference w:type="default" r:id="rId61"/>
          <w:type w:val="oddPage"/>
          <w:pgSz w:w="11907" w:h="16840" w:code="9"/>
          <w:pgMar w:top="1417" w:right="1417" w:bottom="1417" w:left="1417" w:header="708" w:footer="708" w:gutter="0"/>
          <w:cols w:space="708"/>
          <w:docGrid w:linePitch="360"/>
        </w:sectPr>
      </w:pPr>
    </w:p>
    <w:p w:rsidR="004E65B0" w:rsidRPr="00492E43" w:rsidRDefault="004E65B0" w:rsidP="004E65B0">
      <w:pPr>
        <w:spacing w:before="480"/>
        <w:jc w:val="both"/>
        <w:rPr>
          <w:rFonts w:ascii="Verdana" w:hAnsi="Verdana"/>
          <w:b/>
          <w:bCs/>
        </w:rPr>
      </w:pPr>
      <w:bookmarkStart w:id="4" w:name="bookmark0"/>
      <w:r w:rsidRPr="00492E43">
        <w:rPr>
          <w:rFonts w:ascii="Verdana" w:hAnsi="Verdana"/>
          <w:b/>
          <w:bCs/>
        </w:rPr>
        <w:lastRenderedPageBreak/>
        <w:t>1. Wstęp</w:t>
      </w:r>
      <w:bookmarkEnd w:id="4"/>
    </w:p>
    <w:p w:rsidR="004E65B0" w:rsidRPr="00383392" w:rsidRDefault="004E65B0" w:rsidP="004E65B0">
      <w:pPr>
        <w:spacing w:before="120"/>
        <w:jc w:val="both"/>
        <w:rPr>
          <w:rFonts w:ascii="Verdana" w:hAnsi="Verdana"/>
          <w:sz w:val="16"/>
          <w:szCs w:val="16"/>
        </w:rPr>
      </w:pPr>
      <w:r w:rsidRPr="00383392">
        <w:rPr>
          <w:rFonts w:ascii="Verdana" w:hAnsi="Verdana"/>
          <w:sz w:val="16"/>
          <w:szCs w:val="16"/>
        </w:rPr>
        <w:t>Polityka długu jest elementem polityki finansowej m.st. Warszawy. Jej celem jest określenie zasad pozyskiwania środków zwrotnych na realizację projektów rozwojowych przy minimalizacji związanych z tym kosztów i ryzyka niewypłacalności lub utraty płynności.</w:t>
      </w:r>
      <w:r w:rsidRPr="00383392">
        <w:rPr>
          <w:rFonts w:ascii="Verdana" w:hAnsi="Verdana"/>
          <w:sz w:val="16"/>
          <w:szCs w:val="16"/>
          <w:vertAlign w:val="superscript"/>
        </w:rPr>
        <w:footnoteReference w:id="15"/>
      </w:r>
      <w:r w:rsidRPr="00383392">
        <w:rPr>
          <w:rFonts w:ascii="Verdana" w:hAnsi="Verdana"/>
          <w:sz w:val="16"/>
          <w:szCs w:val="16"/>
        </w:rPr>
        <w:t xml:space="preserve"> </w:t>
      </w:r>
    </w:p>
    <w:p w:rsidR="004E65B0" w:rsidRPr="00947095" w:rsidRDefault="004E65B0" w:rsidP="004E65B0">
      <w:pPr>
        <w:spacing w:before="120"/>
        <w:jc w:val="both"/>
        <w:rPr>
          <w:rFonts w:ascii="Verdana" w:hAnsi="Verdana"/>
          <w:sz w:val="16"/>
          <w:szCs w:val="16"/>
        </w:rPr>
      </w:pPr>
      <w:r w:rsidRPr="00383392">
        <w:rPr>
          <w:rFonts w:ascii="Verdana" w:hAnsi="Verdana"/>
          <w:sz w:val="16"/>
          <w:szCs w:val="16"/>
        </w:rPr>
        <w:t>Formalno-prawnym ograniczeniem polityki długu jest indywidualny wskaźnik obsługi długu, wynikający z art. 243 ustawy o finansach publicznych (Dz. U. z 2019 r. poz. 869, z późn. zm.</w:t>
      </w:r>
      <w:r w:rsidRPr="00383392">
        <w:rPr>
          <w:rFonts w:ascii="Verdana" w:hAnsi="Verdana"/>
          <w:sz w:val="16"/>
          <w:szCs w:val="16"/>
          <w:vertAlign w:val="superscript"/>
        </w:rPr>
        <w:footnoteReference w:id="16"/>
      </w:r>
      <w:r w:rsidRPr="00383392">
        <w:rPr>
          <w:rFonts w:ascii="Verdana" w:hAnsi="Verdana"/>
          <w:sz w:val="16"/>
          <w:szCs w:val="16"/>
        </w:rPr>
        <w:t xml:space="preserve">). Opiera się </w:t>
      </w:r>
      <w:r>
        <w:rPr>
          <w:rFonts w:ascii="Verdana" w:hAnsi="Verdana"/>
          <w:sz w:val="16"/>
          <w:szCs w:val="16"/>
        </w:rPr>
        <w:t xml:space="preserve">on </w:t>
      </w:r>
      <w:r w:rsidRPr="00383392">
        <w:rPr>
          <w:rFonts w:ascii="Verdana" w:hAnsi="Verdana"/>
          <w:sz w:val="16"/>
          <w:szCs w:val="16"/>
        </w:rPr>
        <w:t xml:space="preserve">na nadwyżce bieżącej budżetu. Jego konstrukcja zakłada, że w danym roku budżetowym relacja wydatków związanych z obsługą zadłużenia (kapitał i odsetki) i udzielonymi poręczeniami i gwarancjami do dochodów bieżących, nie może być wyższa od relacji pomiędzy różnicą dochodów bieżących powiększonych o dochody ze sprzedaży majątku </w:t>
      </w:r>
      <w:r>
        <w:rPr>
          <w:rFonts w:ascii="Verdana" w:hAnsi="Verdana"/>
          <w:sz w:val="16"/>
          <w:szCs w:val="16"/>
        </w:rPr>
        <w:br/>
      </w:r>
      <w:r w:rsidRPr="00383392">
        <w:rPr>
          <w:rFonts w:ascii="Verdana" w:hAnsi="Verdana"/>
          <w:sz w:val="16"/>
          <w:szCs w:val="16"/>
        </w:rPr>
        <w:t>i wydatkami bieżącymi do dochodów bieżących</w:t>
      </w:r>
      <w:r w:rsidRPr="00C937B6">
        <w:rPr>
          <w:rFonts w:ascii="Verdana" w:hAnsi="Verdana"/>
          <w:sz w:val="16"/>
          <w:szCs w:val="16"/>
        </w:rPr>
        <w:t>, obliczanej dla trzech</w:t>
      </w:r>
      <w:r w:rsidRPr="00383392">
        <w:rPr>
          <w:rFonts w:ascii="Verdana" w:hAnsi="Verdana"/>
          <w:sz w:val="16"/>
          <w:szCs w:val="16"/>
        </w:rPr>
        <w:t xml:space="preserve"> </w:t>
      </w:r>
      <w:r>
        <w:rPr>
          <w:rFonts w:ascii="Verdana" w:hAnsi="Verdana"/>
          <w:sz w:val="16"/>
          <w:szCs w:val="16"/>
        </w:rPr>
        <w:t xml:space="preserve">lub siedmiu </w:t>
      </w:r>
      <w:r w:rsidRPr="00383392">
        <w:rPr>
          <w:rFonts w:ascii="Verdana" w:hAnsi="Verdana"/>
          <w:sz w:val="16"/>
          <w:szCs w:val="16"/>
        </w:rPr>
        <w:t xml:space="preserve">(od 2026 roku dla siedmiu) lat poprzedzających dany rok budżetowy, jako średnia arytmetyczna z tych lat. Wskaźnik ten jest bardzo wrażliwy na wahania cyklu koniunkturalnego i poziom nadwyżki bieżącej. </w:t>
      </w:r>
    </w:p>
    <w:p w:rsidR="004E65B0" w:rsidRPr="00E24860" w:rsidRDefault="004E65B0" w:rsidP="004E65B0">
      <w:pPr>
        <w:spacing w:before="120"/>
        <w:jc w:val="both"/>
        <w:rPr>
          <w:rFonts w:ascii="Verdana" w:hAnsi="Verdana"/>
          <w:bCs/>
          <w:sz w:val="16"/>
          <w:szCs w:val="16"/>
        </w:rPr>
      </w:pPr>
      <w:r>
        <w:rPr>
          <w:rFonts w:ascii="Verdana" w:hAnsi="Verdana"/>
          <w:sz w:val="16"/>
          <w:szCs w:val="16"/>
        </w:rPr>
        <w:t xml:space="preserve">Wprowadzone ustawą z dnia 14 października 2021 r. o zmianie ustawy o dochodach jednostek samorządu terytorialnego oraz niektórych innych ustaw nowe regulacje zakładają, że przy ustalaniu relacji określonej </w:t>
      </w:r>
      <w:r>
        <w:rPr>
          <w:rFonts w:ascii="Verdana" w:hAnsi="Verdana"/>
          <w:sz w:val="16"/>
          <w:szCs w:val="16"/>
        </w:rPr>
        <w:br/>
        <w:t xml:space="preserve">w art. 243 w latach 2022–2025 jednostki samorządu terytorialnego (JST) mają możliwość wyboru długości okresu obliczeniowego wg którego liczona jest średnia nadwyżka operacyjna - między 3-letnią a 7-letnią średnią </w:t>
      </w:r>
      <w:r w:rsidRPr="00CB32E5">
        <w:rPr>
          <w:rFonts w:ascii="Verdana" w:hAnsi="Verdana"/>
          <w:sz w:val="16"/>
          <w:szCs w:val="16"/>
        </w:rPr>
        <w:t>arytmetyczną</w:t>
      </w:r>
      <w:r w:rsidRPr="00CB32E5">
        <w:rPr>
          <w:rFonts w:ascii="Verdana" w:hAnsi="Verdana"/>
          <w:bCs/>
          <w:sz w:val="16"/>
          <w:szCs w:val="16"/>
        </w:rPr>
        <w:t xml:space="preserve">. </w:t>
      </w:r>
      <w:r w:rsidRPr="00CB32E5">
        <w:rPr>
          <w:rFonts w:ascii="Verdana" w:hAnsi="Verdana"/>
          <w:sz w:val="16"/>
          <w:szCs w:val="16"/>
        </w:rPr>
        <w:t>Na podstawie powyższych przepisów, organ wykonawczy m.st. Warszawy</w:t>
      </w:r>
      <w:r>
        <w:rPr>
          <w:rFonts w:ascii="Verdana" w:hAnsi="Verdana"/>
          <w:sz w:val="16"/>
          <w:szCs w:val="16"/>
        </w:rPr>
        <w:t>,</w:t>
      </w:r>
      <w:r w:rsidRPr="00CB32E5">
        <w:rPr>
          <w:rFonts w:ascii="Verdana" w:hAnsi="Verdana"/>
          <w:sz w:val="16"/>
          <w:szCs w:val="16"/>
        </w:rPr>
        <w:t xml:space="preserve"> tj. Prezydent </w:t>
      </w:r>
      <w:r>
        <w:rPr>
          <w:rFonts w:ascii="Verdana" w:hAnsi="Verdana"/>
          <w:sz w:val="16"/>
          <w:szCs w:val="16"/>
        </w:rPr>
        <w:br/>
      </w:r>
      <w:r w:rsidRPr="00CB32E5">
        <w:rPr>
          <w:rFonts w:ascii="Verdana" w:hAnsi="Verdana"/>
          <w:sz w:val="16"/>
          <w:szCs w:val="16"/>
        </w:rPr>
        <w:t>m.st. Warszawy postanowił, że przy ustalaniu relacji wynikającej z art. 243 od 2022 r. stosowana będzie średnia 7 letnia.</w:t>
      </w:r>
    </w:p>
    <w:p w:rsidR="004E65B0" w:rsidRPr="00492E43" w:rsidRDefault="004E65B0" w:rsidP="004E65B0">
      <w:pPr>
        <w:spacing w:before="240"/>
        <w:ind w:left="426" w:hanging="426"/>
        <w:jc w:val="both"/>
        <w:rPr>
          <w:rFonts w:ascii="Verdana" w:hAnsi="Verdana"/>
          <w:b/>
        </w:rPr>
      </w:pPr>
      <w:r>
        <w:rPr>
          <w:rFonts w:ascii="Verdana" w:hAnsi="Verdana"/>
          <w:b/>
        </w:rPr>
        <w:t xml:space="preserve">2. </w:t>
      </w:r>
      <w:r w:rsidRPr="00492E43">
        <w:rPr>
          <w:rFonts w:ascii="Verdana" w:hAnsi="Verdana"/>
          <w:b/>
        </w:rPr>
        <w:t>Uwarunkowania zewnętrzne polityki długu</w:t>
      </w:r>
    </w:p>
    <w:p w:rsidR="004E65B0" w:rsidRDefault="004E65B0" w:rsidP="004E65B0">
      <w:pPr>
        <w:spacing w:before="120"/>
        <w:jc w:val="both"/>
        <w:rPr>
          <w:rFonts w:ascii="Verdana" w:hAnsi="Verdana"/>
          <w:sz w:val="16"/>
          <w:szCs w:val="16"/>
        </w:rPr>
      </w:pPr>
      <w:r w:rsidRPr="00383392">
        <w:rPr>
          <w:rFonts w:ascii="Verdana" w:hAnsi="Verdana"/>
          <w:sz w:val="16"/>
          <w:szCs w:val="16"/>
        </w:rPr>
        <w:t xml:space="preserve">Na realizację polityki długu </w:t>
      </w:r>
      <w:r>
        <w:rPr>
          <w:rFonts w:ascii="Verdana" w:hAnsi="Verdana"/>
          <w:sz w:val="16"/>
          <w:szCs w:val="16"/>
        </w:rPr>
        <w:t>oddziaływać będą w kolejnych latach</w:t>
      </w:r>
      <w:r w:rsidRPr="00383392">
        <w:rPr>
          <w:rFonts w:ascii="Verdana" w:hAnsi="Verdana"/>
          <w:sz w:val="16"/>
          <w:szCs w:val="16"/>
        </w:rPr>
        <w:t xml:space="preserve"> niekorzystne zmiany</w:t>
      </w:r>
      <w:r>
        <w:rPr>
          <w:rFonts w:ascii="Verdana" w:hAnsi="Verdana"/>
          <w:sz w:val="16"/>
          <w:szCs w:val="16"/>
        </w:rPr>
        <w:t xml:space="preserve"> </w:t>
      </w:r>
      <w:r w:rsidRPr="00383392">
        <w:rPr>
          <w:rFonts w:ascii="Verdana" w:hAnsi="Verdana"/>
          <w:sz w:val="16"/>
          <w:szCs w:val="16"/>
        </w:rPr>
        <w:t xml:space="preserve">w gospodarce i finansach publicznych wynikające z </w:t>
      </w:r>
      <w:r>
        <w:rPr>
          <w:rFonts w:ascii="Verdana" w:hAnsi="Verdana"/>
          <w:sz w:val="16"/>
          <w:szCs w:val="16"/>
        </w:rPr>
        <w:t>wyraźnego spowolnienia gospodarczego w 2023 r. i oczekiwanej stopniowej odbudowy aktywności gospodarczej w 2024 r. w warunkach spadającej, ale wciąż podwyższonej inflacji, rekordowo wysokich potrzeb pożyczkowych Skarbu Państwa, a także niepewności związanej ze skutkami konfliktu w Ukrainie oraz na Bliskim Wschodzie i ich wpływu na ceny surowców energetycznych. Kluczowe znaczenie dla sytuacji finansowej Miasta, a więc i skali potrzeb pożyczkowych mają zmiany ustawowe w systemie podatku dochodowego od osób fizycznych przyjęte przez Parlament w latach 2019-22 oraz regulacje w zakresie systemu dochodów jednostek samorządu terytorialnego (JST)</w:t>
      </w:r>
      <w:r w:rsidRPr="00383392">
        <w:rPr>
          <w:rFonts w:ascii="Verdana" w:hAnsi="Verdana"/>
          <w:sz w:val="16"/>
          <w:szCs w:val="16"/>
        </w:rPr>
        <w:t xml:space="preserve">. </w:t>
      </w:r>
      <w:r>
        <w:rPr>
          <w:rFonts w:ascii="Verdana" w:hAnsi="Verdana"/>
          <w:sz w:val="16"/>
          <w:szCs w:val="16"/>
        </w:rPr>
        <w:t>Zarówno z</w:t>
      </w:r>
      <w:r w:rsidRPr="00383392">
        <w:rPr>
          <w:rFonts w:ascii="Verdana" w:hAnsi="Verdana"/>
          <w:sz w:val="16"/>
          <w:szCs w:val="16"/>
        </w:rPr>
        <w:t xml:space="preserve">miany </w:t>
      </w:r>
      <w:r>
        <w:rPr>
          <w:rFonts w:ascii="Verdana" w:hAnsi="Verdana"/>
          <w:sz w:val="16"/>
          <w:szCs w:val="16"/>
        </w:rPr>
        <w:t>regulacyjne jak i zachodzące w otoczeniu gospodarczym utrudniają</w:t>
      </w:r>
      <w:r w:rsidRPr="00383392">
        <w:rPr>
          <w:rFonts w:ascii="Verdana" w:hAnsi="Verdana"/>
          <w:sz w:val="16"/>
          <w:szCs w:val="16"/>
        </w:rPr>
        <w:t xml:space="preserve"> </w:t>
      </w:r>
      <w:r>
        <w:rPr>
          <w:rFonts w:ascii="Verdana" w:hAnsi="Verdana"/>
          <w:sz w:val="16"/>
          <w:szCs w:val="16"/>
        </w:rPr>
        <w:t xml:space="preserve">proces </w:t>
      </w:r>
      <w:r w:rsidRPr="00383392">
        <w:rPr>
          <w:rFonts w:ascii="Verdana" w:hAnsi="Verdana"/>
          <w:sz w:val="16"/>
          <w:szCs w:val="16"/>
        </w:rPr>
        <w:t>plan</w:t>
      </w:r>
      <w:r>
        <w:rPr>
          <w:rFonts w:ascii="Verdana" w:hAnsi="Verdana"/>
          <w:sz w:val="16"/>
          <w:szCs w:val="16"/>
        </w:rPr>
        <w:t>owania</w:t>
      </w:r>
      <w:r w:rsidRPr="00383392">
        <w:rPr>
          <w:rFonts w:ascii="Verdana" w:hAnsi="Verdana"/>
          <w:sz w:val="16"/>
          <w:szCs w:val="16"/>
        </w:rPr>
        <w:t xml:space="preserve"> dochodów i wydatków </w:t>
      </w:r>
      <w:r>
        <w:rPr>
          <w:rFonts w:ascii="Verdana" w:hAnsi="Verdana"/>
          <w:sz w:val="16"/>
          <w:szCs w:val="16"/>
        </w:rPr>
        <w:t>w dłuższym horyzoncie czasowym i powodują</w:t>
      </w:r>
      <w:r w:rsidRPr="00383392">
        <w:rPr>
          <w:rFonts w:ascii="Verdana" w:hAnsi="Verdana"/>
          <w:sz w:val="16"/>
          <w:szCs w:val="16"/>
        </w:rPr>
        <w:t xml:space="preserve"> </w:t>
      </w:r>
      <w:r>
        <w:rPr>
          <w:rFonts w:ascii="Verdana" w:hAnsi="Verdana"/>
          <w:sz w:val="16"/>
          <w:szCs w:val="16"/>
        </w:rPr>
        <w:t xml:space="preserve">konieczność uwzględnienia w Wieloletniej Prognozie Finansowej (WPF) i </w:t>
      </w:r>
      <w:r w:rsidRPr="00383392">
        <w:rPr>
          <w:rFonts w:ascii="Verdana" w:hAnsi="Verdana"/>
          <w:sz w:val="16"/>
          <w:szCs w:val="16"/>
        </w:rPr>
        <w:t xml:space="preserve">w polityce długu </w:t>
      </w:r>
      <w:r>
        <w:rPr>
          <w:rFonts w:ascii="Verdana" w:hAnsi="Verdana"/>
          <w:sz w:val="16"/>
          <w:szCs w:val="16"/>
        </w:rPr>
        <w:t>nowych zdarzeń</w:t>
      </w:r>
      <w:r w:rsidRPr="00383392">
        <w:rPr>
          <w:rFonts w:ascii="Verdana" w:hAnsi="Verdana"/>
          <w:sz w:val="16"/>
          <w:szCs w:val="16"/>
        </w:rPr>
        <w:t xml:space="preserve"> o istotnych skutkach finansowych (</w:t>
      </w:r>
      <w:r>
        <w:rPr>
          <w:rFonts w:ascii="Verdana" w:hAnsi="Verdana"/>
          <w:sz w:val="16"/>
          <w:szCs w:val="16"/>
        </w:rPr>
        <w:t xml:space="preserve">znaczący ubytek </w:t>
      </w:r>
      <w:r w:rsidRPr="00383392">
        <w:rPr>
          <w:rFonts w:ascii="Verdana" w:hAnsi="Verdana"/>
          <w:sz w:val="16"/>
          <w:szCs w:val="16"/>
        </w:rPr>
        <w:t xml:space="preserve">dochodów, </w:t>
      </w:r>
      <w:r>
        <w:rPr>
          <w:rFonts w:ascii="Verdana" w:hAnsi="Verdana"/>
          <w:sz w:val="16"/>
          <w:szCs w:val="16"/>
        </w:rPr>
        <w:t xml:space="preserve"> wyższe ceny energii, opóźnienia i wyższe koszty inwestycji, wyższe koszty nowego finansowania zwrotnego oraz obsługi zobowiązań opartych o zmienną stopę procentową wynikające z wyższych stóp procentowych na rynkach finansowych, wydatki związane z pomocą uchodźcom </w:t>
      </w:r>
      <w:r>
        <w:rPr>
          <w:rFonts w:ascii="Verdana" w:hAnsi="Verdana"/>
          <w:sz w:val="16"/>
          <w:szCs w:val="16"/>
        </w:rPr>
        <w:br/>
        <w:t>z Ukrainy</w:t>
      </w:r>
      <w:r w:rsidRPr="00383392">
        <w:rPr>
          <w:rFonts w:ascii="Verdana" w:hAnsi="Verdana"/>
          <w:sz w:val="16"/>
          <w:szCs w:val="16"/>
        </w:rPr>
        <w:t>).</w:t>
      </w:r>
      <w:r>
        <w:rPr>
          <w:rFonts w:ascii="Verdana" w:hAnsi="Verdana"/>
          <w:sz w:val="16"/>
          <w:szCs w:val="16"/>
        </w:rPr>
        <w:t xml:space="preserve"> </w:t>
      </w:r>
    </w:p>
    <w:p w:rsidR="004E65B0" w:rsidRDefault="004E65B0" w:rsidP="004E65B0">
      <w:pPr>
        <w:spacing w:before="120"/>
        <w:jc w:val="both"/>
        <w:rPr>
          <w:rFonts w:ascii="Verdana" w:hAnsi="Verdana"/>
          <w:sz w:val="16"/>
          <w:szCs w:val="16"/>
        </w:rPr>
      </w:pPr>
      <w:r>
        <w:rPr>
          <w:rFonts w:ascii="Verdana" w:hAnsi="Verdana"/>
          <w:sz w:val="16"/>
          <w:szCs w:val="16"/>
        </w:rPr>
        <w:t xml:space="preserve">W przypadku Warszawy elementem kluczowym są zmiany regulacyjne w zakresie dochodów JST, głównie dotyczące podatku PIT. Realizacja budżetu w latach 2022-23 r. wskazuje, że po uwzględnieniu otrzymanych </w:t>
      </w:r>
      <w:r>
        <w:rPr>
          <w:rFonts w:ascii="Verdana" w:hAnsi="Verdana"/>
          <w:sz w:val="16"/>
          <w:szCs w:val="16"/>
        </w:rPr>
        <w:br/>
        <w:t xml:space="preserve">z budżetu państwa rekompensat łączne </w:t>
      </w:r>
      <w:r w:rsidRPr="002130F2">
        <w:rPr>
          <w:rFonts w:ascii="Verdana" w:hAnsi="Verdana"/>
          <w:sz w:val="16"/>
          <w:szCs w:val="16"/>
        </w:rPr>
        <w:t>dochody z PIT są niższe o około 3,</w:t>
      </w:r>
      <w:r>
        <w:rPr>
          <w:rFonts w:ascii="Verdana" w:hAnsi="Verdana"/>
          <w:sz w:val="16"/>
          <w:szCs w:val="16"/>
        </w:rPr>
        <w:t>6</w:t>
      </w:r>
      <w:r w:rsidRPr="002130F2">
        <w:rPr>
          <w:rFonts w:ascii="Verdana" w:hAnsi="Verdana"/>
          <w:sz w:val="16"/>
          <w:szCs w:val="16"/>
        </w:rPr>
        <w:t xml:space="preserve"> mld zł przy dochodach Miasta ze </w:t>
      </w:r>
      <w:r w:rsidRPr="002130F2">
        <w:rPr>
          <w:rFonts w:ascii="Verdana" w:hAnsi="Verdana"/>
          <w:sz w:val="16"/>
          <w:szCs w:val="16"/>
        </w:rPr>
        <w:lastRenderedPageBreak/>
        <w:t>wszystkich źródeł na poziomie 21 mld zł</w:t>
      </w:r>
      <w:r>
        <w:rPr>
          <w:rFonts w:ascii="Verdana" w:hAnsi="Verdana"/>
          <w:sz w:val="16"/>
          <w:szCs w:val="16"/>
        </w:rPr>
        <w:t xml:space="preserve"> rocznie</w:t>
      </w:r>
      <w:r w:rsidRPr="002130F2">
        <w:rPr>
          <w:rFonts w:ascii="Verdana" w:hAnsi="Verdana"/>
          <w:sz w:val="16"/>
          <w:szCs w:val="16"/>
        </w:rPr>
        <w:t xml:space="preserve">. W celu utrzymania realizacji programu inwestycyjnego, przy tak dużym ubytku dochodów, niezbędne jest  znaczne zwiększenie finansowania zwrotnego, pomimo tego że odbywać się ono będzie w warunkach wysokich stóp procentowych. </w:t>
      </w:r>
    </w:p>
    <w:p w:rsidR="004E65B0" w:rsidRPr="00383392" w:rsidRDefault="004E65B0" w:rsidP="004E65B0">
      <w:pPr>
        <w:spacing w:before="240" w:line="312" w:lineRule="auto"/>
        <w:rPr>
          <w:rFonts w:ascii="Verdana" w:hAnsi="Verdana"/>
          <w:b/>
        </w:rPr>
      </w:pPr>
      <w:bookmarkStart w:id="5" w:name="bookmark1"/>
      <w:r>
        <w:rPr>
          <w:rFonts w:ascii="Verdana" w:hAnsi="Verdana"/>
          <w:b/>
          <w:bCs/>
        </w:rPr>
        <w:t>3. Poziom zadłużenia</w:t>
      </w:r>
      <w:r w:rsidRPr="00383392">
        <w:rPr>
          <w:rFonts w:ascii="Verdana" w:hAnsi="Verdana"/>
          <w:b/>
        </w:rPr>
        <w:t xml:space="preserve"> Miasta oraz realizacja celów polityki długu </w:t>
      </w:r>
      <w:r>
        <w:rPr>
          <w:rFonts w:ascii="Verdana" w:hAnsi="Verdana"/>
          <w:b/>
        </w:rPr>
        <w:br/>
        <w:t xml:space="preserve">    </w:t>
      </w:r>
      <w:r w:rsidRPr="00383392">
        <w:rPr>
          <w:rFonts w:ascii="Verdana" w:hAnsi="Verdana"/>
          <w:b/>
        </w:rPr>
        <w:t>wyznaczonych na 202</w:t>
      </w:r>
      <w:r>
        <w:rPr>
          <w:rFonts w:ascii="Verdana" w:hAnsi="Verdana"/>
          <w:b/>
        </w:rPr>
        <w:t>3</w:t>
      </w:r>
      <w:r w:rsidRPr="00383392">
        <w:rPr>
          <w:rFonts w:ascii="Verdana" w:hAnsi="Verdana"/>
          <w:b/>
        </w:rPr>
        <w:t xml:space="preserve"> r</w:t>
      </w:r>
      <w:r>
        <w:rPr>
          <w:rFonts w:ascii="Verdana" w:hAnsi="Verdana"/>
          <w:b/>
        </w:rPr>
        <w:t>.</w:t>
      </w:r>
      <w:bookmarkEnd w:id="5"/>
    </w:p>
    <w:p w:rsidR="004E65B0" w:rsidRPr="00EE37CE" w:rsidRDefault="004E65B0" w:rsidP="004E65B0">
      <w:pPr>
        <w:spacing w:before="240"/>
        <w:jc w:val="both"/>
        <w:rPr>
          <w:rFonts w:ascii="Verdana" w:hAnsi="Verdana"/>
          <w:sz w:val="16"/>
          <w:szCs w:val="16"/>
        </w:rPr>
      </w:pPr>
      <w:r w:rsidRPr="00EE37CE">
        <w:rPr>
          <w:rFonts w:ascii="Verdana" w:hAnsi="Verdana"/>
          <w:sz w:val="16"/>
          <w:szCs w:val="16"/>
        </w:rPr>
        <w:t>Od 2015 r</w:t>
      </w:r>
      <w:r>
        <w:rPr>
          <w:rFonts w:ascii="Verdana" w:hAnsi="Verdana"/>
          <w:sz w:val="16"/>
          <w:szCs w:val="16"/>
        </w:rPr>
        <w:t>.</w:t>
      </w:r>
      <w:r w:rsidRPr="00EE37CE">
        <w:rPr>
          <w:rFonts w:ascii="Verdana" w:hAnsi="Verdana"/>
          <w:sz w:val="16"/>
          <w:szCs w:val="16"/>
        </w:rPr>
        <w:t xml:space="preserve"> do połowy roku 2020, nie były zaciągane nowe zobowiązania dłużne przy jednoczesnej spłacie części zadłużenia. W efekcie, w latach 2015-2019 poziom długu m.st. Warszawy systematycznie malał zarówno w ujęciu kwotowym jak i w relacji do dochodów. Spadek zadłużenia wynikał ze zdolności Miasta do generowania  nadwyżek, pozwalających na finansowanie programu inwestycji oraz spłaty zobowiązań. W 2020 r</w:t>
      </w:r>
      <w:r>
        <w:rPr>
          <w:rFonts w:ascii="Verdana" w:hAnsi="Verdana"/>
          <w:sz w:val="16"/>
          <w:szCs w:val="16"/>
        </w:rPr>
        <w:t>.</w:t>
      </w:r>
      <w:r w:rsidRPr="00EE37CE">
        <w:rPr>
          <w:rFonts w:ascii="Verdana" w:hAnsi="Verdana"/>
          <w:sz w:val="16"/>
          <w:szCs w:val="16"/>
        </w:rPr>
        <w:t xml:space="preserve"> Miasto wyemitowało 2</w:t>
      </w:r>
      <w:r>
        <w:rPr>
          <w:rFonts w:ascii="Verdana" w:hAnsi="Verdana"/>
          <w:sz w:val="16"/>
          <w:szCs w:val="16"/>
        </w:rPr>
        <w:t> </w:t>
      </w:r>
      <w:r w:rsidRPr="00EE37CE">
        <w:rPr>
          <w:rFonts w:ascii="Verdana" w:hAnsi="Verdana"/>
          <w:sz w:val="16"/>
          <w:szCs w:val="16"/>
        </w:rPr>
        <w:t>serie obligacji o łącznej wartości 400 mln zł oraz zaciągnęło kredyty i pożyczki o wartości 1.944 mln zł. W</w:t>
      </w:r>
      <w:r>
        <w:rPr>
          <w:rFonts w:ascii="Verdana" w:hAnsi="Verdana"/>
          <w:sz w:val="16"/>
          <w:szCs w:val="16"/>
        </w:rPr>
        <w:t> </w:t>
      </w:r>
      <w:r w:rsidRPr="00EE37CE">
        <w:rPr>
          <w:rFonts w:ascii="Verdana" w:hAnsi="Verdana"/>
          <w:sz w:val="16"/>
          <w:szCs w:val="16"/>
        </w:rPr>
        <w:t>2021 r. Miasto pozyskało 547,2 mln zł w ramach kredytów z międzynarodowych instytucji finansowych oraz 14,1 mln zł preferencyjnych pożyczek z Mazowieckiego Regionalnego Funduszu Pożyczkowego oraz Narodowego Funduszu Ochrony Środowiska i Gospodarki Wodnej. W</w:t>
      </w:r>
      <w:r>
        <w:rPr>
          <w:rFonts w:ascii="Verdana" w:hAnsi="Verdana"/>
          <w:sz w:val="16"/>
          <w:szCs w:val="16"/>
        </w:rPr>
        <w:t> </w:t>
      </w:r>
      <w:r w:rsidRPr="00EE37CE">
        <w:rPr>
          <w:rFonts w:ascii="Verdana" w:hAnsi="Verdana"/>
          <w:sz w:val="16"/>
          <w:szCs w:val="16"/>
        </w:rPr>
        <w:t xml:space="preserve"> 2022 r. Miasto </w:t>
      </w:r>
      <w:r>
        <w:rPr>
          <w:rFonts w:ascii="Verdana" w:hAnsi="Verdana"/>
          <w:sz w:val="16"/>
          <w:szCs w:val="16"/>
        </w:rPr>
        <w:t xml:space="preserve">przesunęło na 2023 r. </w:t>
      </w:r>
      <w:r w:rsidRPr="00EE37CE">
        <w:rPr>
          <w:rFonts w:ascii="Verdana" w:hAnsi="Verdana"/>
          <w:sz w:val="16"/>
          <w:szCs w:val="16"/>
        </w:rPr>
        <w:t>zaciągn</w:t>
      </w:r>
      <w:r>
        <w:rPr>
          <w:rFonts w:ascii="Verdana" w:hAnsi="Verdana"/>
          <w:sz w:val="16"/>
          <w:szCs w:val="16"/>
        </w:rPr>
        <w:t xml:space="preserve">ięcie </w:t>
      </w:r>
      <w:r w:rsidRPr="00EE37CE">
        <w:rPr>
          <w:rFonts w:ascii="Verdana" w:hAnsi="Verdana"/>
          <w:sz w:val="16"/>
          <w:szCs w:val="16"/>
        </w:rPr>
        <w:t>nowych zobowiązań</w:t>
      </w:r>
      <w:r>
        <w:rPr>
          <w:rFonts w:ascii="Verdana" w:hAnsi="Verdana"/>
          <w:sz w:val="16"/>
          <w:szCs w:val="16"/>
        </w:rPr>
        <w:t>,</w:t>
      </w:r>
      <w:r w:rsidRPr="00EE37CE">
        <w:rPr>
          <w:rFonts w:ascii="Verdana" w:hAnsi="Verdana"/>
          <w:sz w:val="16"/>
          <w:szCs w:val="16"/>
        </w:rPr>
        <w:t xml:space="preserve"> m.in. z uwagi na </w:t>
      </w:r>
      <w:r>
        <w:rPr>
          <w:rFonts w:ascii="Verdana" w:hAnsi="Verdana"/>
          <w:sz w:val="16"/>
          <w:szCs w:val="16"/>
        </w:rPr>
        <w:t xml:space="preserve">wyższy poziom środków przechodzących z 2021 r., planowany na koniec 2022 r. napływ środków z subwencji rozwojowej (zmniejszającym dochody Miasta w 2023 r.), przesunięcie części projektów inwestycyjnych </w:t>
      </w:r>
      <w:r w:rsidRPr="00EE37CE">
        <w:rPr>
          <w:rFonts w:ascii="Verdana" w:hAnsi="Verdana"/>
          <w:sz w:val="16"/>
          <w:szCs w:val="16"/>
        </w:rPr>
        <w:t xml:space="preserve">oraz </w:t>
      </w:r>
      <w:r>
        <w:rPr>
          <w:rFonts w:ascii="Verdana" w:hAnsi="Verdana"/>
          <w:sz w:val="16"/>
          <w:szCs w:val="16"/>
        </w:rPr>
        <w:t xml:space="preserve">uwarunkowania rynkowe (skokowy wzrost </w:t>
      </w:r>
      <w:r w:rsidRPr="00EE37CE">
        <w:rPr>
          <w:rFonts w:ascii="Verdana" w:hAnsi="Verdana"/>
          <w:sz w:val="16"/>
          <w:szCs w:val="16"/>
        </w:rPr>
        <w:t>kosztów finansowania zwrotnego</w:t>
      </w:r>
      <w:r>
        <w:rPr>
          <w:rFonts w:ascii="Verdana" w:hAnsi="Verdana"/>
          <w:sz w:val="16"/>
          <w:szCs w:val="16"/>
        </w:rPr>
        <w:t>)</w:t>
      </w:r>
      <w:r w:rsidRPr="00EE37CE">
        <w:rPr>
          <w:rFonts w:ascii="Verdana" w:hAnsi="Verdana"/>
          <w:sz w:val="16"/>
          <w:szCs w:val="16"/>
        </w:rPr>
        <w:t xml:space="preserve">. </w:t>
      </w:r>
      <w:r>
        <w:rPr>
          <w:rFonts w:ascii="Verdana" w:hAnsi="Verdana"/>
          <w:sz w:val="16"/>
          <w:szCs w:val="16"/>
        </w:rPr>
        <w:br/>
        <w:t xml:space="preserve">Z uwagi na przesunięcia w czasie części wydatków majątkowych Miasto nie generowało nowych zobowiązań dłużnych w okresie styczeń 2022 r. - październik 2023 r. W listopadzie 2023 r. Miasto pozyskało 384 mln zł </w:t>
      </w:r>
      <w:r>
        <w:rPr>
          <w:rFonts w:ascii="Verdana" w:hAnsi="Verdana"/>
          <w:sz w:val="16"/>
          <w:szCs w:val="16"/>
        </w:rPr>
        <w:br/>
        <w:t xml:space="preserve">w ramach kredytu z Europejskiego Banku Inwestycyjnego (EBI). </w:t>
      </w:r>
    </w:p>
    <w:p w:rsidR="004E65B0" w:rsidRDefault="004E65B0" w:rsidP="004E65B0">
      <w:pPr>
        <w:spacing w:before="120" w:after="120"/>
        <w:jc w:val="both"/>
        <w:rPr>
          <w:rFonts w:ascii="Verdana" w:hAnsi="Verdana"/>
          <w:b/>
          <w:sz w:val="14"/>
          <w:szCs w:val="14"/>
        </w:rPr>
      </w:pPr>
      <w:r w:rsidRPr="00383392">
        <w:rPr>
          <w:rFonts w:ascii="Verdana" w:hAnsi="Verdana"/>
          <w:b/>
          <w:sz w:val="14"/>
          <w:szCs w:val="14"/>
        </w:rPr>
        <w:t xml:space="preserve">WYK. </w:t>
      </w:r>
      <w:r w:rsidRPr="00712609">
        <w:rPr>
          <w:rFonts w:ascii="Verdana" w:hAnsi="Verdana"/>
          <w:b/>
          <w:sz w:val="14"/>
          <w:szCs w:val="14"/>
        </w:rPr>
        <w:t>1</w:t>
      </w:r>
      <w:r w:rsidRPr="00712609">
        <w:rPr>
          <w:rFonts w:ascii="Verdana" w:hAnsi="Verdana"/>
          <w:sz w:val="14"/>
          <w:szCs w:val="14"/>
        </w:rPr>
        <w:t xml:space="preserve"> </w:t>
      </w:r>
      <w:r w:rsidRPr="00712609">
        <w:rPr>
          <w:rFonts w:ascii="Verdana" w:hAnsi="Verdana"/>
          <w:b/>
          <w:sz w:val="14"/>
          <w:szCs w:val="14"/>
        </w:rPr>
        <w:t>POZIOM ZADŁUŻENIA M.ST. WARSZAWY W LATACH 2012-2022, NA KONIEC III KWARTAŁU ORAZ PROGNOZA NA 2023 r.</w:t>
      </w:r>
      <w:r>
        <w:rPr>
          <w:rFonts w:ascii="Verdana" w:hAnsi="Verdana"/>
          <w:b/>
          <w:sz w:val="14"/>
          <w:szCs w:val="14"/>
        </w:rPr>
        <w:t xml:space="preserve"> </w:t>
      </w:r>
    </w:p>
    <w:p w:rsidR="004E65B0" w:rsidRPr="00383392" w:rsidRDefault="004E65B0" w:rsidP="004E65B0">
      <w:pPr>
        <w:jc w:val="both"/>
        <w:rPr>
          <w:rFonts w:ascii="Verdana" w:hAnsi="Verdana"/>
          <w:b/>
          <w:sz w:val="18"/>
          <w:szCs w:val="18"/>
        </w:rPr>
      </w:pPr>
      <w:r>
        <w:rPr>
          <w:noProof/>
        </w:rPr>
        <w:drawing>
          <wp:inline distT="0" distB="0" distL="0" distR="0" wp14:anchorId="36E89E6C" wp14:editId="15125F57">
            <wp:extent cx="5859780" cy="2286000"/>
            <wp:effectExtent l="0" t="0" r="7620" b="0"/>
            <wp:docPr id="3" name="Wykres 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E8571D">
        <w:rPr>
          <w:noProof/>
        </w:rPr>
        <w:t xml:space="preserve"> </w:t>
      </w:r>
    </w:p>
    <w:p w:rsidR="004E65B0" w:rsidRDefault="004E65B0" w:rsidP="004E65B0">
      <w:pPr>
        <w:jc w:val="both"/>
        <w:rPr>
          <w:rFonts w:ascii="Verdana" w:hAnsi="Verdana"/>
          <w:sz w:val="16"/>
          <w:szCs w:val="16"/>
        </w:rPr>
      </w:pPr>
      <w:r w:rsidRPr="00383392">
        <w:rPr>
          <w:rFonts w:ascii="Verdana" w:hAnsi="Verdana"/>
          <w:sz w:val="16"/>
          <w:szCs w:val="16"/>
        </w:rPr>
        <w:t xml:space="preserve">Dług m.st. Warszawy na koniec </w:t>
      </w:r>
      <w:r>
        <w:rPr>
          <w:rFonts w:ascii="Verdana" w:hAnsi="Verdana"/>
          <w:sz w:val="16"/>
          <w:szCs w:val="16"/>
        </w:rPr>
        <w:t>września</w:t>
      </w:r>
      <w:r w:rsidRPr="00383392">
        <w:rPr>
          <w:rFonts w:ascii="Verdana" w:hAnsi="Verdana"/>
          <w:sz w:val="16"/>
          <w:szCs w:val="16"/>
        </w:rPr>
        <w:t xml:space="preserve"> 202</w:t>
      </w:r>
      <w:r>
        <w:rPr>
          <w:rFonts w:ascii="Verdana" w:hAnsi="Verdana"/>
          <w:sz w:val="16"/>
          <w:szCs w:val="16"/>
        </w:rPr>
        <w:t>3</w:t>
      </w:r>
      <w:r w:rsidRPr="00383392">
        <w:rPr>
          <w:rFonts w:ascii="Verdana" w:hAnsi="Verdana"/>
          <w:sz w:val="16"/>
          <w:szCs w:val="16"/>
        </w:rPr>
        <w:t xml:space="preserve"> r. wyniósł </w:t>
      </w:r>
      <w:r w:rsidRPr="003A5369">
        <w:rPr>
          <w:rFonts w:ascii="Verdana" w:hAnsi="Verdana"/>
          <w:sz w:val="16"/>
          <w:szCs w:val="16"/>
        </w:rPr>
        <w:t>5</w:t>
      </w:r>
      <w:r>
        <w:rPr>
          <w:rFonts w:ascii="Verdana" w:hAnsi="Verdana"/>
          <w:sz w:val="16"/>
          <w:szCs w:val="16"/>
        </w:rPr>
        <w:t>.</w:t>
      </w:r>
      <w:r w:rsidRPr="003A5369">
        <w:rPr>
          <w:rFonts w:ascii="Verdana" w:hAnsi="Verdana"/>
          <w:sz w:val="16"/>
          <w:szCs w:val="16"/>
        </w:rPr>
        <w:t>131</w:t>
      </w:r>
      <w:r>
        <w:rPr>
          <w:rFonts w:ascii="Verdana" w:hAnsi="Verdana"/>
          <w:sz w:val="16"/>
          <w:szCs w:val="16"/>
        </w:rPr>
        <w:t>,1</w:t>
      </w:r>
      <w:r w:rsidRPr="00383392">
        <w:rPr>
          <w:rFonts w:ascii="Verdana" w:hAnsi="Verdana"/>
          <w:color w:val="000000" w:themeColor="text1"/>
          <w:sz w:val="16"/>
          <w:szCs w:val="16"/>
        </w:rPr>
        <w:t xml:space="preserve"> </w:t>
      </w:r>
      <w:r w:rsidRPr="00383392">
        <w:rPr>
          <w:rFonts w:ascii="Verdana" w:hAnsi="Verdana"/>
          <w:sz w:val="16"/>
          <w:szCs w:val="16"/>
        </w:rPr>
        <w:t>mln zł i stanowił</w:t>
      </w:r>
      <w:r>
        <w:rPr>
          <w:rFonts w:ascii="Verdana" w:hAnsi="Verdana"/>
          <w:sz w:val="16"/>
          <w:szCs w:val="16"/>
        </w:rPr>
        <w:t xml:space="preserve"> </w:t>
      </w:r>
      <w:r w:rsidRPr="00EE37CE">
        <w:rPr>
          <w:rFonts w:ascii="Verdana" w:hAnsi="Verdana"/>
          <w:sz w:val="16"/>
          <w:szCs w:val="16"/>
        </w:rPr>
        <w:t>2</w:t>
      </w:r>
      <w:r>
        <w:rPr>
          <w:rFonts w:ascii="Verdana" w:hAnsi="Verdana"/>
          <w:sz w:val="16"/>
          <w:szCs w:val="16"/>
        </w:rPr>
        <w:t>4</w:t>
      </w:r>
      <w:r w:rsidRPr="00EE37CE">
        <w:rPr>
          <w:rFonts w:ascii="Verdana" w:hAnsi="Verdana"/>
          <w:sz w:val="16"/>
          <w:szCs w:val="16"/>
        </w:rPr>
        <w:t>,</w:t>
      </w:r>
      <w:r>
        <w:rPr>
          <w:rFonts w:ascii="Verdana" w:hAnsi="Verdana"/>
          <w:sz w:val="16"/>
          <w:szCs w:val="16"/>
        </w:rPr>
        <w:t>6</w:t>
      </w:r>
      <w:r w:rsidRPr="00EE37CE">
        <w:rPr>
          <w:rFonts w:ascii="Verdana" w:hAnsi="Verdana"/>
          <w:sz w:val="16"/>
          <w:szCs w:val="16"/>
        </w:rPr>
        <w:t>%</w:t>
      </w:r>
      <w:r w:rsidRPr="00383392">
        <w:rPr>
          <w:rFonts w:ascii="Verdana" w:hAnsi="Verdana"/>
          <w:sz w:val="16"/>
          <w:szCs w:val="16"/>
        </w:rPr>
        <w:t xml:space="preserve"> planowanych na rok 202</w:t>
      </w:r>
      <w:r>
        <w:rPr>
          <w:rFonts w:ascii="Verdana" w:hAnsi="Verdana"/>
          <w:sz w:val="16"/>
          <w:szCs w:val="16"/>
        </w:rPr>
        <w:t>3</w:t>
      </w:r>
      <w:r w:rsidRPr="00383392">
        <w:rPr>
          <w:rFonts w:ascii="Verdana" w:hAnsi="Verdana"/>
          <w:sz w:val="16"/>
          <w:szCs w:val="16"/>
        </w:rPr>
        <w:t xml:space="preserve"> dochodów ogółem. </w:t>
      </w:r>
      <w:r>
        <w:rPr>
          <w:rFonts w:ascii="Verdana" w:hAnsi="Verdana"/>
          <w:sz w:val="16"/>
          <w:szCs w:val="16"/>
        </w:rPr>
        <w:br w:type="page"/>
      </w:r>
    </w:p>
    <w:p w:rsidR="004E65B0" w:rsidRPr="00383392" w:rsidRDefault="004E65B0" w:rsidP="004E65B0">
      <w:pPr>
        <w:spacing w:before="240" w:after="120"/>
        <w:jc w:val="both"/>
        <w:rPr>
          <w:rFonts w:ascii="Verdana" w:hAnsi="Verdana"/>
          <w:b/>
          <w:sz w:val="18"/>
          <w:szCs w:val="18"/>
        </w:rPr>
      </w:pPr>
      <w:bookmarkStart w:id="6" w:name="bookmark2"/>
      <w:r w:rsidRPr="00383392">
        <w:rPr>
          <w:rFonts w:ascii="Verdana" w:hAnsi="Verdana"/>
          <w:b/>
          <w:sz w:val="18"/>
          <w:szCs w:val="18"/>
        </w:rPr>
        <w:lastRenderedPageBreak/>
        <w:t xml:space="preserve">Realizacja celów polityki długu (stan na </w:t>
      </w:r>
      <w:r w:rsidRPr="0056115D">
        <w:rPr>
          <w:rFonts w:ascii="Verdana" w:hAnsi="Verdana"/>
          <w:b/>
          <w:sz w:val="18"/>
          <w:szCs w:val="18"/>
        </w:rPr>
        <w:t>30.0</w:t>
      </w:r>
      <w:r>
        <w:rPr>
          <w:rFonts w:ascii="Verdana" w:hAnsi="Verdana"/>
          <w:b/>
          <w:sz w:val="18"/>
          <w:szCs w:val="18"/>
        </w:rPr>
        <w:t>9</w:t>
      </w:r>
      <w:r w:rsidRPr="0056115D">
        <w:rPr>
          <w:rFonts w:ascii="Verdana" w:hAnsi="Verdana"/>
          <w:b/>
          <w:sz w:val="18"/>
          <w:szCs w:val="18"/>
        </w:rPr>
        <w:t>.202</w:t>
      </w:r>
      <w:r>
        <w:rPr>
          <w:rFonts w:ascii="Verdana" w:hAnsi="Verdana"/>
          <w:b/>
          <w:sz w:val="18"/>
          <w:szCs w:val="18"/>
        </w:rPr>
        <w:t>3</w:t>
      </w:r>
      <w:bookmarkEnd w:id="6"/>
      <w:r w:rsidRPr="0056115D">
        <w:rPr>
          <w:rFonts w:ascii="Verdana" w:hAnsi="Verdana"/>
          <w:b/>
          <w:sz w:val="18"/>
          <w:szCs w:val="18"/>
        </w:rPr>
        <w:t xml:space="preserve"> r.</w:t>
      </w:r>
      <w:r w:rsidRPr="00C444D6">
        <w:rPr>
          <w:rFonts w:ascii="Verdana" w:hAnsi="Verdana"/>
          <w:b/>
          <w:sz w:val="18"/>
          <w:szCs w:val="18"/>
        </w:rPr>
        <w:t>)</w:t>
      </w:r>
    </w:p>
    <w:p w:rsidR="004E65B0" w:rsidRDefault="004E65B0" w:rsidP="004E65B0">
      <w:pPr>
        <w:jc w:val="both"/>
        <w:rPr>
          <w:rFonts w:ascii="Verdana" w:hAnsi="Verdana"/>
          <w:sz w:val="16"/>
          <w:szCs w:val="16"/>
        </w:rPr>
      </w:pPr>
      <w:r>
        <w:rPr>
          <w:rFonts w:ascii="Verdana" w:hAnsi="Verdana"/>
          <w:sz w:val="16"/>
          <w:szCs w:val="16"/>
        </w:rPr>
        <w:t>Struktura zobowiązań zapewnia realizację celów polityki długu, które prezentowane są w tabeli 1</w:t>
      </w:r>
    </w:p>
    <w:p w:rsidR="004E65B0" w:rsidRPr="00383392" w:rsidRDefault="004E65B0" w:rsidP="004E65B0">
      <w:pPr>
        <w:spacing w:before="120"/>
        <w:jc w:val="both"/>
        <w:rPr>
          <w:rFonts w:ascii="Verdana" w:hAnsi="Verdana" w:cs="Arial"/>
          <w:b/>
          <w:color w:val="000000"/>
          <w:sz w:val="14"/>
          <w:szCs w:val="14"/>
        </w:rPr>
      </w:pPr>
      <w:r w:rsidRPr="00383392">
        <w:rPr>
          <w:rFonts w:ascii="Verdana" w:hAnsi="Verdana" w:cs="Arial"/>
          <w:b/>
          <w:color w:val="000000"/>
          <w:sz w:val="14"/>
          <w:szCs w:val="14"/>
        </w:rPr>
        <w:t xml:space="preserve">TAB. 1 CELE POLITYKI DŁUGU </w:t>
      </w:r>
      <w:r w:rsidRPr="00383392">
        <w:rPr>
          <w:rFonts w:ascii="Verdana" w:hAnsi="Verdana"/>
          <w:b/>
          <w:sz w:val="14"/>
          <w:szCs w:val="14"/>
        </w:rPr>
        <w:t>M.ST. WARSZAWY</w:t>
      </w:r>
      <w:r w:rsidRPr="00383392">
        <w:rPr>
          <w:rFonts w:ascii="Verdana" w:hAnsi="Verdana" w:cs="Arial"/>
          <w:b/>
          <w:color w:val="000000"/>
          <w:sz w:val="14"/>
          <w:szCs w:val="14"/>
        </w:rPr>
        <w:t xml:space="preserve"> I POZIOM ICH REALIZACJI</w:t>
      </w:r>
    </w:p>
    <w:tbl>
      <w:tblPr>
        <w:tblW w:w="9032" w:type="dxa"/>
        <w:tblCellMar>
          <w:left w:w="70" w:type="dxa"/>
          <w:right w:w="70" w:type="dxa"/>
        </w:tblCellMar>
        <w:tblLook w:val="04A0" w:firstRow="1" w:lastRow="0" w:firstColumn="1" w:lastColumn="0" w:noHBand="0" w:noVBand="1"/>
      </w:tblPr>
      <w:tblGrid>
        <w:gridCol w:w="2149"/>
        <w:gridCol w:w="2026"/>
        <w:gridCol w:w="3191"/>
        <w:gridCol w:w="1666"/>
      </w:tblGrid>
      <w:tr w:rsidR="004E65B0" w:rsidRPr="00383392" w:rsidTr="008665B4">
        <w:trPr>
          <w:trHeight w:val="259"/>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Cele</w:t>
            </w:r>
          </w:p>
        </w:tc>
        <w:tc>
          <w:tcPr>
            <w:tcW w:w="1666" w:type="dxa"/>
            <w:tcBorders>
              <w:top w:val="single" w:sz="4" w:space="0" w:color="auto"/>
              <w:left w:val="nil"/>
              <w:bottom w:val="nil"/>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Realizacja na.</w:t>
            </w:r>
          </w:p>
        </w:tc>
      </w:tr>
      <w:tr w:rsidR="004E65B0" w:rsidRPr="00383392" w:rsidTr="008665B4">
        <w:trPr>
          <w:trHeight w:val="259"/>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c>
          <w:tcPr>
            <w:tcW w:w="1666" w:type="dxa"/>
            <w:tcBorders>
              <w:top w:val="nil"/>
              <w:left w:val="nil"/>
              <w:bottom w:val="single" w:sz="4" w:space="0" w:color="auto"/>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.202</w:t>
            </w:r>
            <w:r>
              <w:rPr>
                <w:rFonts w:ascii="Verdana" w:hAnsi="Verdana" w:cs="Calibri"/>
                <w:b/>
                <w:bCs/>
                <w:color w:val="000000"/>
                <w:sz w:val="16"/>
                <w:szCs w:val="16"/>
              </w:rPr>
              <w:t>3</w:t>
            </w:r>
            <w:r w:rsidRPr="00383392">
              <w:rPr>
                <w:rFonts w:ascii="Verdana" w:hAnsi="Verdana" w:cs="Calibri"/>
                <w:b/>
                <w:bCs/>
                <w:color w:val="000000"/>
                <w:sz w:val="16"/>
                <w:szCs w:val="16"/>
              </w:rPr>
              <w:t xml:space="preserve"> r.</w:t>
            </w:r>
          </w:p>
        </w:tc>
      </w:tr>
      <w:tr w:rsidR="004E65B0" w:rsidRPr="00383392" w:rsidTr="008665B4">
        <w:trPr>
          <w:trHeight w:val="363"/>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Oprocentowanie:</w:t>
            </w:r>
          </w:p>
        </w:tc>
        <w:tc>
          <w:tcPr>
            <w:tcW w:w="3191" w:type="dxa"/>
            <w:tcBorders>
              <w:top w:val="nil"/>
              <w:left w:val="nil"/>
              <w:bottom w:val="single" w:sz="4" w:space="0" w:color="auto"/>
              <w:right w:val="single" w:sz="4" w:space="0" w:color="auto"/>
            </w:tcBorders>
            <w:shd w:val="clear" w:color="auto" w:fill="auto"/>
            <w:vAlign w:val="center"/>
            <w:hideMark/>
          </w:tcPr>
          <w:p w:rsidR="004E65B0" w:rsidRDefault="004E65B0" w:rsidP="008665B4">
            <w:pPr>
              <w:jc w:val="center"/>
              <w:rPr>
                <w:rFonts w:ascii="Verdana" w:hAnsi="Verdana" w:cs="Calibri"/>
                <w:color w:val="000000"/>
                <w:sz w:val="16"/>
                <w:szCs w:val="16"/>
              </w:rPr>
            </w:pPr>
            <w:r w:rsidRPr="00383392">
              <w:rPr>
                <w:rFonts w:ascii="Verdana" w:hAnsi="Verdana" w:cs="Calibri"/>
                <w:color w:val="000000"/>
                <w:sz w:val="16"/>
                <w:szCs w:val="16"/>
              </w:rPr>
              <w:t>oprocentowanie stałe;</w:t>
            </w:r>
          </w:p>
          <w:p w:rsidR="004E65B0" w:rsidRPr="00383392" w:rsidRDefault="004E65B0" w:rsidP="008665B4">
            <w:pPr>
              <w:jc w:val="center"/>
              <w:rPr>
                <w:rFonts w:ascii="Verdana" w:hAnsi="Verdana" w:cs="Calibri"/>
                <w:color w:val="000000"/>
                <w:sz w:val="16"/>
                <w:szCs w:val="16"/>
              </w:rPr>
            </w:pPr>
            <w:r w:rsidRPr="00383392">
              <w:rPr>
                <w:rFonts w:ascii="Verdana" w:hAnsi="Verdana" w:cs="Calibri"/>
                <w:color w:val="000000"/>
                <w:sz w:val="16"/>
                <w:szCs w:val="16"/>
              </w:rPr>
              <w:t>co najmniej 50%</w:t>
            </w:r>
          </w:p>
        </w:tc>
        <w:tc>
          <w:tcPr>
            <w:tcW w:w="1666"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sidRPr="00700387">
              <w:rPr>
                <w:rFonts w:ascii="Verdana" w:hAnsi="Verdana" w:cs="Calibri"/>
                <w:sz w:val="16"/>
                <w:szCs w:val="16"/>
              </w:rPr>
              <w:t>69,</w:t>
            </w:r>
            <w:r>
              <w:rPr>
                <w:rFonts w:ascii="Verdana" w:hAnsi="Verdana" w:cs="Calibri"/>
                <w:sz w:val="16"/>
                <w:szCs w:val="16"/>
              </w:rPr>
              <w:t>2</w:t>
            </w:r>
            <w:r w:rsidRPr="00700387">
              <w:rPr>
                <w:rFonts w:ascii="Verdana" w:hAnsi="Verdana" w:cs="Calibri"/>
                <w:sz w:val="16"/>
                <w:szCs w:val="16"/>
              </w:rPr>
              <w:t>%</w:t>
            </w:r>
          </w:p>
        </w:tc>
      </w:tr>
      <w:tr w:rsidR="004E65B0" w:rsidRPr="00383392" w:rsidTr="008665B4">
        <w:trPr>
          <w:trHeight w:val="363"/>
        </w:trPr>
        <w:tc>
          <w:tcPr>
            <w:tcW w:w="41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Zadłużenie w walucie</w:t>
            </w:r>
            <w:r>
              <w:rPr>
                <w:rFonts w:ascii="Verdana" w:hAnsi="Verdana" w:cs="Calibri"/>
                <w:b/>
                <w:bCs/>
                <w:color w:val="000000"/>
                <w:sz w:val="16"/>
                <w:szCs w:val="16"/>
              </w:rPr>
              <w:t xml:space="preserve"> obcej</w:t>
            </w:r>
            <w:r w:rsidRPr="00383392">
              <w:rPr>
                <w:rFonts w:ascii="Verdana" w:hAnsi="Verdana" w:cs="Calibri"/>
                <w:b/>
                <w:bCs/>
                <w:color w:val="000000"/>
                <w:sz w:val="16"/>
                <w:szCs w:val="16"/>
              </w:rPr>
              <w:t>:</w:t>
            </w:r>
          </w:p>
        </w:tc>
        <w:tc>
          <w:tcPr>
            <w:tcW w:w="3191" w:type="dxa"/>
            <w:tcBorders>
              <w:top w:val="nil"/>
              <w:left w:val="nil"/>
              <w:bottom w:val="nil"/>
              <w:right w:val="single" w:sz="4" w:space="0" w:color="auto"/>
            </w:tcBorders>
            <w:shd w:val="clear" w:color="auto" w:fill="auto"/>
            <w:vAlign w:val="center"/>
            <w:hideMark/>
          </w:tcPr>
          <w:p w:rsidR="004E65B0" w:rsidRPr="00383392" w:rsidRDefault="004E65B0" w:rsidP="008665B4">
            <w:pPr>
              <w:jc w:val="center"/>
              <w:rPr>
                <w:rFonts w:ascii="Verdana" w:hAnsi="Verdana" w:cs="Calibri"/>
                <w:color w:val="000000"/>
                <w:sz w:val="16"/>
                <w:szCs w:val="16"/>
              </w:rPr>
            </w:pPr>
            <w:r>
              <w:rPr>
                <w:rFonts w:ascii="Verdana" w:hAnsi="Verdana" w:cs="Calibri"/>
                <w:color w:val="000000"/>
                <w:sz w:val="16"/>
                <w:szCs w:val="16"/>
              </w:rPr>
              <w:t xml:space="preserve"> ograniczone, </w:t>
            </w:r>
            <w:r w:rsidRPr="00383392">
              <w:rPr>
                <w:rFonts w:ascii="Verdana" w:hAnsi="Verdana" w:cs="Calibri"/>
                <w:color w:val="000000"/>
                <w:sz w:val="16"/>
                <w:szCs w:val="16"/>
              </w:rPr>
              <w:t>stosowane tylko</w:t>
            </w:r>
          </w:p>
        </w:tc>
        <w:tc>
          <w:tcPr>
            <w:tcW w:w="1666" w:type="dxa"/>
            <w:vMerge w:val="restart"/>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12,1</w:t>
            </w:r>
            <w:r w:rsidRPr="00383392">
              <w:rPr>
                <w:rFonts w:ascii="Verdana" w:hAnsi="Verdana" w:cs="Calibri"/>
                <w:sz w:val="16"/>
                <w:szCs w:val="16"/>
              </w:rPr>
              <w:t>%</w:t>
            </w:r>
          </w:p>
        </w:tc>
      </w:tr>
      <w:tr w:rsidR="004E65B0" w:rsidRPr="00383392" w:rsidTr="008665B4">
        <w:trPr>
          <w:trHeight w:val="363"/>
        </w:trPr>
        <w:tc>
          <w:tcPr>
            <w:tcW w:w="4175" w:type="dxa"/>
            <w:gridSpan w:val="2"/>
            <w:vMerge/>
            <w:tcBorders>
              <w:top w:val="single" w:sz="4" w:space="0" w:color="auto"/>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c>
          <w:tcPr>
            <w:tcW w:w="3191" w:type="dxa"/>
            <w:tcBorders>
              <w:top w:val="nil"/>
              <w:left w:val="nil"/>
              <w:bottom w:val="single" w:sz="4" w:space="0" w:color="auto"/>
              <w:right w:val="single" w:sz="4" w:space="0" w:color="auto"/>
            </w:tcBorders>
            <w:shd w:val="clear" w:color="auto" w:fill="auto"/>
            <w:vAlign w:val="center"/>
            <w:hideMark/>
          </w:tcPr>
          <w:p w:rsidR="004E65B0" w:rsidRDefault="004E65B0" w:rsidP="008665B4">
            <w:pPr>
              <w:jc w:val="center"/>
              <w:rPr>
                <w:rFonts w:ascii="Verdana" w:hAnsi="Verdana" w:cs="Calibri"/>
                <w:color w:val="000000"/>
                <w:sz w:val="16"/>
                <w:szCs w:val="16"/>
              </w:rPr>
            </w:pPr>
            <w:r w:rsidRPr="00383392">
              <w:rPr>
                <w:rFonts w:ascii="Verdana" w:hAnsi="Verdana" w:cs="Calibri"/>
                <w:color w:val="000000"/>
                <w:sz w:val="16"/>
                <w:szCs w:val="16"/>
              </w:rPr>
              <w:t>w sytuacjach uzasadnionych</w:t>
            </w:r>
            <w:r>
              <w:rPr>
                <w:rFonts w:ascii="Verdana" w:hAnsi="Verdana" w:cs="Calibri"/>
                <w:color w:val="000000"/>
                <w:sz w:val="16"/>
                <w:szCs w:val="16"/>
              </w:rPr>
              <w:t xml:space="preserve">, </w:t>
            </w:r>
          </w:p>
          <w:p w:rsidR="004E65B0" w:rsidRPr="00383392" w:rsidRDefault="004E65B0" w:rsidP="008665B4">
            <w:pPr>
              <w:spacing w:after="20"/>
              <w:jc w:val="center"/>
              <w:rPr>
                <w:rFonts w:ascii="Verdana" w:hAnsi="Verdana" w:cs="Calibri"/>
                <w:color w:val="000000"/>
                <w:sz w:val="16"/>
                <w:szCs w:val="16"/>
              </w:rPr>
            </w:pPr>
            <w:r>
              <w:rPr>
                <w:rFonts w:ascii="Verdana" w:hAnsi="Verdana" w:cs="Calibri"/>
                <w:color w:val="000000"/>
                <w:sz w:val="16"/>
                <w:szCs w:val="16"/>
              </w:rPr>
              <w:t>max. 25% zadłużenia ogółem</w:t>
            </w:r>
          </w:p>
        </w:tc>
        <w:tc>
          <w:tcPr>
            <w:tcW w:w="1666" w:type="dxa"/>
            <w:vMerge/>
            <w:tcBorders>
              <w:top w:val="nil"/>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sz w:val="16"/>
                <w:szCs w:val="16"/>
              </w:rPr>
            </w:pPr>
          </w:p>
        </w:tc>
      </w:tr>
      <w:tr w:rsidR="004E65B0" w:rsidRPr="00383392" w:rsidTr="008665B4">
        <w:trPr>
          <w:trHeight w:val="428"/>
        </w:trPr>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Zadłużenie z tytułu:</w:t>
            </w:r>
          </w:p>
        </w:tc>
        <w:tc>
          <w:tcPr>
            <w:tcW w:w="2026" w:type="dxa"/>
            <w:tcBorders>
              <w:top w:val="nil"/>
              <w:left w:val="nil"/>
              <w:bottom w:val="single" w:sz="4" w:space="0" w:color="auto"/>
              <w:right w:val="single" w:sz="4" w:space="0" w:color="auto"/>
            </w:tcBorders>
            <w:shd w:val="clear" w:color="auto" w:fill="auto"/>
            <w:noWrap/>
            <w:vAlign w:val="center"/>
            <w:hideMark/>
          </w:tcPr>
          <w:p w:rsidR="004E65B0" w:rsidRPr="00383392" w:rsidRDefault="004E65B0" w:rsidP="008665B4">
            <w:pPr>
              <w:jc w:val="center"/>
              <w:rPr>
                <w:rFonts w:ascii="Verdana" w:hAnsi="Verdana" w:cs="Calibri"/>
                <w:color w:val="000000"/>
                <w:sz w:val="16"/>
                <w:szCs w:val="16"/>
              </w:rPr>
            </w:pPr>
            <w:r>
              <w:rPr>
                <w:rFonts w:ascii="Verdana" w:hAnsi="Verdana" w:cs="Calibri"/>
                <w:color w:val="000000"/>
                <w:sz w:val="16"/>
                <w:szCs w:val="16"/>
              </w:rPr>
              <w:t>o</w:t>
            </w:r>
            <w:r w:rsidRPr="00383392">
              <w:rPr>
                <w:rFonts w:ascii="Verdana" w:hAnsi="Verdana" w:cs="Calibri"/>
                <w:color w:val="000000"/>
                <w:sz w:val="16"/>
                <w:szCs w:val="16"/>
              </w:rPr>
              <w:t>bligacji</w:t>
            </w:r>
          </w:p>
        </w:tc>
        <w:tc>
          <w:tcPr>
            <w:tcW w:w="3191" w:type="dxa"/>
            <w:vMerge w:val="restart"/>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color w:val="000000"/>
                <w:sz w:val="16"/>
                <w:szCs w:val="16"/>
              </w:rPr>
            </w:pPr>
            <w:r w:rsidRPr="00383392">
              <w:rPr>
                <w:rFonts w:ascii="Verdana" w:hAnsi="Verdana" w:cs="Calibri"/>
                <w:color w:val="000000"/>
                <w:sz w:val="16"/>
                <w:szCs w:val="16"/>
              </w:rPr>
              <w:t>uzyskanie optymalnej struktury zadłużenia w ramach mix financing</w:t>
            </w:r>
          </w:p>
        </w:tc>
        <w:tc>
          <w:tcPr>
            <w:tcW w:w="1666" w:type="dxa"/>
            <w:tcBorders>
              <w:top w:val="nil"/>
              <w:left w:val="nil"/>
              <w:bottom w:val="single" w:sz="4" w:space="0" w:color="auto"/>
              <w:right w:val="single" w:sz="4" w:space="0" w:color="auto"/>
            </w:tcBorders>
            <w:shd w:val="clear" w:color="auto" w:fill="auto"/>
            <w:noWrap/>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9,7</w:t>
            </w:r>
            <w:r w:rsidRPr="00383392">
              <w:rPr>
                <w:rFonts w:ascii="Verdana" w:hAnsi="Verdana" w:cs="Calibri"/>
                <w:sz w:val="16"/>
                <w:szCs w:val="16"/>
              </w:rPr>
              <w:t>%</w:t>
            </w:r>
          </w:p>
        </w:tc>
      </w:tr>
      <w:tr w:rsidR="004E65B0" w:rsidRPr="00383392" w:rsidTr="008665B4">
        <w:trPr>
          <w:trHeight w:val="468"/>
        </w:trPr>
        <w:tc>
          <w:tcPr>
            <w:tcW w:w="2149" w:type="dxa"/>
            <w:vMerge/>
            <w:tcBorders>
              <w:top w:val="nil"/>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c>
          <w:tcPr>
            <w:tcW w:w="2026" w:type="dxa"/>
            <w:tcBorders>
              <w:top w:val="nil"/>
              <w:left w:val="nil"/>
              <w:bottom w:val="single" w:sz="4" w:space="0" w:color="auto"/>
              <w:right w:val="single" w:sz="4" w:space="0" w:color="auto"/>
            </w:tcBorders>
            <w:shd w:val="clear" w:color="auto" w:fill="auto"/>
            <w:noWrap/>
            <w:vAlign w:val="center"/>
            <w:hideMark/>
          </w:tcPr>
          <w:p w:rsidR="004E65B0" w:rsidRPr="00383392" w:rsidRDefault="004E65B0" w:rsidP="008665B4">
            <w:pPr>
              <w:jc w:val="center"/>
              <w:rPr>
                <w:rFonts w:ascii="Verdana" w:hAnsi="Verdana" w:cs="Calibri"/>
                <w:color w:val="000000"/>
                <w:sz w:val="16"/>
                <w:szCs w:val="16"/>
              </w:rPr>
            </w:pPr>
            <w:r w:rsidRPr="00383392">
              <w:rPr>
                <w:rFonts w:ascii="Verdana" w:hAnsi="Verdana" w:cs="Calibri"/>
                <w:color w:val="000000"/>
                <w:sz w:val="16"/>
                <w:szCs w:val="16"/>
              </w:rPr>
              <w:t>kredytów i pożyczek</w:t>
            </w:r>
          </w:p>
        </w:tc>
        <w:tc>
          <w:tcPr>
            <w:tcW w:w="3191" w:type="dxa"/>
            <w:vMerge/>
            <w:tcBorders>
              <w:top w:val="nil"/>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color w:val="000000"/>
                <w:sz w:val="16"/>
                <w:szCs w:val="16"/>
              </w:rPr>
            </w:pPr>
          </w:p>
        </w:tc>
        <w:tc>
          <w:tcPr>
            <w:tcW w:w="1666" w:type="dxa"/>
            <w:tcBorders>
              <w:top w:val="nil"/>
              <w:left w:val="nil"/>
              <w:bottom w:val="single" w:sz="4" w:space="0" w:color="auto"/>
              <w:right w:val="single" w:sz="4" w:space="0" w:color="auto"/>
            </w:tcBorders>
            <w:shd w:val="clear" w:color="auto" w:fill="auto"/>
            <w:noWrap/>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90,3</w:t>
            </w:r>
            <w:r w:rsidRPr="00383392">
              <w:rPr>
                <w:rFonts w:ascii="Verdana" w:hAnsi="Verdana" w:cs="Calibri"/>
                <w:sz w:val="16"/>
                <w:szCs w:val="16"/>
              </w:rPr>
              <w:t>%</w:t>
            </w:r>
          </w:p>
        </w:tc>
      </w:tr>
      <w:tr w:rsidR="004E65B0" w:rsidRPr="00383392" w:rsidTr="008665B4">
        <w:trPr>
          <w:trHeight w:val="441"/>
        </w:trPr>
        <w:tc>
          <w:tcPr>
            <w:tcW w:w="41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Relacja stanu zadłużenia/dochodów ogółem</w:t>
            </w:r>
          </w:p>
        </w:tc>
        <w:tc>
          <w:tcPr>
            <w:tcW w:w="3191"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color w:val="000000"/>
                <w:sz w:val="16"/>
                <w:szCs w:val="16"/>
              </w:rPr>
            </w:pPr>
            <w:r>
              <w:rPr>
                <w:rFonts w:ascii="Verdana" w:hAnsi="Verdana" w:cs="Calibri"/>
                <w:color w:val="000000"/>
                <w:sz w:val="16"/>
                <w:szCs w:val="16"/>
              </w:rPr>
              <w:t>p</w:t>
            </w:r>
            <w:r w:rsidRPr="00383392">
              <w:rPr>
                <w:rFonts w:ascii="Verdana" w:hAnsi="Verdana" w:cs="Calibri"/>
                <w:color w:val="000000"/>
                <w:sz w:val="16"/>
                <w:szCs w:val="16"/>
              </w:rPr>
              <w:t xml:space="preserve">oniżej </w:t>
            </w:r>
            <w:r>
              <w:rPr>
                <w:rFonts w:ascii="Verdana" w:hAnsi="Verdana" w:cs="Calibri"/>
                <w:color w:val="000000"/>
                <w:sz w:val="16"/>
                <w:szCs w:val="16"/>
              </w:rPr>
              <w:t>55</w:t>
            </w:r>
            <w:r w:rsidRPr="00383392">
              <w:rPr>
                <w:rFonts w:ascii="Verdana" w:hAnsi="Verdana" w:cs="Calibri"/>
                <w:color w:val="000000"/>
                <w:sz w:val="16"/>
                <w:szCs w:val="16"/>
              </w:rPr>
              <w:t>%</w:t>
            </w:r>
          </w:p>
        </w:tc>
        <w:tc>
          <w:tcPr>
            <w:tcW w:w="1666"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sidRPr="00597EFF">
              <w:rPr>
                <w:rFonts w:ascii="Verdana" w:hAnsi="Verdana" w:cs="Calibri"/>
                <w:sz w:val="16"/>
                <w:szCs w:val="16"/>
              </w:rPr>
              <w:t>2</w:t>
            </w:r>
            <w:r>
              <w:rPr>
                <w:rFonts w:ascii="Verdana" w:hAnsi="Verdana" w:cs="Calibri"/>
                <w:sz w:val="16"/>
                <w:szCs w:val="16"/>
              </w:rPr>
              <w:t>4</w:t>
            </w:r>
            <w:r w:rsidRPr="00597EFF">
              <w:rPr>
                <w:rFonts w:ascii="Verdana" w:hAnsi="Verdana" w:cs="Calibri"/>
                <w:sz w:val="16"/>
                <w:szCs w:val="16"/>
              </w:rPr>
              <w:t>,</w:t>
            </w:r>
            <w:r>
              <w:rPr>
                <w:rFonts w:ascii="Verdana" w:hAnsi="Verdana" w:cs="Calibri"/>
                <w:sz w:val="16"/>
                <w:szCs w:val="16"/>
              </w:rPr>
              <w:t>6</w:t>
            </w:r>
            <w:r w:rsidRPr="00597EFF">
              <w:rPr>
                <w:rFonts w:ascii="Verdana" w:hAnsi="Verdana" w:cs="Calibri"/>
                <w:sz w:val="16"/>
                <w:szCs w:val="16"/>
              </w:rPr>
              <w:t>%</w:t>
            </w:r>
          </w:p>
        </w:tc>
      </w:tr>
    </w:tbl>
    <w:p w:rsidR="004E65B0" w:rsidRDefault="004E65B0" w:rsidP="004E65B0">
      <w:pPr>
        <w:jc w:val="both"/>
        <w:rPr>
          <w:rFonts w:ascii="Verdana" w:hAnsi="Verdana"/>
          <w:sz w:val="16"/>
          <w:szCs w:val="16"/>
        </w:rPr>
      </w:pPr>
    </w:p>
    <w:p w:rsidR="004E65B0" w:rsidRPr="00383392" w:rsidRDefault="004E65B0" w:rsidP="004E65B0">
      <w:pPr>
        <w:jc w:val="both"/>
        <w:rPr>
          <w:rFonts w:ascii="Verdana" w:hAnsi="Verdana"/>
          <w:sz w:val="18"/>
          <w:szCs w:val="18"/>
        </w:rPr>
      </w:pPr>
      <w:r w:rsidRPr="00383392">
        <w:rPr>
          <w:rFonts w:ascii="Verdana" w:hAnsi="Verdana"/>
          <w:sz w:val="16"/>
          <w:szCs w:val="16"/>
        </w:rPr>
        <w:t>Strukturę zobowiązań dłużnych m.st. Warszawy według instrumentów przedstawia tabela 2.</w:t>
      </w:r>
    </w:p>
    <w:p w:rsidR="004E65B0" w:rsidRPr="00383392" w:rsidRDefault="004E65B0" w:rsidP="004E65B0">
      <w:pPr>
        <w:spacing w:before="120"/>
        <w:jc w:val="both"/>
        <w:rPr>
          <w:rFonts w:ascii="Verdana" w:hAnsi="Verdana" w:cs="Arial"/>
          <w:sz w:val="14"/>
          <w:szCs w:val="14"/>
        </w:rPr>
      </w:pPr>
      <w:r w:rsidRPr="00383392">
        <w:rPr>
          <w:rFonts w:ascii="Verdana" w:hAnsi="Verdana" w:cs="Arial"/>
          <w:b/>
          <w:sz w:val="14"/>
          <w:szCs w:val="14"/>
        </w:rPr>
        <w:t xml:space="preserve">TAB. 2 STRUKTURA ZADŁUŻENIA </w:t>
      </w:r>
      <w:r w:rsidRPr="00383392">
        <w:rPr>
          <w:rFonts w:ascii="Verdana" w:hAnsi="Verdana"/>
          <w:b/>
          <w:sz w:val="14"/>
          <w:szCs w:val="14"/>
        </w:rPr>
        <w:t>M.ST. WARSZAWY</w:t>
      </w:r>
      <w:r w:rsidRPr="00383392">
        <w:rPr>
          <w:rFonts w:ascii="Verdana" w:hAnsi="Verdana" w:cs="Arial"/>
          <w:b/>
          <w:sz w:val="14"/>
          <w:szCs w:val="14"/>
        </w:rPr>
        <w:t xml:space="preserve"> NA </w:t>
      </w:r>
      <w:r w:rsidRPr="0056115D">
        <w:rPr>
          <w:rFonts w:ascii="Verdana" w:hAnsi="Verdana" w:cs="Arial"/>
          <w:b/>
          <w:sz w:val="14"/>
          <w:szCs w:val="14"/>
        </w:rPr>
        <w:t>30.0</w:t>
      </w:r>
      <w:r>
        <w:rPr>
          <w:rFonts w:ascii="Verdana" w:hAnsi="Verdana" w:cs="Arial"/>
          <w:b/>
          <w:sz w:val="14"/>
          <w:szCs w:val="14"/>
        </w:rPr>
        <w:t>9</w:t>
      </w:r>
      <w:r w:rsidRPr="0056115D">
        <w:rPr>
          <w:rFonts w:ascii="Verdana" w:hAnsi="Verdana" w:cs="Arial"/>
          <w:b/>
          <w:sz w:val="14"/>
          <w:szCs w:val="14"/>
        </w:rPr>
        <w:t>.202</w:t>
      </w:r>
      <w:r>
        <w:rPr>
          <w:rFonts w:ascii="Verdana" w:hAnsi="Verdana" w:cs="Arial"/>
          <w:b/>
          <w:sz w:val="14"/>
          <w:szCs w:val="14"/>
        </w:rPr>
        <w:t>3</w:t>
      </w:r>
      <w:r w:rsidRPr="00383392">
        <w:rPr>
          <w:rFonts w:ascii="Verdana" w:hAnsi="Verdana" w:cs="Arial"/>
          <w:b/>
          <w:sz w:val="14"/>
          <w:szCs w:val="14"/>
        </w:rPr>
        <w:t xml:space="preserve"> R. </w:t>
      </w:r>
      <w:r w:rsidRPr="00383392">
        <w:rPr>
          <w:rFonts w:ascii="Verdana" w:hAnsi="Verdana" w:cs="Arial"/>
          <w:sz w:val="14"/>
          <w:szCs w:val="14"/>
        </w:rPr>
        <w:t>[w mln zł]</w:t>
      </w:r>
    </w:p>
    <w:tbl>
      <w:tblPr>
        <w:tblW w:w="9002" w:type="dxa"/>
        <w:tblCellMar>
          <w:left w:w="70" w:type="dxa"/>
          <w:right w:w="70" w:type="dxa"/>
        </w:tblCellMar>
        <w:tblLook w:val="04A0" w:firstRow="1" w:lastRow="0" w:firstColumn="1" w:lastColumn="0" w:noHBand="0" w:noVBand="1"/>
      </w:tblPr>
      <w:tblGrid>
        <w:gridCol w:w="3036"/>
        <w:gridCol w:w="3172"/>
        <w:gridCol w:w="2794"/>
      </w:tblGrid>
      <w:tr w:rsidR="004E65B0" w:rsidRPr="00383392" w:rsidTr="008665B4">
        <w:trPr>
          <w:trHeight w:val="295"/>
        </w:trPr>
        <w:tc>
          <w:tcPr>
            <w:tcW w:w="3036"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Wyszczególnienie</w:t>
            </w:r>
          </w:p>
        </w:tc>
        <w:tc>
          <w:tcPr>
            <w:tcW w:w="3172" w:type="dxa"/>
            <w:tcBorders>
              <w:top w:val="single" w:sz="4" w:space="0" w:color="auto"/>
              <w:left w:val="nil"/>
              <w:bottom w:val="nil"/>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 xml:space="preserve">Stan na </w:t>
            </w:r>
          </w:p>
        </w:tc>
        <w:tc>
          <w:tcPr>
            <w:tcW w:w="2794"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Udział % w długu</w:t>
            </w:r>
          </w:p>
        </w:tc>
      </w:tr>
      <w:tr w:rsidR="004E65B0" w:rsidRPr="00383392" w:rsidTr="008665B4">
        <w:trPr>
          <w:trHeight w:val="295"/>
        </w:trPr>
        <w:tc>
          <w:tcPr>
            <w:tcW w:w="3036" w:type="dxa"/>
            <w:vMerge/>
            <w:tcBorders>
              <w:top w:val="single" w:sz="4" w:space="0" w:color="auto"/>
              <w:left w:val="single" w:sz="4" w:space="0" w:color="auto"/>
              <w:bottom w:val="single" w:sz="4" w:space="0" w:color="auto"/>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c>
          <w:tcPr>
            <w:tcW w:w="3172" w:type="dxa"/>
            <w:tcBorders>
              <w:top w:val="nil"/>
              <w:left w:val="nil"/>
              <w:bottom w:val="single" w:sz="4" w:space="0" w:color="auto"/>
              <w:right w:val="single" w:sz="4" w:space="0" w:color="auto"/>
            </w:tcBorders>
            <w:shd w:val="clear" w:color="000000" w:fill="C5D9F1"/>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30.0</w:t>
            </w:r>
            <w:r>
              <w:rPr>
                <w:rFonts w:ascii="Verdana" w:hAnsi="Verdana" w:cs="Calibri"/>
                <w:b/>
                <w:bCs/>
                <w:color w:val="000000"/>
                <w:sz w:val="16"/>
                <w:szCs w:val="16"/>
              </w:rPr>
              <w:t>9</w:t>
            </w:r>
            <w:r w:rsidRPr="00383392">
              <w:rPr>
                <w:rFonts w:ascii="Verdana" w:hAnsi="Verdana" w:cs="Calibri"/>
                <w:b/>
                <w:bCs/>
                <w:color w:val="000000"/>
                <w:sz w:val="16"/>
                <w:szCs w:val="16"/>
              </w:rPr>
              <w:t>.20</w:t>
            </w:r>
            <w:r>
              <w:rPr>
                <w:rFonts w:ascii="Verdana" w:hAnsi="Verdana" w:cs="Calibri"/>
                <w:b/>
                <w:bCs/>
                <w:color w:val="000000"/>
                <w:sz w:val="16"/>
                <w:szCs w:val="16"/>
              </w:rPr>
              <w:t>23</w:t>
            </w:r>
            <w:r w:rsidRPr="00383392">
              <w:rPr>
                <w:rFonts w:ascii="Verdana" w:hAnsi="Verdana" w:cs="Calibri"/>
                <w:b/>
                <w:bCs/>
                <w:color w:val="000000"/>
                <w:sz w:val="16"/>
                <w:szCs w:val="16"/>
              </w:rPr>
              <w:t xml:space="preserve"> r.</w:t>
            </w:r>
          </w:p>
        </w:tc>
        <w:tc>
          <w:tcPr>
            <w:tcW w:w="2794" w:type="dxa"/>
            <w:vMerge/>
            <w:tcBorders>
              <w:top w:val="single" w:sz="4" w:space="0" w:color="auto"/>
              <w:left w:val="single" w:sz="4" w:space="0" w:color="auto"/>
              <w:bottom w:val="single" w:sz="4" w:space="0" w:color="000000"/>
              <w:right w:val="single" w:sz="4" w:space="0" w:color="auto"/>
            </w:tcBorders>
            <w:vAlign w:val="center"/>
            <w:hideMark/>
          </w:tcPr>
          <w:p w:rsidR="004E65B0" w:rsidRPr="00383392" w:rsidRDefault="004E65B0" w:rsidP="008665B4">
            <w:pPr>
              <w:rPr>
                <w:rFonts w:ascii="Verdana" w:hAnsi="Verdana" w:cs="Calibri"/>
                <w:b/>
                <w:bCs/>
                <w:color w:val="000000"/>
                <w:sz w:val="16"/>
                <w:szCs w:val="16"/>
              </w:rPr>
            </w:pPr>
          </w:p>
        </w:tc>
      </w:tr>
      <w:tr w:rsidR="004E65B0" w:rsidRPr="00383392" w:rsidTr="008665B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Kredyty i pożyczki</w:t>
            </w:r>
          </w:p>
        </w:tc>
        <w:tc>
          <w:tcPr>
            <w:tcW w:w="3172"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4 631,4</w:t>
            </w:r>
          </w:p>
        </w:tc>
        <w:tc>
          <w:tcPr>
            <w:tcW w:w="2794" w:type="dxa"/>
            <w:tcBorders>
              <w:top w:val="nil"/>
              <w:left w:val="nil"/>
              <w:bottom w:val="single" w:sz="4" w:space="0" w:color="auto"/>
              <w:right w:val="single" w:sz="4" w:space="0" w:color="auto"/>
            </w:tcBorders>
            <w:shd w:val="clear" w:color="auto" w:fill="auto"/>
            <w:vAlign w:val="center"/>
            <w:hideMark/>
          </w:tcPr>
          <w:p w:rsidR="004E65B0" w:rsidRPr="00700387" w:rsidRDefault="004E65B0" w:rsidP="008665B4">
            <w:pPr>
              <w:jc w:val="center"/>
              <w:rPr>
                <w:rFonts w:ascii="Verdana" w:hAnsi="Verdana" w:cs="Calibri"/>
                <w:sz w:val="16"/>
                <w:szCs w:val="16"/>
              </w:rPr>
            </w:pPr>
            <w:r w:rsidRPr="00700387">
              <w:rPr>
                <w:rFonts w:ascii="Verdana" w:hAnsi="Verdana" w:cs="Calibri"/>
                <w:sz w:val="16"/>
                <w:szCs w:val="16"/>
              </w:rPr>
              <w:t>90,</w:t>
            </w:r>
            <w:r>
              <w:rPr>
                <w:rFonts w:ascii="Verdana" w:hAnsi="Verdana" w:cs="Calibri"/>
                <w:sz w:val="16"/>
                <w:szCs w:val="16"/>
              </w:rPr>
              <w:t>3</w:t>
            </w:r>
          </w:p>
        </w:tc>
      </w:tr>
      <w:tr w:rsidR="004E65B0" w:rsidRPr="00383392" w:rsidTr="008665B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Obligacje</w:t>
            </w:r>
          </w:p>
        </w:tc>
        <w:tc>
          <w:tcPr>
            <w:tcW w:w="3172"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499,4</w:t>
            </w:r>
          </w:p>
        </w:tc>
        <w:tc>
          <w:tcPr>
            <w:tcW w:w="2794" w:type="dxa"/>
            <w:tcBorders>
              <w:top w:val="nil"/>
              <w:left w:val="nil"/>
              <w:bottom w:val="single" w:sz="4" w:space="0" w:color="auto"/>
              <w:right w:val="single" w:sz="4" w:space="0" w:color="auto"/>
            </w:tcBorders>
            <w:shd w:val="clear" w:color="auto" w:fill="auto"/>
            <w:vAlign w:val="center"/>
            <w:hideMark/>
          </w:tcPr>
          <w:p w:rsidR="004E65B0" w:rsidRPr="00700387" w:rsidRDefault="004E65B0" w:rsidP="008665B4">
            <w:pPr>
              <w:jc w:val="center"/>
              <w:rPr>
                <w:rFonts w:ascii="Verdana" w:hAnsi="Verdana" w:cs="Calibri"/>
                <w:sz w:val="16"/>
                <w:szCs w:val="16"/>
              </w:rPr>
            </w:pPr>
            <w:r w:rsidRPr="00700387">
              <w:rPr>
                <w:rFonts w:ascii="Verdana" w:hAnsi="Verdana" w:cs="Calibri"/>
                <w:sz w:val="16"/>
                <w:szCs w:val="16"/>
              </w:rPr>
              <w:t>9,</w:t>
            </w:r>
            <w:r>
              <w:rPr>
                <w:rFonts w:ascii="Verdana" w:hAnsi="Verdana" w:cs="Calibri"/>
                <w:sz w:val="16"/>
                <w:szCs w:val="16"/>
              </w:rPr>
              <w:t>7</w:t>
            </w:r>
          </w:p>
        </w:tc>
      </w:tr>
      <w:tr w:rsidR="004E65B0" w:rsidRPr="00383392" w:rsidTr="008665B4">
        <w:trPr>
          <w:trHeight w:val="295"/>
        </w:trPr>
        <w:tc>
          <w:tcPr>
            <w:tcW w:w="3036" w:type="dxa"/>
            <w:tcBorders>
              <w:top w:val="nil"/>
              <w:left w:val="single" w:sz="4" w:space="0" w:color="auto"/>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b/>
                <w:bCs/>
                <w:color w:val="000000"/>
                <w:sz w:val="16"/>
                <w:szCs w:val="16"/>
              </w:rPr>
            </w:pPr>
            <w:r w:rsidRPr="00383392">
              <w:rPr>
                <w:rFonts w:ascii="Verdana" w:hAnsi="Verdana" w:cs="Calibri"/>
                <w:b/>
                <w:bCs/>
                <w:color w:val="000000"/>
                <w:sz w:val="16"/>
                <w:szCs w:val="16"/>
              </w:rPr>
              <w:t>Zadłużenie ogółem</w:t>
            </w:r>
          </w:p>
        </w:tc>
        <w:tc>
          <w:tcPr>
            <w:tcW w:w="3172" w:type="dxa"/>
            <w:tcBorders>
              <w:top w:val="nil"/>
              <w:left w:val="nil"/>
              <w:bottom w:val="single" w:sz="4" w:space="0" w:color="auto"/>
              <w:right w:val="single" w:sz="4" w:space="0" w:color="auto"/>
            </w:tcBorders>
            <w:shd w:val="clear" w:color="auto" w:fill="auto"/>
            <w:vAlign w:val="center"/>
            <w:hideMark/>
          </w:tcPr>
          <w:p w:rsidR="004E65B0" w:rsidRPr="00383392" w:rsidRDefault="004E65B0" w:rsidP="008665B4">
            <w:pPr>
              <w:jc w:val="center"/>
              <w:rPr>
                <w:rFonts w:ascii="Verdana" w:hAnsi="Verdana" w:cs="Calibri"/>
                <w:sz w:val="16"/>
                <w:szCs w:val="16"/>
              </w:rPr>
            </w:pPr>
            <w:r>
              <w:rPr>
                <w:rFonts w:ascii="Verdana" w:hAnsi="Verdana" w:cs="Calibri"/>
                <w:sz w:val="16"/>
                <w:szCs w:val="16"/>
              </w:rPr>
              <w:t>5 130,9</w:t>
            </w:r>
          </w:p>
        </w:tc>
        <w:tc>
          <w:tcPr>
            <w:tcW w:w="2794" w:type="dxa"/>
            <w:tcBorders>
              <w:top w:val="nil"/>
              <w:left w:val="nil"/>
              <w:bottom w:val="single" w:sz="4" w:space="0" w:color="auto"/>
              <w:right w:val="single" w:sz="4" w:space="0" w:color="auto"/>
            </w:tcBorders>
            <w:shd w:val="clear" w:color="auto" w:fill="auto"/>
            <w:vAlign w:val="center"/>
            <w:hideMark/>
          </w:tcPr>
          <w:p w:rsidR="004E65B0" w:rsidRPr="00700387" w:rsidRDefault="004E65B0" w:rsidP="008665B4">
            <w:pPr>
              <w:jc w:val="center"/>
              <w:rPr>
                <w:rFonts w:ascii="Verdana" w:hAnsi="Verdana" w:cs="Calibri"/>
                <w:sz w:val="16"/>
                <w:szCs w:val="16"/>
              </w:rPr>
            </w:pPr>
            <w:r w:rsidRPr="00700387">
              <w:rPr>
                <w:rFonts w:ascii="Verdana" w:hAnsi="Verdana" w:cs="Calibri"/>
                <w:sz w:val="16"/>
                <w:szCs w:val="16"/>
              </w:rPr>
              <w:t>100,0</w:t>
            </w:r>
          </w:p>
        </w:tc>
      </w:tr>
    </w:tbl>
    <w:p w:rsidR="004E65B0" w:rsidRPr="00383392" w:rsidRDefault="004E65B0" w:rsidP="004E65B0">
      <w:pPr>
        <w:jc w:val="both"/>
        <w:rPr>
          <w:rFonts w:ascii="Verdana" w:hAnsi="Verdana"/>
          <w:sz w:val="18"/>
          <w:szCs w:val="18"/>
        </w:rPr>
      </w:pPr>
    </w:p>
    <w:p w:rsidR="004E65B0" w:rsidRPr="00383392" w:rsidRDefault="004E65B0" w:rsidP="004E65B0">
      <w:pPr>
        <w:jc w:val="both"/>
        <w:rPr>
          <w:rFonts w:ascii="Verdana" w:hAnsi="Verdana"/>
          <w:sz w:val="16"/>
          <w:szCs w:val="16"/>
        </w:rPr>
      </w:pPr>
      <w:r w:rsidRPr="00383392">
        <w:rPr>
          <w:rFonts w:ascii="Verdana" w:hAnsi="Verdana"/>
          <w:sz w:val="16"/>
          <w:szCs w:val="16"/>
        </w:rPr>
        <w:t xml:space="preserve">W pierwszych </w:t>
      </w:r>
      <w:r>
        <w:rPr>
          <w:rFonts w:ascii="Verdana" w:hAnsi="Verdana"/>
          <w:sz w:val="16"/>
          <w:szCs w:val="16"/>
        </w:rPr>
        <w:t>9</w:t>
      </w:r>
      <w:r w:rsidRPr="00383392">
        <w:rPr>
          <w:rFonts w:ascii="Verdana" w:hAnsi="Verdana"/>
          <w:sz w:val="16"/>
          <w:szCs w:val="16"/>
        </w:rPr>
        <w:t xml:space="preserve"> miesiącach 202</w:t>
      </w:r>
      <w:r>
        <w:rPr>
          <w:rFonts w:ascii="Verdana" w:hAnsi="Verdana"/>
          <w:sz w:val="16"/>
          <w:szCs w:val="16"/>
        </w:rPr>
        <w:t>3</w:t>
      </w:r>
      <w:r w:rsidRPr="00383392">
        <w:rPr>
          <w:rFonts w:ascii="Verdana" w:hAnsi="Verdana"/>
          <w:sz w:val="16"/>
          <w:szCs w:val="16"/>
        </w:rPr>
        <w:t xml:space="preserve"> r. koszty odsetkowe Miasta wyniosły </w:t>
      </w:r>
      <w:r w:rsidRPr="001633AC">
        <w:rPr>
          <w:rFonts w:ascii="Verdana" w:hAnsi="Verdana"/>
          <w:sz w:val="16"/>
          <w:szCs w:val="16"/>
        </w:rPr>
        <w:t>116</w:t>
      </w:r>
      <w:r w:rsidRPr="0016257E">
        <w:rPr>
          <w:rFonts w:ascii="Verdana" w:hAnsi="Verdana"/>
          <w:sz w:val="16"/>
          <w:szCs w:val="16"/>
        </w:rPr>
        <w:t>,1</w:t>
      </w:r>
      <w:r w:rsidRPr="00383392">
        <w:rPr>
          <w:rFonts w:ascii="Verdana" w:hAnsi="Verdana"/>
          <w:sz w:val="16"/>
          <w:szCs w:val="16"/>
        </w:rPr>
        <w:t xml:space="preserve"> mln zł. Płatności z tytułu poręczeń </w:t>
      </w:r>
      <w:r>
        <w:rPr>
          <w:rFonts w:ascii="Verdana" w:hAnsi="Verdana"/>
          <w:sz w:val="16"/>
          <w:szCs w:val="16"/>
        </w:rPr>
        <w:br/>
      </w:r>
      <w:r w:rsidRPr="00383392">
        <w:rPr>
          <w:rFonts w:ascii="Verdana" w:hAnsi="Verdana"/>
          <w:sz w:val="16"/>
          <w:szCs w:val="16"/>
        </w:rPr>
        <w:t xml:space="preserve">i gwarancji nie występowały. Spłata kapitału w omawianym okresie wyniosła </w:t>
      </w:r>
      <w:r>
        <w:rPr>
          <w:rFonts w:ascii="Verdana" w:hAnsi="Verdana"/>
          <w:sz w:val="16"/>
          <w:szCs w:val="16"/>
        </w:rPr>
        <w:t>133,1</w:t>
      </w:r>
      <w:r w:rsidRPr="00383392">
        <w:rPr>
          <w:rFonts w:ascii="Verdana" w:hAnsi="Verdana"/>
          <w:sz w:val="16"/>
          <w:szCs w:val="16"/>
        </w:rPr>
        <w:t xml:space="preserve"> mln zł.</w:t>
      </w:r>
      <w:r>
        <w:rPr>
          <w:rFonts w:ascii="Verdana" w:hAnsi="Verdana"/>
          <w:sz w:val="16"/>
          <w:szCs w:val="16"/>
        </w:rPr>
        <w:t xml:space="preserve"> </w:t>
      </w:r>
    </w:p>
    <w:p w:rsidR="004E65B0" w:rsidRPr="00383392" w:rsidRDefault="004E65B0" w:rsidP="004E65B0">
      <w:pPr>
        <w:spacing w:before="240" w:line="312" w:lineRule="auto"/>
        <w:rPr>
          <w:rFonts w:ascii="Verdana" w:hAnsi="Verdana"/>
          <w:b/>
        </w:rPr>
      </w:pPr>
      <w:bookmarkStart w:id="7" w:name="bookmark3"/>
      <w:r>
        <w:rPr>
          <w:rFonts w:ascii="Verdana" w:hAnsi="Verdana"/>
          <w:b/>
        </w:rPr>
        <w:t xml:space="preserve">4. </w:t>
      </w:r>
      <w:r w:rsidRPr="00383392">
        <w:rPr>
          <w:rFonts w:ascii="Verdana" w:hAnsi="Verdana"/>
          <w:b/>
        </w:rPr>
        <w:t xml:space="preserve">Wsparcie możliwości inwestycyjnych Miasta środkami </w:t>
      </w:r>
      <w:r>
        <w:rPr>
          <w:rFonts w:ascii="Verdana" w:hAnsi="Verdana"/>
          <w:b/>
        </w:rPr>
        <w:br/>
        <w:t xml:space="preserve">    </w:t>
      </w:r>
      <w:r w:rsidRPr="00383392">
        <w:rPr>
          <w:rFonts w:ascii="Verdana" w:hAnsi="Verdana"/>
          <w:b/>
        </w:rPr>
        <w:t>zwrotnymi</w:t>
      </w:r>
      <w:bookmarkEnd w:id="7"/>
      <w:r w:rsidRPr="00383392">
        <w:rPr>
          <w:rFonts w:ascii="Verdana" w:hAnsi="Verdana"/>
          <w:iCs/>
          <w:sz w:val="18"/>
          <w:szCs w:val="18"/>
        </w:rPr>
        <w:t xml:space="preserve"> </w:t>
      </w:r>
    </w:p>
    <w:p w:rsidR="004E65B0" w:rsidRDefault="004E65B0" w:rsidP="004E65B0">
      <w:pPr>
        <w:spacing w:before="120"/>
        <w:jc w:val="both"/>
        <w:rPr>
          <w:rFonts w:ascii="Verdana" w:hAnsi="Verdana"/>
          <w:sz w:val="16"/>
          <w:szCs w:val="16"/>
        </w:rPr>
      </w:pPr>
      <w:r>
        <w:rPr>
          <w:rFonts w:ascii="Verdana" w:hAnsi="Verdana"/>
          <w:sz w:val="16"/>
          <w:szCs w:val="16"/>
        </w:rPr>
        <w:t xml:space="preserve">Plany nakładów inwestycyjnych m.st. Warszawy z jednej strony oraz ograniczenia związane z limitem określanym przez wskaźnik z art. 243 ustawy o finansach publicznych z drugiej strony, determinują wielkość zadłużenia </w:t>
      </w:r>
      <w:r>
        <w:rPr>
          <w:rFonts w:ascii="Verdana" w:hAnsi="Verdana"/>
          <w:sz w:val="16"/>
          <w:szCs w:val="16"/>
        </w:rPr>
        <w:br/>
        <w:t xml:space="preserve">i wielkości jego spłaty w poszczególnych latach. W okresie 2024-27 m.st. Warszawa planuje zaciąganie nowych zobowiązań finansowych na realizację inwestycji, w tym także inwestycji, które będą mogły być współfinansowane przez Unię Europejską w ramach perspektywy finansowej 2021-2027 oraz z budżetu państwa w ramach programu wieloletniego „Rządowy program wsparcia rozwoju miasta stołecznego Warszawy na lata 2023-2030”.  </w:t>
      </w:r>
    </w:p>
    <w:p w:rsidR="004E65B0" w:rsidRPr="00F03BA3" w:rsidRDefault="004E65B0" w:rsidP="004E65B0">
      <w:pPr>
        <w:spacing w:before="120"/>
        <w:jc w:val="both"/>
        <w:rPr>
          <w:rFonts w:ascii="Verdana" w:hAnsi="Verdana"/>
          <w:sz w:val="16"/>
          <w:szCs w:val="16"/>
        </w:rPr>
      </w:pPr>
      <w:r>
        <w:rPr>
          <w:rFonts w:ascii="Verdana" w:hAnsi="Verdana"/>
          <w:sz w:val="16"/>
          <w:szCs w:val="16"/>
        </w:rPr>
        <w:t xml:space="preserve">Zwiększanie potencjału rozwojowego poprzez inwestycje stanowi główny priorytet polityki zadłużeniowej. Planowane wydatki inwestycyjne w latach 2024-2027 na poziomie 11,2 mld zł, będą sfinansowane: </w:t>
      </w:r>
    </w:p>
    <w:p w:rsidR="004E65B0" w:rsidRPr="00142CEF" w:rsidRDefault="004E65B0" w:rsidP="004E65B0">
      <w:pPr>
        <w:numPr>
          <w:ilvl w:val="0"/>
          <w:numId w:val="41"/>
        </w:numPr>
        <w:spacing w:before="60"/>
        <w:ind w:left="641" w:hanging="284"/>
        <w:jc w:val="both"/>
        <w:rPr>
          <w:rFonts w:ascii="Verdana" w:hAnsi="Verdana"/>
          <w:iCs/>
          <w:sz w:val="16"/>
          <w:szCs w:val="16"/>
        </w:rPr>
      </w:pPr>
      <w:r w:rsidRPr="00F22B46">
        <w:rPr>
          <w:rFonts w:ascii="Verdana" w:hAnsi="Verdana"/>
          <w:b/>
          <w:iCs/>
          <w:sz w:val="16"/>
          <w:szCs w:val="16"/>
        </w:rPr>
        <w:t xml:space="preserve">środkami zwrotnymi w wysokości </w:t>
      </w:r>
      <w:r>
        <w:rPr>
          <w:rFonts w:ascii="Verdana" w:hAnsi="Verdana"/>
          <w:b/>
          <w:iCs/>
          <w:sz w:val="16"/>
          <w:szCs w:val="16"/>
        </w:rPr>
        <w:t>7,2</w:t>
      </w:r>
      <w:r w:rsidRPr="00F22B46">
        <w:rPr>
          <w:rFonts w:ascii="Verdana" w:hAnsi="Verdana"/>
          <w:b/>
          <w:iCs/>
          <w:sz w:val="16"/>
          <w:szCs w:val="16"/>
        </w:rPr>
        <w:t xml:space="preserve"> mld zł</w:t>
      </w:r>
    </w:p>
    <w:p w:rsidR="004E65B0" w:rsidRPr="00142CEF" w:rsidRDefault="004E65B0" w:rsidP="004E65B0">
      <w:pPr>
        <w:numPr>
          <w:ilvl w:val="0"/>
          <w:numId w:val="41"/>
        </w:numPr>
        <w:spacing w:before="60"/>
        <w:ind w:left="641" w:hanging="284"/>
        <w:jc w:val="both"/>
        <w:rPr>
          <w:rFonts w:ascii="Verdana" w:hAnsi="Verdana"/>
          <w:iCs/>
          <w:sz w:val="16"/>
          <w:szCs w:val="16"/>
        </w:rPr>
      </w:pPr>
      <w:r w:rsidRPr="00FF7D50">
        <w:rPr>
          <w:rFonts w:ascii="Verdana" w:hAnsi="Verdana"/>
          <w:iCs/>
          <w:sz w:val="16"/>
          <w:szCs w:val="16"/>
        </w:rPr>
        <w:t xml:space="preserve">wkładem własnym w wysokości 3,6 mld zł, </w:t>
      </w:r>
    </w:p>
    <w:p w:rsidR="004E65B0" w:rsidRDefault="004E65B0" w:rsidP="004E65B0">
      <w:pPr>
        <w:numPr>
          <w:ilvl w:val="0"/>
          <w:numId w:val="41"/>
        </w:numPr>
        <w:spacing w:before="60"/>
        <w:ind w:left="641" w:hanging="284"/>
        <w:jc w:val="both"/>
        <w:rPr>
          <w:rFonts w:ascii="Verdana" w:hAnsi="Verdana"/>
          <w:iCs/>
          <w:sz w:val="16"/>
          <w:szCs w:val="16"/>
        </w:rPr>
      </w:pPr>
      <w:r w:rsidRPr="004A68F2">
        <w:rPr>
          <w:rFonts w:ascii="Verdana" w:hAnsi="Verdana"/>
          <w:iCs/>
          <w:sz w:val="16"/>
          <w:szCs w:val="16"/>
        </w:rPr>
        <w:t xml:space="preserve">środkami unijnymi w wysokości 0,4 mld zł. </w:t>
      </w:r>
      <w:r>
        <w:rPr>
          <w:rFonts w:ascii="Verdana" w:hAnsi="Verdana"/>
          <w:iCs/>
          <w:sz w:val="16"/>
          <w:szCs w:val="16"/>
        </w:rPr>
        <w:br w:type="page"/>
      </w:r>
    </w:p>
    <w:p w:rsidR="004E65B0" w:rsidRPr="00383392" w:rsidRDefault="004E65B0" w:rsidP="004E65B0">
      <w:pPr>
        <w:spacing w:before="240" w:line="312" w:lineRule="auto"/>
        <w:jc w:val="both"/>
        <w:rPr>
          <w:rFonts w:ascii="Verdana" w:hAnsi="Verdana"/>
          <w:b/>
        </w:rPr>
      </w:pPr>
      <w:bookmarkStart w:id="8" w:name="bookmark5"/>
      <w:r>
        <w:rPr>
          <w:rFonts w:ascii="Verdana" w:hAnsi="Verdana"/>
          <w:b/>
        </w:rPr>
        <w:lastRenderedPageBreak/>
        <w:t xml:space="preserve">5. </w:t>
      </w:r>
      <w:r w:rsidRPr="00383392">
        <w:rPr>
          <w:rFonts w:ascii="Verdana" w:hAnsi="Verdana"/>
          <w:b/>
        </w:rPr>
        <w:t>Cele polityki długu w latach 202</w:t>
      </w:r>
      <w:r>
        <w:rPr>
          <w:rFonts w:ascii="Verdana" w:hAnsi="Verdana"/>
          <w:b/>
        </w:rPr>
        <w:t>4</w:t>
      </w:r>
      <w:r w:rsidRPr="00383392">
        <w:rPr>
          <w:rFonts w:ascii="Verdana" w:hAnsi="Verdana"/>
          <w:b/>
        </w:rPr>
        <w:t>-</w:t>
      </w:r>
      <w:bookmarkEnd w:id="8"/>
      <w:r w:rsidRPr="00383392">
        <w:rPr>
          <w:rFonts w:ascii="Verdana" w:hAnsi="Verdana"/>
          <w:b/>
        </w:rPr>
        <w:t>20</w:t>
      </w:r>
      <w:r>
        <w:rPr>
          <w:rFonts w:ascii="Verdana" w:hAnsi="Verdana"/>
          <w:b/>
        </w:rPr>
        <w:t>27</w:t>
      </w:r>
    </w:p>
    <w:p w:rsidR="004E65B0" w:rsidRPr="00383392" w:rsidRDefault="004E65B0" w:rsidP="004E65B0">
      <w:pPr>
        <w:spacing w:before="120" w:after="40"/>
        <w:jc w:val="both"/>
        <w:rPr>
          <w:rFonts w:ascii="Verdana" w:hAnsi="Verdana"/>
          <w:iCs/>
          <w:sz w:val="16"/>
          <w:szCs w:val="16"/>
        </w:rPr>
      </w:pPr>
      <w:r w:rsidRPr="002130F2">
        <w:rPr>
          <w:rFonts w:ascii="Verdana" w:hAnsi="Verdana"/>
          <w:iCs/>
          <w:sz w:val="16"/>
          <w:szCs w:val="16"/>
        </w:rPr>
        <w:t>Pozyskanie środków na finansowanie programu inwestycyjnego, zapewniającego dalszy rozwój Miasta, wymaga znacznego zwiększenia zadłużenia Miasta. Zwiększenie zadłużenia odbywać się będzie do poziomu limitu wynikającego z ustawy o finansach publicznych.  W projekcie przedkładanej</w:t>
      </w:r>
      <w:r>
        <w:rPr>
          <w:rFonts w:ascii="Verdana" w:hAnsi="Verdana"/>
          <w:iCs/>
          <w:sz w:val="16"/>
          <w:szCs w:val="16"/>
        </w:rPr>
        <w:t xml:space="preserve"> WPF</w:t>
      </w:r>
      <w:r w:rsidRPr="00383392">
        <w:rPr>
          <w:rFonts w:ascii="Verdana" w:hAnsi="Verdana"/>
          <w:iCs/>
          <w:sz w:val="16"/>
          <w:szCs w:val="16"/>
        </w:rPr>
        <w:t xml:space="preserve"> zakłada się </w:t>
      </w:r>
      <w:r>
        <w:rPr>
          <w:rFonts w:ascii="Verdana" w:hAnsi="Verdana"/>
          <w:iCs/>
          <w:sz w:val="16"/>
          <w:szCs w:val="16"/>
        </w:rPr>
        <w:t>zaciągnięcie w latach</w:t>
      </w:r>
      <w:r w:rsidRPr="00383392">
        <w:rPr>
          <w:rFonts w:ascii="Verdana" w:hAnsi="Verdana"/>
          <w:iCs/>
          <w:sz w:val="16"/>
          <w:szCs w:val="16"/>
        </w:rPr>
        <w:t xml:space="preserve"> 202</w:t>
      </w:r>
      <w:r>
        <w:rPr>
          <w:rFonts w:ascii="Verdana" w:hAnsi="Verdana"/>
          <w:iCs/>
          <w:sz w:val="16"/>
          <w:szCs w:val="16"/>
        </w:rPr>
        <w:t xml:space="preserve">4 – 2027 nowych zobowiązań zwrotnych </w:t>
      </w:r>
      <w:r w:rsidRPr="00383392">
        <w:rPr>
          <w:rFonts w:ascii="Verdana" w:hAnsi="Verdana"/>
          <w:iCs/>
          <w:sz w:val="16"/>
          <w:szCs w:val="16"/>
        </w:rPr>
        <w:t xml:space="preserve">do kwoty </w:t>
      </w:r>
      <w:r>
        <w:rPr>
          <w:rFonts w:ascii="Verdana" w:hAnsi="Verdana"/>
          <w:iCs/>
          <w:sz w:val="16"/>
          <w:szCs w:val="16"/>
        </w:rPr>
        <w:t>7,2</w:t>
      </w:r>
      <w:r w:rsidRPr="00383392">
        <w:rPr>
          <w:rFonts w:ascii="Verdana" w:hAnsi="Verdana"/>
          <w:iCs/>
          <w:sz w:val="16"/>
          <w:szCs w:val="16"/>
        </w:rPr>
        <w:t xml:space="preserve"> mld zł</w:t>
      </w:r>
      <w:r>
        <w:rPr>
          <w:rFonts w:ascii="Verdana" w:hAnsi="Verdana"/>
          <w:iCs/>
          <w:sz w:val="16"/>
          <w:szCs w:val="16"/>
        </w:rPr>
        <w:t>.</w:t>
      </w:r>
    </w:p>
    <w:p w:rsidR="004E65B0" w:rsidRDefault="004E65B0" w:rsidP="004E65B0">
      <w:pPr>
        <w:spacing w:before="40" w:after="40"/>
        <w:rPr>
          <w:rFonts w:ascii="Verdana" w:hAnsi="Verdana"/>
          <w:sz w:val="16"/>
          <w:szCs w:val="16"/>
        </w:rPr>
      </w:pPr>
      <w:r w:rsidRPr="00383392">
        <w:rPr>
          <w:rFonts w:ascii="Verdana" w:hAnsi="Verdana"/>
          <w:sz w:val="16"/>
          <w:szCs w:val="16"/>
        </w:rPr>
        <w:t xml:space="preserve">Biorąc pod </w:t>
      </w:r>
      <w:r w:rsidRPr="00383392">
        <w:rPr>
          <w:rFonts w:ascii="Verdana" w:hAnsi="Verdana"/>
          <w:iCs/>
          <w:sz w:val="16"/>
          <w:szCs w:val="16"/>
        </w:rPr>
        <w:t>uwagę</w:t>
      </w:r>
      <w:r w:rsidRPr="00383392">
        <w:rPr>
          <w:rFonts w:ascii="Verdana" w:hAnsi="Verdana"/>
          <w:sz w:val="16"/>
          <w:szCs w:val="16"/>
        </w:rPr>
        <w:t xml:space="preserve"> zalecenia w zakresie zarządzania długiem dla podmiotów publicznych</w:t>
      </w:r>
      <w:r>
        <w:rPr>
          <w:rFonts w:ascii="Verdana" w:hAnsi="Verdana"/>
          <w:sz w:val="16"/>
          <w:szCs w:val="16"/>
        </w:rPr>
        <w:t xml:space="preserve"> </w:t>
      </w:r>
      <w:r w:rsidRPr="00383392">
        <w:rPr>
          <w:rFonts w:ascii="Verdana" w:hAnsi="Verdana"/>
          <w:sz w:val="16"/>
          <w:szCs w:val="16"/>
        </w:rPr>
        <w:t xml:space="preserve">sformułowane zostały </w:t>
      </w:r>
      <w:r>
        <w:rPr>
          <w:rFonts w:ascii="Verdana" w:hAnsi="Verdana"/>
          <w:sz w:val="16"/>
          <w:szCs w:val="16"/>
        </w:rPr>
        <w:t xml:space="preserve">jakościowe i ilościowe </w:t>
      </w:r>
      <w:r w:rsidRPr="00383392">
        <w:rPr>
          <w:rFonts w:ascii="Verdana" w:hAnsi="Verdana"/>
          <w:sz w:val="16"/>
          <w:szCs w:val="16"/>
        </w:rPr>
        <w:t xml:space="preserve">zasady wytyczające </w:t>
      </w:r>
      <w:r>
        <w:rPr>
          <w:rFonts w:ascii="Verdana" w:hAnsi="Verdana"/>
          <w:sz w:val="16"/>
          <w:szCs w:val="16"/>
        </w:rPr>
        <w:t xml:space="preserve">ograniczenia w zakresie </w:t>
      </w:r>
      <w:r w:rsidRPr="00383392">
        <w:rPr>
          <w:rFonts w:ascii="Verdana" w:hAnsi="Verdana"/>
          <w:sz w:val="16"/>
          <w:szCs w:val="16"/>
        </w:rPr>
        <w:t>polityki długu</w:t>
      </w:r>
      <w:r>
        <w:rPr>
          <w:rFonts w:ascii="Verdana" w:hAnsi="Verdana"/>
          <w:sz w:val="16"/>
          <w:szCs w:val="16"/>
        </w:rPr>
        <w:t>, tak aby finansowanie potrzeb pożyczkowych nie generowało nadmiernego ryzyka rynkowego, płynności i operacyjnego</w:t>
      </w:r>
      <w:r w:rsidRPr="00383392">
        <w:rPr>
          <w:rFonts w:ascii="Verdana" w:hAnsi="Verdana"/>
          <w:sz w:val="16"/>
          <w:szCs w:val="16"/>
        </w:rPr>
        <w:t>:</w:t>
      </w:r>
    </w:p>
    <w:p w:rsidR="004E65B0" w:rsidRPr="00383392" w:rsidRDefault="004E65B0" w:rsidP="004E65B0">
      <w:pPr>
        <w:numPr>
          <w:ilvl w:val="0"/>
          <w:numId w:val="36"/>
        </w:numPr>
        <w:spacing w:before="40" w:after="40"/>
        <w:ind w:left="641" w:hanging="284"/>
        <w:jc w:val="both"/>
        <w:rPr>
          <w:rFonts w:ascii="Verdana" w:hAnsi="Verdana"/>
          <w:sz w:val="16"/>
          <w:szCs w:val="16"/>
        </w:rPr>
      </w:pPr>
      <w:r w:rsidRPr="00383392">
        <w:rPr>
          <w:rFonts w:ascii="Verdana" w:hAnsi="Verdana"/>
          <w:b/>
          <w:sz w:val="16"/>
          <w:szCs w:val="16"/>
        </w:rPr>
        <w:t xml:space="preserve">ograniczania ryzyka stopy procentowej </w:t>
      </w:r>
      <w:r w:rsidRPr="00383392">
        <w:rPr>
          <w:rFonts w:ascii="Verdana" w:hAnsi="Verdana"/>
          <w:sz w:val="16"/>
          <w:szCs w:val="16"/>
        </w:rPr>
        <w:t xml:space="preserve">- poprzez utrzymanie udziału zadłużenia o stałym oprocentowaniu powyżej 50% w zadłużeniu ogółem, </w:t>
      </w:r>
    </w:p>
    <w:p w:rsidR="004E65B0" w:rsidRPr="00383392" w:rsidRDefault="004E65B0" w:rsidP="004E65B0">
      <w:pPr>
        <w:numPr>
          <w:ilvl w:val="0"/>
          <w:numId w:val="36"/>
        </w:numPr>
        <w:spacing w:before="40" w:after="40"/>
        <w:ind w:left="641" w:hanging="284"/>
        <w:jc w:val="both"/>
        <w:rPr>
          <w:rFonts w:ascii="Verdana" w:eastAsia="MS Mincho" w:hAnsi="Verdana"/>
          <w:sz w:val="16"/>
          <w:szCs w:val="16"/>
        </w:rPr>
      </w:pPr>
      <w:r w:rsidRPr="00383392">
        <w:rPr>
          <w:rFonts w:ascii="Verdana" w:hAnsi="Verdana"/>
          <w:b/>
          <w:sz w:val="16"/>
          <w:szCs w:val="16"/>
        </w:rPr>
        <w:t xml:space="preserve">ograniczania ryzyka kursowego </w:t>
      </w:r>
      <w:r w:rsidRPr="00383392">
        <w:rPr>
          <w:rFonts w:ascii="Verdana" w:hAnsi="Verdana"/>
          <w:sz w:val="16"/>
          <w:szCs w:val="16"/>
        </w:rPr>
        <w:t xml:space="preserve">- poprzez utrzymanie udziału zadłużenia w walucie obcej poniżej 25% zadłużenia ogółem; zaciąganie długu w walucie obcej ograniczone będzie do waluty euro i tylko do przypadków uzasadnionych możliwością pozyskania finansowania o parametrach wyraźnie korzystniejszych od finansowania w walucie krajowej, </w:t>
      </w:r>
    </w:p>
    <w:p w:rsidR="004E65B0" w:rsidRPr="00383392" w:rsidRDefault="004E65B0" w:rsidP="004E65B0">
      <w:pPr>
        <w:numPr>
          <w:ilvl w:val="0"/>
          <w:numId w:val="36"/>
        </w:numPr>
        <w:spacing w:before="40" w:after="40"/>
        <w:ind w:left="641" w:hanging="284"/>
        <w:jc w:val="both"/>
        <w:rPr>
          <w:rFonts w:ascii="Verdana" w:hAnsi="Verdana"/>
          <w:sz w:val="16"/>
          <w:szCs w:val="16"/>
        </w:rPr>
      </w:pPr>
      <w:r w:rsidRPr="00383392">
        <w:rPr>
          <w:rFonts w:ascii="Verdana" w:hAnsi="Verdana"/>
          <w:b/>
          <w:sz w:val="16"/>
          <w:szCs w:val="16"/>
        </w:rPr>
        <w:t xml:space="preserve">ograniczania ryzyka refinansowania - </w:t>
      </w:r>
      <w:r w:rsidRPr="00383392">
        <w:rPr>
          <w:rFonts w:ascii="Verdana" w:hAnsi="Verdana"/>
          <w:sz w:val="16"/>
          <w:szCs w:val="16"/>
        </w:rPr>
        <w:t xml:space="preserve">poprzez zapewnienie odpowiednich parametrów długu pod względem średniej zapadalności oraz równomiernego rozłożenia wykupów w kolejnych latach, </w:t>
      </w:r>
    </w:p>
    <w:p w:rsidR="004E65B0" w:rsidRPr="00383392" w:rsidRDefault="004E65B0" w:rsidP="004E65B0">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ograniczania ryzyka utraty płynności budżetu</w:t>
      </w:r>
      <w:r w:rsidRPr="00383392">
        <w:rPr>
          <w:rFonts w:ascii="Verdana" w:eastAsia="MS Mincho" w:hAnsi="Verdana"/>
          <w:sz w:val="16"/>
          <w:szCs w:val="16"/>
        </w:rPr>
        <w:t xml:space="preserve"> (zdolności do regulowania bieżących zobowiązań oraz terminowej realizacji wydatków budżetowych) - poprzez bieżące zarządzanie i kontrolę strumieni wydatków, ustalanie odpowiedniego, optymalnego stanu płynnych rezerw na najbliższe okresy planistyczne oraz zagwarantowanie stałego dostępu do standardowych instrumentów pozyskiwania środków w razie potrzeby dodatkowej płynności,</w:t>
      </w:r>
    </w:p>
    <w:p w:rsidR="004E65B0" w:rsidRPr="00383392" w:rsidRDefault="004E65B0" w:rsidP="004E65B0">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ograniczenia ryzyka operacyjnego</w:t>
      </w:r>
      <w:r w:rsidRPr="00383392">
        <w:rPr>
          <w:rFonts w:ascii="Verdana" w:eastAsia="MS Mincho" w:hAnsi="Verdana"/>
          <w:sz w:val="16"/>
          <w:szCs w:val="16"/>
        </w:rPr>
        <w:t xml:space="preserve"> - poprzez stosowanie procedur, nadzór i monitoring,</w:t>
      </w:r>
    </w:p>
    <w:p w:rsidR="004E65B0" w:rsidRPr="002130F2" w:rsidRDefault="004E65B0" w:rsidP="004E65B0">
      <w:pPr>
        <w:numPr>
          <w:ilvl w:val="0"/>
          <w:numId w:val="36"/>
        </w:numPr>
        <w:spacing w:before="40" w:after="40"/>
        <w:ind w:left="641" w:hanging="284"/>
        <w:jc w:val="both"/>
        <w:rPr>
          <w:rFonts w:ascii="Verdana" w:eastAsia="MS Mincho" w:hAnsi="Verdana"/>
          <w:sz w:val="16"/>
          <w:szCs w:val="16"/>
        </w:rPr>
      </w:pPr>
      <w:r w:rsidRPr="00383392">
        <w:rPr>
          <w:rFonts w:ascii="Verdana" w:eastAsia="MS Mincho" w:hAnsi="Verdana"/>
          <w:b/>
          <w:sz w:val="16"/>
          <w:szCs w:val="16"/>
        </w:rPr>
        <w:t>ograniczenia ryzyka prawnego</w:t>
      </w:r>
      <w:r w:rsidRPr="00383392">
        <w:rPr>
          <w:rFonts w:ascii="Verdana" w:eastAsia="MS Mincho" w:hAnsi="Verdana"/>
          <w:sz w:val="16"/>
          <w:szCs w:val="16"/>
        </w:rPr>
        <w:t xml:space="preserve"> - </w:t>
      </w:r>
      <w:r w:rsidRPr="00B66D72">
        <w:rPr>
          <w:rFonts w:ascii="Verdana" w:eastAsia="MS Mincho" w:hAnsi="Verdana"/>
          <w:sz w:val="16"/>
          <w:szCs w:val="16"/>
        </w:rPr>
        <w:t xml:space="preserve">poprzez </w:t>
      </w:r>
      <w:r w:rsidRPr="00B90C3B">
        <w:rPr>
          <w:rFonts w:ascii="Verdana" w:eastAsia="MS Mincho" w:hAnsi="Verdana"/>
          <w:sz w:val="16"/>
          <w:szCs w:val="16"/>
        </w:rPr>
        <w:t>utrzymanie</w:t>
      </w:r>
      <w:r w:rsidRPr="00B66D72">
        <w:rPr>
          <w:rFonts w:ascii="Verdana" w:eastAsia="MS Mincho" w:hAnsi="Verdana"/>
          <w:sz w:val="16"/>
          <w:szCs w:val="16"/>
        </w:rPr>
        <w:t xml:space="preserve"> w średniej perspektywie odpowiedniej rezerwy wskaźnikowej określonej w art. 242 i 243 </w:t>
      </w:r>
      <w:r w:rsidRPr="00B66D72">
        <w:rPr>
          <w:rFonts w:ascii="Verdana" w:eastAsia="MS Mincho" w:hAnsi="Verdana"/>
          <w:iCs/>
          <w:sz w:val="16"/>
          <w:szCs w:val="16"/>
        </w:rPr>
        <w:t>ustawy o finansach publicznych</w:t>
      </w:r>
      <w:r w:rsidRPr="00B66D72" w:rsidDel="008A7E2E">
        <w:rPr>
          <w:rFonts w:ascii="Verdana" w:eastAsia="MS Mincho" w:hAnsi="Verdana"/>
          <w:sz w:val="16"/>
          <w:szCs w:val="16"/>
        </w:rPr>
        <w:t xml:space="preserve"> </w:t>
      </w:r>
      <w:r w:rsidRPr="00B66D72">
        <w:rPr>
          <w:rFonts w:ascii="Verdana" w:eastAsia="MS Mincho" w:hAnsi="Verdana"/>
          <w:sz w:val="16"/>
          <w:szCs w:val="16"/>
        </w:rPr>
        <w:t xml:space="preserve">oraz optymalny dobór </w:t>
      </w:r>
      <w:r w:rsidRPr="002130F2">
        <w:rPr>
          <w:rFonts w:ascii="Verdana" w:eastAsia="MS Mincho" w:hAnsi="Verdana"/>
          <w:sz w:val="16"/>
          <w:szCs w:val="16"/>
        </w:rPr>
        <w:t>instrumentów dłużnych.</w:t>
      </w:r>
    </w:p>
    <w:p w:rsidR="004E65B0" w:rsidRPr="002130F2" w:rsidRDefault="004E65B0" w:rsidP="004E65B0">
      <w:pPr>
        <w:spacing w:before="40" w:after="40"/>
        <w:rPr>
          <w:rFonts w:ascii="Verdana" w:hAnsi="Verdana"/>
          <w:sz w:val="16"/>
          <w:szCs w:val="16"/>
        </w:rPr>
      </w:pPr>
      <w:r w:rsidRPr="002130F2">
        <w:rPr>
          <w:rFonts w:ascii="Verdana" w:hAnsi="Verdana"/>
          <w:sz w:val="16"/>
          <w:szCs w:val="16"/>
        </w:rPr>
        <w:t>Konieczność sfinansowania programu inwestycji przy jednoczesnym  zdefiniowaniu ograniczeń stosowanych przy zaciąganiu zobowiązań oraz uwzględnienie regulacji ustawowych związanych z limitami obsługi długu i sytuacji finansowej Miasta, przełożone zostało na sformułowanie celu polityki długu.</w:t>
      </w:r>
    </w:p>
    <w:p w:rsidR="004E65B0" w:rsidRPr="002130F2" w:rsidRDefault="004E65B0" w:rsidP="004E65B0">
      <w:pPr>
        <w:spacing w:before="40" w:after="240"/>
        <w:rPr>
          <w:rFonts w:ascii="Verdana" w:hAnsi="Verdana"/>
          <w:b/>
          <w:sz w:val="16"/>
          <w:szCs w:val="16"/>
        </w:rPr>
      </w:pPr>
      <w:r w:rsidRPr="002130F2">
        <w:rPr>
          <w:rFonts w:ascii="Verdana" w:hAnsi="Verdana"/>
          <w:noProof/>
          <w:sz w:val="16"/>
          <w:szCs w:val="16"/>
        </w:rPr>
        <mc:AlternateContent>
          <mc:Choice Requires="wps">
            <w:drawing>
              <wp:anchor distT="0" distB="0" distL="114300" distR="114300" simplePos="0" relativeHeight="251723776" behindDoc="0" locked="0" layoutInCell="1" allowOverlap="1" wp14:anchorId="7CE058BB" wp14:editId="45B8ECC1">
                <wp:simplePos x="0" y="0"/>
                <wp:positionH relativeFrom="margin">
                  <wp:align>left</wp:align>
                </wp:positionH>
                <wp:positionV relativeFrom="paragraph">
                  <wp:posOffset>238362</wp:posOffset>
                </wp:positionV>
                <wp:extent cx="5861050" cy="3232298"/>
                <wp:effectExtent l="0" t="0" r="25400" b="25400"/>
                <wp:wrapNone/>
                <wp:docPr id="5" name="Prostokąt 5"/>
                <wp:cNvGraphicFramePr/>
                <a:graphic xmlns:a="http://schemas.openxmlformats.org/drawingml/2006/main">
                  <a:graphicData uri="http://schemas.microsoft.com/office/word/2010/wordprocessingShape">
                    <wps:wsp>
                      <wps:cNvSpPr/>
                      <wps:spPr>
                        <a:xfrm>
                          <a:off x="0" y="0"/>
                          <a:ext cx="5861050" cy="3232298"/>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04155" id="Prostokąt 5" o:spid="_x0000_s1026" style="position:absolute;margin-left:0;margin-top:18.75pt;width:461.5pt;height:254.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" filled="f" strokecolor="black [3213]" strokeweight="1.75pt">
                <w10:wrap anchorx="margin"/>
              </v:rect>
            </w:pict>
          </mc:Fallback>
        </mc:AlternateContent>
      </w:r>
      <w:r w:rsidRPr="002130F2">
        <w:rPr>
          <w:rFonts w:ascii="Verdana" w:hAnsi="Verdana"/>
          <w:b/>
          <w:sz w:val="16"/>
          <w:szCs w:val="16"/>
        </w:rPr>
        <w:t>Cel polityki długu i ograniczenia dotyczące struktury zaciąganych zobowiązań:</w:t>
      </w:r>
    </w:p>
    <w:p w:rsidR="004E65B0" w:rsidRPr="002130F2" w:rsidRDefault="004E65B0" w:rsidP="004E65B0">
      <w:pPr>
        <w:spacing w:before="40" w:after="40" w:line="312" w:lineRule="auto"/>
        <w:ind w:left="360"/>
        <w:jc w:val="both"/>
        <w:rPr>
          <w:rFonts w:ascii="Verdana" w:hAnsi="Verdana"/>
          <w:b/>
          <w:sz w:val="16"/>
          <w:szCs w:val="16"/>
        </w:rPr>
      </w:pPr>
      <w:r>
        <w:rPr>
          <w:rFonts w:ascii="Verdana" w:hAnsi="Verdana"/>
          <w:b/>
          <w:sz w:val="16"/>
          <w:szCs w:val="16"/>
        </w:rPr>
        <w:t>Głównym celem p</w:t>
      </w:r>
      <w:r w:rsidRPr="002130F2">
        <w:rPr>
          <w:rFonts w:ascii="Verdana" w:hAnsi="Verdana"/>
          <w:b/>
          <w:sz w:val="16"/>
          <w:szCs w:val="16"/>
        </w:rPr>
        <w:t>olityki długu jest sfinansowanie potrzeb pożyczkowych umożliwiających realizację programu inwestycyjnego przy uwzględnieniu ograniczeń związanych z zarządzaniem długiem dotyczących:</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zachowania relacji długu do dochodów ogółem poniżej 55% przy czym w sytuacjach wystąpienia zewnętrznych okoliczności nadzwyczajnych możliwe będzie wystąpienie okresowych odchyleń,</w:t>
      </w:r>
      <w:r w:rsidRPr="002130F2">
        <w:rPr>
          <w:rFonts w:ascii="Verdana" w:hAnsi="Verdana"/>
          <w:sz w:val="16"/>
          <w:szCs w:val="16"/>
        </w:rPr>
        <w:t xml:space="preserve"> </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kształtowania struktury terminowej obsługi zadłużenia</w:t>
      </w:r>
      <w:r w:rsidRPr="002130F2">
        <w:rPr>
          <w:rFonts w:ascii="Verdana" w:hAnsi="Verdana"/>
          <w:sz w:val="16"/>
          <w:szCs w:val="16"/>
        </w:rPr>
        <w:t xml:space="preserve"> (kapitał i odsetki) – adekwatnej do limitu indywidualnego wskaźnika obsługi długu (wynikającego z art. 243 ustawy o finansach publicznych),</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minimalizacji kosztów obsługi długu w długim okresie</w:t>
      </w:r>
      <w:r w:rsidRPr="002130F2">
        <w:rPr>
          <w:rFonts w:ascii="Verdana" w:hAnsi="Verdana"/>
          <w:sz w:val="16"/>
          <w:szCs w:val="16"/>
        </w:rPr>
        <w:t xml:space="preserve"> - poprzez optymalny dobór instrumentów zarządzania długiem, jego struktury i terminów emisji,</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sz w:val="16"/>
          <w:szCs w:val="16"/>
        </w:rPr>
      </w:pPr>
      <w:r w:rsidRPr="002130F2">
        <w:rPr>
          <w:rFonts w:ascii="Verdana" w:hAnsi="Verdana"/>
          <w:b/>
          <w:sz w:val="16"/>
          <w:szCs w:val="16"/>
        </w:rPr>
        <w:t xml:space="preserve">utrzymywania zadłużenia w walucie obcej poniżej poziomu 25% całego zadłużenia </w:t>
      </w:r>
      <w:r w:rsidRPr="002130F2">
        <w:rPr>
          <w:rFonts w:ascii="Verdana" w:hAnsi="Verdana"/>
          <w:sz w:val="16"/>
          <w:szCs w:val="16"/>
        </w:rPr>
        <w:t xml:space="preserve">– finansowanie w walutach obcych stosowane tylko w uzasadnionych przypadkach i dokonywane tylko </w:t>
      </w:r>
      <w:r>
        <w:rPr>
          <w:rFonts w:ascii="Verdana" w:hAnsi="Verdana"/>
          <w:sz w:val="16"/>
          <w:szCs w:val="16"/>
        </w:rPr>
        <w:br/>
      </w:r>
      <w:r w:rsidRPr="002130F2">
        <w:rPr>
          <w:rFonts w:ascii="Verdana" w:hAnsi="Verdana"/>
          <w:sz w:val="16"/>
          <w:szCs w:val="16"/>
        </w:rPr>
        <w:t xml:space="preserve">w euro, </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t>utrzymywania zadłużenia o stałym oprocentowaniu na poziomie nie mniejszym niż 50% całego zadłużenia,</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sz w:val="16"/>
          <w:szCs w:val="16"/>
        </w:rPr>
      </w:pPr>
      <w:r w:rsidRPr="002130F2">
        <w:rPr>
          <w:rFonts w:ascii="Verdana" w:hAnsi="Verdana"/>
          <w:b/>
          <w:sz w:val="16"/>
          <w:szCs w:val="16"/>
        </w:rPr>
        <w:t xml:space="preserve">utrzymywania możliwości dywersyfikacji portfela długu </w:t>
      </w:r>
      <w:r w:rsidRPr="002130F2">
        <w:rPr>
          <w:rFonts w:ascii="Verdana" w:hAnsi="Verdana"/>
          <w:sz w:val="16"/>
          <w:szCs w:val="16"/>
        </w:rPr>
        <w:t>- w oparciu o kredyty i obligacje uzupełniane preferencyjnymi pożyczkami,</w:t>
      </w:r>
    </w:p>
    <w:p w:rsidR="004E65B0" w:rsidRPr="002130F2" w:rsidRDefault="004E65B0" w:rsidP="004E65B0">
      <w:pPr>
        <w:pStyle w:val="Akapitzlist"/>
        <w:numPr>
          <w:ilvl w:val="0"/>
          <w:numId w:val="69"/>
        </w:numPr>
        <w:spacing w:before="40" w:after="40" w:line="312" w:lineRule="auto"/>
        <w:ind w:left="714" w:hanging="357"/>
        <w:contextualSpacing w:val="0"/>
        <w:jc w:val="both"/>
        <w:rPr>
          <w:rFonts w:ascii="Verdana" w:hAnsi="Verdana"/>
          <w:b/>
          <w:sz w:val="16"/>
          <w:szCs w:val="16"/>
        </w:rPr>
      </w:pPr>
      <w:r w:rsidRPr="002130F2">
        <w:rPr>
          <w:rFonts w:ascii="Verdana" w:hAnsi="Verdana"/>
          <w:b/>
          <w:sz w:val="16"/>
          <w:szCs w:val="16"/>
        </w:rPr>
        <w:lastRenderedPageBreak/>
        <w:t>utrzymywania adekwatnego do ryzyka poziomu rezerw płynnych środków.</w:t>
      </w:r>
    </w:p>
    <w:p w:rsidR="004E65B0" w:rsidRDefault="004E65B0" w:rsidP="004E65B0">
      <w:pPr>
        <w:spacing w:before="120"/>
        <w:jc w:val="both"/>
        <w:rPr>
          <w:rFonts w:ascii="Verdana" w:hAnsi="Verdana"/>
          <w:sz w:val="16"/>
          <w:szCs w:val="16"/>
        </w:rPr>
      </w:pPr>
    </w:p>
    <w:p w:rsidR="004E65B0" w:rsidRPr="00383392" w:rsidRDefault="004E65B0" w:rsidP="004E65B0">
      <w:pPr>
        <w:jc w:val="both"/>
        <w:rPr>
          <w:sz w:val="16"/>
          <w:szCs w:val="16"/>
        </w:rPr>
      </w:pPr>
      <w:r w:rsidRPr="00383392">
        <w:rPr>
          <w:rFonts w:ascii="Verdana" w:hAnsi="Verdana"/>
          <w:sz w:val="16"/>
          <w:szCs w:val="16"/>
        </w:rPr>
        <w:t>Wieloletnia Prognoza Finansowa</w:t>
      </w:r>
      <w:r>
        <w:rPr>
          <w:rFonts w:ascii="Verdana" w:hAnsi="Verdana"/>
          <w:sz w:val="16"/>
          <w:szCs w:val="16"/>
        </w:rPr>
        <w:t>,</w:t>
      </w:r>
      <w:r w:rsidRPr="00383392">
        <w:rPr>
          <w:rFonts w:ascii="Verdana" w:hAnsi="Verdana"/>
          <w:sz w:val="16"/>
          <w:szCs w:val="16"/>
        </w:rPr>
        <w:t xml:space="preserve"> uwzględniając zewnętrzne uwarunkowania związane między innymi</w:t>
      </w:r>
      <w:r>
        <w:rPr>
          <w:rFonts w:ascii="Verdana" w:hAnsi="Verdana"/>
          <w:sz w:val="16"/>
          <w:szCs w:val="16"/>
        </w:rPr>
        <w:t xml:space="preserve">  </w:t>
      </w:r>
      <w:r>
        <w:rPr>
          <w:rFonts w:ascii="Verdana" w:hAnsi="Verdana"/>
          <w:sz w:val="16"/>
          <w:szCs w:val="16"/>
        </w:rPr>
        <w:br/>
      </w:r>
      <w:r w:rsidRPr="00383392">
        <w:rPr>
          <w:rFonts w:ascii="Verdana" w:hAnsi="Verdana"/>
          <w:sz w:val="16"/>
          <w:szCs w:val="16"/>
        </w:rPr>
        <w:t>z wahaniami koniunktury, zapewnia utrzymywan</w:t>
      </w:r>
      <w:r>
        <w:rPr>
          <w:rFonts w:ascii="Verdana" w:hAnsi="Verdana"/>
          <w:sz w:val="16"/>
          <w:szCs w:val="16"/>
        </w:rPr>
        <w:t>ie poziomu zadłużenia poniżej 55</w:t>
      </w:r>
      <w:r w:rsidRPr="00383392">
        <w:rPr>
          <w:rFonts w:ascii="Verdana" w:hAnsi="Verdana"/>
          <w:sz w:val="16"/>
          <w:szCs w:val="16"/>
        </w:rPr>
        <w:t xml:space="preserve">% w relacji do dochodów budżetowych. </w:t>
      </w:r>
      <w:r w:rsidRPr="00EE37CE">
        <w:rPr>
          <w:rFonts w:ascii="Verdana" w:hAnsi="Verdana"/>
          <w:sz w:val="16"/>
          <w:szCs w:val="16"/>
        </w:rPr>
        <w:t>Przewiduje się, że w okresie rosnącego zadłużenia (lata 202</w:t>
      </w:r>
      <w:r>
        <w:rPr>
          <w:rFonts w:ascii="Verdana" w:hAnsi="Verdana"/>
          <w:sz w:val="16"/>
          <w:szCs w:val="16"/>
        </w:rPr>
        <w:t>4</w:t>
      </w:r>
      <w:r w:rsidRPr="00EE37CE">
        <w:rPr>
          <w:rFonts w:ascii="Verdana" w:hAnsi="Verdana"/>
          <w:sz w:val="16"/>
          <w:szCs w:val="16"/>
        </w:rPr>
        <w:t>-202</w:t>
      </w:r>
      <w:r>
        <w:rPr>
          <w:rFonts w:ascii="Verdana" w:hAnsi="Verdana"/>
          <w:sz w:val="16"/>
          <w:szCs w:val="16"/>
        </w:rPr>
        <w:t>7</w:t>
      </w:r>
      <w:r w:rsidRPr="00EE37CE">
        <w:rPr>
          <w:rFonts w:ascii="Verdana" w:hAnsi="Verdana"/>
          <w:sz w:val="16"/>
          <w:szCs w:val="16"/>
        </w:rPr>
        <w:t>) wskaźnik ten nie powinien przekroczyć poziomu 55%. Założenie wewnętrznego limitu 55% długu do dochodów</w:t>
      </w:r>
      <w:r w:rsidRPr="002130F2">
        <w:rPr>
          <w:rFonts w:ascii="Verdana" w:hAnsi="Verdana"/>
          <w:sz w:val="16"/>
          <w:szCs w:val="16"/>
        </w:rPr>
        <w:t>, tworzy margines bezpieczeństwa</w:t>
      </w:r>
      <w:r w:rsidRPr="002130F2">
        <w:rPr>
          <w:rFonts w:ascii="Verdana" w:hAnsi="Verdana"/>
          <w:color w:val="00B0F0"/>
          <w:sz w:val="16"/>
          <w:szCs w:val="16"/>
        </w:rPr>
        <w:t xml:space="preserve"> </w:t>
      </w:r>
      <w:r w:rsidRPr="002130F2">
        <w:rPr>
          <w:rFonts w:ascii="Verdana" w:hAnsi="Verdana"/>
          <w:sz w:val="16"/>
          <w:szCs w:val="16"/>
        </w:rPr>
        <w:t>dla absorpcji ewentualnych zmian zewnętrznych wywołanych wzrostem oprocentowania, modyfikacjami systemu fiskalnego, czy spadkiem PKB i dochodów podatkowych. Biorąc jednak pod uwagę dużą zmienność uwarunkowań zewnętrznych i wpływ czynników egzogenicznych na sytuację finansową Miasta, zwłaszcza w obszarze dochodów, dopuszczalne jest ewentualne odchylenie od przyjętego limitu w ograniczonym czasowo horyzoncie.</w:t>
      </w:r>
    </w:p>
    <w:p w:rsidR="004E65B0" w:rsidRDefault="004E65B0" w:rsidP="004E65B0">
      <w:pPr>
        <w:spacing w:before="120"/>
        <w:jc w:val="both"/>
        <w:rPr>
          <w:rFonts w:ascii="Verdana" w:hAnsi="Verdana"/>
          <w:sz w:val="16"/>
          <w:szCs w:val="16"/>
        </w:rPr>
      </w:pPr>
      <w:r w:rsidRPr="00383392">
        <w:rPr>
          <w:rFonts w:ascii="Verdana" w:hAnsi="Verdana"/>
          <w:sz w:val="16"/>
          <w:szCs w:val="16"/>
        </w:rPr>
        <w:t xml:space="preserve">Koszty obsługi zobowiązań w części opartej o zmienną stopę procentową ulegają zmianom w zależności od stóp rynku pieniężnego kształtowanych w istotnym stopniu przez decyzje Rady Polityki Pieniężnej NBP. </w:t>
      </w:r>
      <w:r>
        <w:rPr>
          <w:rFonts w:ascii="Verdana" w:hAnsi="Verdana"/>
          <w:sz w:val="16"/>
          <w:szCs w:val="16"/>
        </w:rPr>
        <w:t xml:space="preserve">RPP w wyniku gwałtownie rosnącej inflacji w październiku 2021 r. rozpoczęła cykl podwyżek stóp procentowych. Po jedenastu podwyżkach RPP, z uwagi na obserwowany od marca br. powolny spadek inflacji,  zdecydowała się na dwie obniżki stóp procentowych – we wrześniu br. o 75 p.b. oraz w październiku br. o 25 p.b. Obecnie poziom stopy referencyjnej wynosi 5,75%. Stawki Wibor 3M i 6M, na których najczęściej oparte jest oprocentowanie zmienne zobowiązań, kształtują się w przedziale 5,81% - 5,86% (na dzień 19.12.2023 r.). </w:t>
      </w:r>
    </w:p>
    <w:p w:rsidR="004E65B0" w:rsidRPr="00383392" w:rsidRDefault="004E65B0" w:rsidP="004E65B0">
      <w:pPr>
        <w:spacing w:before="120"/>
        <w:jc w:val="both"/>
        <w:rPr>
          <w:rFonts w:ascii="Verdana" w:hAnsi="Verdana"/>
          <w:sz w:val="16"/>
          <w:szCs w:val="16"/>
        </w:rPr>
      </w:pPr>
      <w:r w:rsidRPr="00383392">
        <w:rPr>
          <w:rFonts w:ascii="Verdana" w:hAnsi="Verdana"/>
          <w:sz w:val="16"/>
          <w:szCs w:val="16"/>
        </w:rPr>
        <w:t>Przyjęte ograniczenie ryzyka stopy procentowej, poprzez utrzymanie udziału zadłużenia o stałym oprocentowaniu powyżej 50% w zadłużeniu ogółem, zmniejsza potencjalne negatywne oddziaływanie wzrostu stóp na wydatki Miasta,</w:t>
      </w:r>
      <w:r>
        <w:rPr>
          <w:rFonts w:ascii="Verdana" w:hAnsi="Verdana"/>
          <w:sz w:val="16"/>
          <w:szCs w:val="16"/>
        </w:rPr>
        <w:t xml:space="preserve"> </w:t>
      </w:r>
      <w:r w:rsidRPr="00383392">
        <w:rPr>
          <w:rFonts w:ascii="Verdana" w:hAnsi="Verdana"/>
          <w:sz w:val="16"/>
          <w:szCs w:val="16"/>
        </w:rPr>
        <w:t xml:space="preserve">a tym samym i na wzrost wskaźnika obsługi zadłużenia ponad planowany poziom. </w:t>
      </w:r>
      <w:r>
        <w:rPr>
          <w:rFonts w:ascii="Verdana" w:hAnsi="Verdana"/>
          <w:sz w:val="16"/>
          <w:szCs w:val="16"/>
        </w:rPr>
        <w:t xml:space="preserve">Finansowanie zwrotne w latach 2020-21 było zaciągane przez Miasto w okresie rekordowo niskich stóp procentowych. W najbliższych latach na poziom kosztów będą miały wpływ warunki na jakich będą zaciągane nowe zobowiązania. </w:t>
      </w:r>
    </w:p>
    <w:p w:rsidR="004E65B0" w:rsidRPr="00383392" w:rsidRDefault="004E65B0" w:rsidP="004E65B0">
      <w:pPr>
        <w:spacing w:before="120"/>
        <w:jc w:val="both"/>
        <w:rPr>
          <w:rFonts w:ascii="Verdana" w:hAnsi="Verdana"/>
          <w:sz w:val="16"/>
          <w:szCs w:val="16"/>
        </w:rPr>
      </w:pPr>
      <w:r w:rsidRPr="00383392">
        <w:rPr>
          <w:rFonts w:ascii="Verdana" w:hAnsi="Verdana"/>
          <w:sz w:val="16"/>
          <w:szCs w:val="16"/>
        </w:rPr>
        <w:t xml:space="preserve">Możliwość zadłużenia w walutach obcych pozostanie ograniczona do sytuacji uzasadnionych. Na wypadek wystąpienia takich sytuacji wprowadzono limit udziału zadłużenia w walutach obcych poniżej 25% zadłużenia ogółem. </w:t>
      </w:r>
      <w:r>
        <w:rPr>
          <w:rFonts w:ascii="Verdana" w:hAnsi="Verdana"/>
          <w:sz w:val="16"/>
          <w:szCs w:val="16"/>
        </w:rPr>
        <w:t>Utrzymywanie</w:t>
      </w:r>
      <w:r w:rsidRPr="00383392">
        <w:rPr>
          <w:rFonts w:ascii="Verdana" w:hAnsi="Verdana"/>
          <w:sz w:val="16"/>
          <w:szCs w:val="16"/>
        </w:rPr>
        <w:t xml:space="preserve"> stóp procentowych w strefie euro</w:t>
      </w:r>
      <w:r w:rsidRPr="00383392">
        <w:rPr>
          <w:rFonts w:ascii="Verdana" w:hAnsi="Verdana"/>
          <w:color w:val="FF0000"/>
          <w:sz w:val="16"/>
          <w:szCs w:val="16"/>
        </w:rPr>
        <w:t xml:space="preserve"> </w:t>
      </w:r>
      <w:r w:rsidRPr="00383392">
        <w:rPr>
          <w:rFonts w:ascii="Verdana" w:hAnsi="Verdana"/>
          <w:sz w:val="16"/>
          <w:szCs w:val="16"/>
        </w:rPr>
        <w:t xml:space="preserve">poniżej zera, awersja do ryzyka na rynkach finansowych i utrzymanie stabilnego ratingu inwestycyjnego przez Polskę i m.st. Warszawę spowodowało wystąpienie </w:t>
      </w:r>
      <w:r>
        <w:rPr>
          <w:rFonts w:ascii="Verdana" w:hAnsi="Verdana"/>
          <w:sz w:val="16"/>
          <w:szCs w:val="16"/>
        </w:rPr>
        <w:t xml:space="preserve">w latach  2020-21 </w:t>
      </w:r>
      <w:r w:rsidRPr="00383392">
        <w:rPr>
          <w:rFonts w:ascii="Verdana" w:hAnsi="Verdana"/>
          <w:sz w:val="16"/>
          <w:szCs w:val="16"/>
        </w:rPr>
        <w:t>sytuacji, w której możliwe okaza</w:t>
      </w:r>
      <w:r>
        <w:rPr>
          <w:rFonts w:ascii="Verdana" w:hAnsi="Verdana"/>
          <w:sz w:val="16"/>
          <w:szCs w:val="16"/>
        </w:rPr>
        <w:t>ło</w:t>
      </w:r>
      <w:r w:rsidRPr="00383392">
        <w:rPr>
          <w:rFonts w:ascii="Verdana" w:hAnsi="Verdana"/>
          <w:sz w:val="16"/>
          <w:szCs w:val="16"/>
        </w:rPr>
        <w:t xml:space="preserve"> się pozyskanie </w:t>
      </w:r>
      <w:r>
        <w:rPr>
          <w:rFonts w:ascii="Verdana" w:hAnsi="Verdana"/>
          <w:sz w:val="16"/>
          <w:szCs w:val="16"/>
        </w:rPr>
        <w:t xml:space="preserve">długoterminowego </w:t>
      </w:r>
      <w:r w:rsidRPr="00383392">
        <w:rPr>
          <w:rFonts w:ascii="Verdana" w:hAnsi="Verdana"/>
          <w:sz w:val="16"/>
          <w:szCs w:val="16"/>
        </w:rPr>
        <w:t xml:space="preserve">finansowania w euro o </w:t>
      </w:r>
      <w:r>
        <w:rPr>
          <w:rFonts w:ascii="Verdana" w:hAnsi="Verdana"/>
          <w:sz w:val="16"/>
          <w:szCs w:val="16"/>
        </w:rPr>
        <w:t>zerowym oprocentowaniu</w:t>
      </w:r>
      <w:r w:rsidRPr="00383392">
        <w:rPr>
          <w:rFonts w:ascii="Verdana" w:hAnsi="Verdana"/>
          <w:sz w:val="16"/>
          <w:szCs w:val="16"/>
        </w:rPr>
        <w:t xml:space="preserve">. </w:t>
      </w:r>
      <w:r>
        <w:rPr>
          <w:rFonts w:ascii="Verdana" w:hAnsi="Verdana"/>
          <w:sz w:val="16"/>
          <w:szCs w:val="16"/>
        </w:rPr>
        <w:t>Wzrost stóp procentowych na rynkach bazowych spowodował, że w 2022 i 2023 r. pozyskanie takiego finansowania stało się niemożliwe</w:t>
      </w:r>
      <w:r w:rsidRPr="00383392">
        <w:rPr>
          <w:rFonts w:ascii="Verdana" w:hAnsi="Verdana"/>
          <w:sz w:val="16"/>
          <w:szCs w:val="16"/>
        </w:rPr>
        <w:t xml:space="preserve">. </w:t>
      </w:r>
    </w:p>
    <w:p w:rsidR="004E65B0" w:rsidRPr="00383392" w:rsidRDefault="004E65B0" w:rsidP="004E65B0">
      <w:pPr>
        <w:spacing w:before="120"/>
        <w:jc w:val="both"/>
        <w:rPr>
          <w:rFonts w:ascii="Verdana" w:hAnsi="Verdana"/>
          <w:sz w:val="16"/>
          <w:szCs w:val="16"/>
        </w:rPr>
      </w:pPr>
      <w:r w:rsidRPr="00383392">
        <w:rPr>
          <w:rFonts w:ascii="Verdana" w:hAnsi="Verdana"/>
          <w:sz w:val="16"/>
          <w:szCs w:val="16"/>
        </w:rPr>
        <w:t>W prognozie WPF przyjęto założenie finansowania potrzeb pożyczkowych budżetu zgodnie z dotychczasową zasadą, korzystając z dwóch zasadniczych źródeł finansowania:</w:t>
      </w:r>
    </w:p>
    <w:p w:rsidR="004E65B0" w:rsidRPr="00383392" w:rsidRDefault="004E65B0" w:rsidP="004E65B0">
      <w:pPr>
        <w:numPr>
          <w:ilvl w:val="0"/>
          <w:numId w:val="37"/>
        </w:numPr>
        <w:spacing w:before="120"/>
        <w:ind w:left="641" w:hanging="284"/>
        <w:jc w:val="both"/>
        <w:rPr>
          <w:rFonts w:ascii="Verdana" w:hAnsi="Verdana"/>
          <w:sz w:val="16"/>
          <w:szCs w:val="16"/>
        </w:rPr>
      </w:pPr>
      <w:r w:rsidRPr="00383392">
        <w:rPr>
          <w:rFonts w:ascii="Verdana" w:hAnsi="Verdana"/>
          <w:sz w:val="16"/>
          <w:szCs w:val="16"/>
        </w:rPr>
        <w:t>na rynku zagranicznym w formie kredytu w międzynarodowyc</w:t>
      </w:r>
      <w:r>
        <w:rPr>
          <w:rFonts w:ascii="Verdana" w:hAnsi="Verdana"/>
          <w:sz w:val="16"/>
          <w:szCs w:val="16"/>
        </w:rPr>
        <w:t xml:space="preserve">h instytucjach finansowych </w:t>
      </w:r>
      <w:r>
        <w:rPr>
          <w:rFonts w:ascii="Verdana" w:hAnsi="Verdana"/>
          <w:sz w:val="16"/>
          <w:szCs w:val="16"/>
        </w:rPr>
        <w:br/>
        <w:t>(w tym w szczególności w</w:t>
      </w:r>
      <w:r w:rsidRPr="00383392">
        <w:rPr>
          <w:rFonts w:ascii="Verdana" w:hAnsi="Verdana"/>
          <w:sz w:val="16"/>
          <w:szCs w:val="16"/>
        </w:rPr>
        <w:t xml:space="preserve"> Europejski</w:t>
      </w:r>
      <w:r>
        <w:rPr>
          <w:rFonts w:ascii="Verdana" w:hAnsi="Verdana"/>
          <w:sz w:val="16"/>
          <w:szCs w:val="16"/>
        </w:rPr>
        <w:t>m</w:t>
      </w:r>
      <w:r w:rsidRPr="00383392">
        <w:rPr>
          <w:rFonts w:ascii="Verdana" w:hAnsi="Verdana"/>
          <w:sz w:val="16"/>
          <w:szCs w:val="16"/>
        </w:rPr>
        <w:t xml:space="preserve"> Bank</w:t>
      </w:r>
      <w:r>
        <w:rPr>
          <w:rFonts w:ascii="Verdana" w:hAnsi="Verdana"/>
          <w:sz w:val="16"/>
          <w:szCs w:val="16"/>
        </w:rPr>
        <w:t>u</w:t>
      </w:r>
      <w:r w:rsidRPr="00383392">
        <w:rPr>
          <w:rFonts w:ascii="Verdana" w:hAnsi="Verdana"/>
          <w:sz w:val="16"/>
          <w:szCs w:val="16"/>
        </w:rPr>
        <w:t xml:space="preserve"> Inwestycyjny</w:t>
      </w:r>
      <w:r>
        <w:rPr>
          <w:rFonts w:ascii="Verdana" w:hAnsi="Verdana"/>
          <w:sz w:val="16"/>
          <w:szCs w:val="16"/>
        </w:rPr>
        <w:t>m</w:t>
      </w:r>
      <w:r w:rsidRPr="00383392">
        <w:rPr>
          <w:rFonts w:ascii="Verdana" w:hAnsi="Verdana"/>
          <w:sz w:val="16"/>
          <w:szCs w:val="16"/>
        </w:rPr>
        <w:t xml:space="preserve">) lub alternatywnie poprzez emisje obligacji, </w:t>
      </w:r>
    </w:p>
    <w:p w:rsidR="004E65B0" w:rsidRPr="00383392" w:rsidRDefault="004E65B0" w:rsidP="004E65B0">
      <w:pPr>
        <w:numPr>
          <w:ilvl w:val="0"/>
          <w:numId w:val="37"/>
        </w:numPr>
        <w:spacing w:before="120"/>
        <w:ind w:left="641" w:hanging="284"/>
        <w:jc w:val="both"/>
        <w:rPr>
          <w:rFonts w:ascii="Verdana" w:hAnsi="Verdana"/>
          <w:sz w:val="16"/>
          <w:szCs w:val="16"/>
        </w:rPr>
      </w:pPr>
      <w:r w:rsidRPr="00383392">
        <w:rPr>
          <w:rFonts w:ascii="Verdana" w:hAnsi="Verdana"/>
          <w:sz w:val="16"/>
          <w:szCs w:val="16"/>
        </w:rPr>
        <w:t>na rynku krajowym w postaci obligacji lub kredytów bankowych.</w:t>
      </w:r>
    </w:p>
    <w:p w:rsidR="004E65B0" w:rsidRPr="00383392" w:rsidRDefault="004E65B0" w:rsidP="004E65B0">
      <w:pPr>
        <w:spacing w:before="120"/>
        <w:jc w:val="both"/>
        <w:rPr>
          <w:rFonts w:ascii="Verdana" w:hAnsi="Verdana"/>
          <w:sz w:val="16"/>
          <w:szCs w:val="16"/>
        </w:rPr>
      </w:pPr>
      <w:r w:rsidRPr="00383392">
        <w:rPr>
          <w:rFonts w:ascii="Verdana" w:hAnsi="Verdana"/>
          <w:sz w:val="16"/>
          <w:szCs w:val="16"/>
        </w:rPr>
        <w:t xml:space="preserve">Wymienione źródła będą uzupełniane o środki pochodzące z preferencyjnych pożyczek. </w:t>
      </w:r>
      <w:r>
        <w:rPr>
          <w:rFonts w:ascii="Verdana" w:hAnsi="Verdana"/>
          <w:sz w:val="16"/>
          <w:szCs w:val="16"/>
        </w:rPr>
        <w:t>Poprzez utrzymywanie dostępu do różnych</w:t>
      </w:r>
      <w:r w:rsidRPr="00383392">
        <w:rPr>
          <w:rFonts w:ascii="Verdana" w:hAnsi="Verdana"/>
          <w:sz w:val="16"/>
          <w:szCs w:val="16"/>
        </w:rPr>
        <w:t xml:space="preserve"> źródeł finansowania potrzeb pożyczkowych </w:t>
      </w:r>
      <w:r>
        <w:rPr>
          <w:rFonts w:ascii="Verdana" w:hAnsi="Verdana"/>
          <w:sz w:val="16"/>
          <w:szCs w:val="16"/>
        </w:rPr>
        <w:t xml:space="preserve">będzie możliwe </w:t>
      </w:r>
      <w:r w:rsidRPr="00383392">
        <w:rPr>
          <w:rFonts w:ascii="Verdana" w:hAnsi="Verdana"/>
          <w:sz w:val="16"/>
          <w:szCs w:val="16"/>
        </w:rPr>
        <w:t>realizowan</w:t>
      </w:r>
      <w:r>
        <w:rPr>
          <w:rFonts w:ascii="Verdana" w:hAnsi="Verdana"/>
          <w:sz w:val="16"/>
          <w:szCs w:val="16"/>
        </w:rPr>
        <w:t>ie</w:t>
      </w:r>
      <w:r w:rsidRPr="00383392">
        <w:rPr>
          <w:rFonts w:ascii="Verdana" w:hAnsi="Verdana"/>
          <w:sz w:val="16"/>
          <w:szCs w:val="16"/>
        </w:rPr>
        <w:t xml:space="preserve"> polityk</w:t>
      </w:r>
      <w:r>
        <w:rPr>
          <w:rFonts w:ascii="Verdana" w:hAnsi="Verdana"/>
          <w:sz w:val="16"/>
          <w:szCs w:val="16"/>
        </w:rPr>
        <w:t>i</w:t>
      </w:r>
      <w:r w:rsidRPr="00383392">
        <w:rPr>
          <w:rFonts w:ascii="Verdana" w:hAnsi="Verdana"/>
          <w:sz w:val="16"/>
          <w:szCs w:val="16"/>
        </w:rPr>
        <w:t xml:space="preserve"> mix-financing. </w:t>
      </w:r>
    </w:p>
    <w:p w:rsidR="004E65B0" w:rsidRDefault="004E65B0" w:rsidP="004E65B0">
      <w:pPr>
        <w:spacing w:before="120"/>
        <w:jc w:val="both"/>
        <w:rPr>
          <w:rFonts w:ascii="Verdana" w:hAnsi="Verdana"/>
          <w:iCs/>
          <w:sz w:val="16"/>
          <w:szCs w:val="16"/>
        </w:rPr>
      </w:pPr>
      <w:r>
        <w:rPr>
          <w:rFonts w:ascii="Verdana" w:hAnsi="Verdana"/>
          <w:sz w:val="16"/>
          <w:szCs w:val="16"/>
        </w:rPr>
        <w:t>W realizacji celu</w:t>
      </w:r>
      <w:r w:rsidRPr="00383392">
        <w:rPr>
          <w:rFonts w:ascii="Verdana" w:hAnsi="Verdana"/>
          <w:sz w:val="16"/>
          <w:szCs w:val="16"/>
        </w:rPr>
        <w:t xml:space="preserve"> polityki długu zakłada się</w:t>
      </w:r>
      <w:r>
        <w:rPr>
          <w:rFonts w:ascii="Verdana" w:hAnsi="Verdana"/>
          <w:sz w:val="16"/>
          <w:szCs w:val="16"/>
        </w:rPr>
        <w:t>, że</w:t>
      </w:r>
      <w:r w:rsidRPr="00383392">
        <w:rPr>
          <w:rFonts w:ascii="Verdana" w:hAnsi="Verdana"/>
          <w:iCs/>
          <w:sz w:val="16"/>
          <w:szCs w:val="16"/>
        </w:rPr>
        <w:t xml:space="preserve"> w najbliższych latach</w:t>
      </w:r>
      <w:r>
        <w:rPr>
          <w:rFonts w:ascii="Verdana" w:hAnsi="Verdana"/>
          <w:sz w:val="16"/>
          <w:szCs w:val="16"/>
        </w:rPr>
        <w:t xml:space="preserve"> </w:t>
      </w:r>
      <w:r w:rsidRPr="00383392">
        <w:rPr>
          <w:rFonts w:ascii="Verdana" w:hAnsi="Verdana"/>
          <w:iCs/>
          <w:sz w:val="16"/>
          <w:szCs w:val="16"/>
        </w:rPr>
        <w:t xml:space="preserve">uzupełnieniem kredytów zaciąganych </w:t>
      </w:r>
      <w:r w:rsidRPr="00383392">
        <w:rPr>
          <w:rFonts w:ascii="Verdana" w:hAnsi="Verdana"/>
          <w:iCs/>
          <w:sz w:val="16"/>
          <w:szCs w:val="16"/>
        </w:rPr>
        <w:br/>
        <w:t xml:space="preserve">w międzynarodowych instytucjach finansowych </w:t>
      </w:r>
      <w:r>
        <w:rPr>
          <w:rFonts w:ascii="Verdana" w:hAnsi="Verdana"/>
          <w:iCs/>
          <w:sz w:val="16"/>
          <w:szCs w:val="16"/>
        </w:rPr>
        <w:t xml:space="preserve">może być </w:t>
      </w:r>
      <w:r w:rsidRPr="00383392">
        <w:rPr>
          <w:rFonts w:ascii="Verdana" w:hAnsi="Verdana"/>
          <w:iCs/>
          <w:sz w:val="16"/>
          <w:szCs w:val="16"/>
        </w:rPr>
        <w:t>pozyskanie części środków zwrotnych poprzez emisje obligacji na rynku krajowym</w:t>
      </w:r>
      <w:r>
        <w:rPr>
          <w:rFonts w:ascii="Verdana" w:hAnsi="Verdana"/>
          <w:iCs/>
          <w:sz w:val="16"/>
          <w:szCs w:val="16"/>
        </w:rPr>
        <w:t xml:space="preserve"> oraz pożyczki preferencyjne</w:t>
      </w:r>
      <w:r w:rsidRPr="00383392">
        <w:rPr>
          <w:rFonts w:ascii="Verdana" w:hAnsi="Verdana"/>
          <w:iCs/>
          <w:sz w:val="16"/>
          <w:szCs w:val="16"/>
        </w:rPr>
        <w:t xml:space="preserve">. Podobnie do Skarbu Państwa, Miasto nie wyklucza emisji obligacji detalicznych, obligacji zrównoważonego rozwoju, obligacji zielonych i obligacji społecznych. </w:t>
      </w:r>
      <w:r>
        <w:rPr>
          <w:rFonts w:ascii="Verdana" w:hAnsi="Verdana"/>
          <w:iCs/>
          <w:sz w:val="16"/>
          <w:szCs w:val="16"/>
        </w:rPr>
        <w:br w:type="page"/>
      </w:r>
    </w:p>
    <w:p w:rsidR="004E65B0" w:rsidRPr="00383392" w:rsidRDefault="004E65B0" w:rsidP="004E65B0">
      <w:pPr>
        <w:spacing w:before="240" w:line="312" w:lineRule="auto"/>
        <w:jc w:val="both"/>
        <w:rPr>
          <w:rFonts w:ascii="Verdana" w:hAnsi="Verdana"/>
          <w:b/>
          <w:iCs/>
          <w:sz w:val="18"/>
          <w:szCs w:val="18"/>
        </w:rPr>
      </w:pPr>
      <w:r>
        <w:rPr>
          <w:rFonts w:ascii="Verdana" w:hAnsi="Verdana"/>
          <w:b/>
        </w:rPr>
        <w:lastRenderedPageBreak/>
        <w:t>6. Prognoza zadłużenia i p</w:t>
      </w:r>
      <w:r w:rsidRPr="00383392">
        <w:rPr>
          <w:rFonts w:ascii="Verdana" w:hAnsi="Verdana"/>
          <w:b/>
        </w:rPr>
        <w:t xml:space="preserve">erspektywa </w:t>
      </w:r>
      <w:r>
        <w:rPr>
          <w:rFonts w:ascii="Verdana" w:hAnsi="Verdana"/>
          <w:b/>
        </w:rPr>
        <w:t xml:space="preserve">jego </w:t>
      </w:r>
      <w:r w:rsidRPr="00383392">
        <w:rPr>
          <w:rFonts w:ascii="Verdana" w:hAnsi="Verdana"/>
          <w:b/>
        </w:rPr>
        <w:t>spłaty</w:t>
      </w:r>
    </w:p>
    <w:p w:rsidR="004E65B0" w:rsidRDefault="004E65B0" w:rsidP="004E65B0">
      <w:pPr>
        <w:spacing w:before="120"/>
        <w:jc w:val="both"/>
        <w:rPr>
          <w:rFonts w:ascii="Verdana" w:hAnsi="Verdana"/>
          <w:sz w:val="16"/>
          <w:szCs w:val="16"/>
        </w:rPr>
      </w:pPr>
      <w:r w:rsidRPr="00383392">
        <w:rPr>
          <w:rFonts w:ascii="Verdana" w:hAnsi="Verdana"/>
          <w:iCs/>
          <w:sz w:val="16"/>
          <w:szCs w:val="16"/>
        </w:rPr>
        <w:t>Realizowane</w:t>
      </w:r>
      <w:r w:rsidRPr="00383392">
        <w:rPr>
          <w:rFonts w:ascii="Verdana" w:hAnsi="Verdana"/>
          <w:sz w:val="16"/>
          <w:szCs w:val="16"/>
        </w:rPr>
        <w:t xml:space="preserve"> spłaty zadłużenia wraz z prognozowanym do zaciągnięcia nowym finansowaniem zwrotnym wpłyną na poziom zadłużenia przedstawiony na wykresie 2.</w:t>
      </w:r>
    </w:p>
    <w:p w:rsidR="004E65B0" w:rsidRPr="002A5089" w:rsidRDefault="004E65B0" w:rsidP="004E65B0">
      <w:pPr>
        <w:spacing w:before="120"/>
        <w:jc w:val="both"/>
        <w:rPr>
          <w:noProof/>
        </w:rPr>
      </w:pPr>
      <w:r w:rsidRPr="00383392">
        <w:rPr>
          <w:rFonts w:ascii="Verdana" w:hAnsi="Verdana"/>
          <w:b/>
          <w:sz w:val="14"/>
          <w:szCs w:val="14"/>
        </w:rPr>
        <w:t>WYK. 2 ZADŁUŻENIE M.ST. WARSZAW</w:t>
      </w:r>
      <w:r>
        <w:rPr>
          <w:rFonts w:ascii="Verdana" w:hAnsi="Verdana"/>
          <w:b/>
          <w:sz w:val="14"/>
          <w:szCs w:val="14"/>
        </w:rPr>
        <w:t>Y W RAMACH WPF 2024</w:t>
      </w:r>
      <w:r w:rsidRPr="00383392">
        <w:rPr>
          <w:rFonts w:ascii="Verdana" w:hAnsi="Verdana"/>
          <w:b/>
          <w:sz w:val="14"/>
          <w:szCs w:val="14"/>
        </w:rPr>
        <w:t xml:space="preserve">-2050 </w:t>
      </w:r>
    </w:p>
    <w:p w:rsidR="004E65B0" w:rsidRDefault="004E65B0" w:rsidP="004E65B0">
      <w:pPr>
        <w:spacing w:before="120"/>
        <w:jc w:val="both"/>
        <w:rPr>
          <w:rFonts w:ascii="Verdana" w:hAnsi="Verdana"/>
          <w:iCs/>
          <w:sz w:val="16"/>
          <w:szCs w:val="16"/>
        </w:rPr>
      </w:pPr>
      <w:r>
        <w:rPr>
          <w:noProof/>
        </w:rPr>
        <w:drawing>
          <wp:inline distT="0" distB="0" distL="0" distR="0" wp14:anchorId="625F7477" wp14:editId="0303D698">
            <wp:extent cx="5831840" cy="3038475"/>
            <wp:effectExtent l="0" t="0" r="0" b="0"/>
            <wp:docPr id="21" name="Wykres 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E65B0" w:rsidRPr="00383392" w:rsidRDefault="004E65B0" w:rsidP="004E65B0">
      <w:pPr>
        <w:spacing w:before="120"/>
        <w:jc w:val="both"/>
        <w:rPr>
          <w:rFonts w:ascii="Verdana" w:hAnsi="Verdana"/>
          <w:iCs/>
          <w:sz w:val="16"/>
          <w:szCs w:val="16"/>
        </w:rPr>
      </w:pPr>
      <w:r w:rsidRPr="00383392">
        <w:rPr>
          <w:rFonts w:ascii="Verdana" w:hAnsi="Verdana"/>
          <w:iCs/>
          <w:sz w:val="16"/>
          <w:szCs w:val="16"/>
        </w:rPr>
        <w:t xml:space="preserve">Z </w:t>
      </w:r>
      <w:r>
        <w:rPr>
          <w:rFonts w:ascii="Verdana" w:hAnsi="Verdana"/>
          <w:iCs/>
          <w:sz w:val="16"/>
          <w:szCs w:val="16"/>
        </w:rPr>
        <w:t xml:space="preserve">planów finansowania potrzeb pożyczkowych związanych z realizacją programu inwestycyjnego wynika, </w:t>
      </w:r>
      <w:r>
        <w:rPr>
          <w:rFonts w:ascii="Verdana" w:hAnsi="Verdana"/>
          <w:iCs/>
          <w:sz w:val="16"/>
          <w:szCs w:val="16"/>
        </w:rPr>
        <w:br/>
        <w:t xml:space="preserve">że </w:t>
      </w:r>
      <w:r w:rsidRPr="00383392">
        <w:rPr>
          <w:rFonts w:ascii="Verdana" w:hAnsi="Verdana"/>
          <w:iCs/>
          <w:sz w:val="16"/>
          <w:szCs w:val="16"/>
        </w:rPr>
        <w:t>najwyższa przewidywana kwota długu zostanie osiągnięta w 202</w:t>
      </w:r>
      <w:r>
        <w:rPr>
          <w:rFonts w:ascii="Verdana" w:hAnsi="Verdana"/>
          <w:iCs/>
          <w:sz w:val="16"/>
          <w:szCs w:val="16"/>
        </w:rPr>
        <w:t>7</w:t>
      </w:r>
      <w:r w:rsidRPr="00383392">
        <w:rPr>
          <w:rFonts w:ascii="Verdana" w:hAnsi="Verdana"/>
          <w:iCs/>
          <w:sz w:val="16"/>
          <w:szCs w:val="16"/>
        </w:rPr>
        <w:t xml:space="preserve"> r</w:t>
      </w:r>
      <w:r>
        <w:rPr>
          <w:rFonts w:ascii="Verdana" w:hAnsi="Verdana"/>
          <w:iCs/>
          <w:sz w:val="16"/>
          <w:szCs w:val="16"/>
        </w:rPr>
        <w:t xml:space="preserve">. </w:t>
      </w:r>
      <w:r w:rsidRPr="00383392">
        <w:rPr>
          <w:rFonts w:ascii="Verdana" w:hAnsi="Verdana"/>
          <w:iCs/>
          <w:sz w:val="16"/>
          <w:szCs w:val="16"/>
        </w:rPr>
        <w:t xml:space="preserve">i będzie wynosić </w:t>
      </w:r>
      <w:r>
        <w:rPr>
          <w:rFonts w:ascii="Verdana" w:hAnsi="Verdana"/>
          <w:iCs/>
          <w:sz w:val="16"/>
          <w:szCs w:val="16"/>
        </w:rPr>
        <w:t>11.320,6</w:t>
      </w:r>
      <w:r w:rsidRPr="00383392">
        <w:rPr>
          <w:rFonts w:ascii="Verdana" w:hAnsi="Verdana"/>
          <w:iCs/>
          <w:sz w:val="16"/>
          <w:szCs w:val="16"/>
        </w:rPr>
        <w:t xml:space="preserve"> mln zł.</w:t>
      </w:r>
    </w:p>
    <w:p w:rsidR="004E65B0" w:rsidRDefault="004E65B0" w:rsidP="004E65B0">
      <w:pPr>
        <w:spacing w:before="120" w:after="120"/>
        <w:jc w:val="both"/>
        <w:rPr>
          <w:rFonts w:ascii="Verdana" w:hAnsi="Verdana"/>
          <w:iCs/>
          <w:sz w:val="16"/>
          <w:szCs w:val="16"/>
        </w:rPr>
      </w:pPr>
      <w:r>
        <w:rPr>
          <w:rFonts w:ascii="Verdana" w:hAnsi="Verdana"/>
          <w:iCs/>
          <w:sz w:val="16"/>
          <w:szCs w:val="16"/>
        </w:rPr>
        <w:t xml:space="preserve">Spłata zadłużenia planowanego do zaciągnięcia od 2023 r. rozpocznie się w 2028 r. </w:t>
      </w:r>
      <w:r w:rsidRPr="00383392">
        <w:rPr>
          <w:rFonts w:ascii="Verdana" w:hAnsi="Verdana"/>
          <w:iCs/>
          <w:sz w:val="16"/>
          <w:szCs w:val="16"/>
        </w:rPr>
        <w:t xml:space="preserve">Rozkład w czasie spłat zadłużenia istniejącego oraz </w:t>
      </w:r>
      <w:r>
        <w:rPr>
          <w:rFonts w:ascii="Verdana" w:hAnsi="Verdana"/>
          <w:iCs/>
          <w:sz w:val="16"/>
          <w:szCs w:val="16"/>
        </w:rPr>
        <w:t xml:space="preserve">realizowanego i </w:t>
      </w:r>
      <w:r w:rsidRPr="00383392">
        <w:rPr>
          <w:rFonts w:ascii="Verdana" w:hAnsi="Verdana"/>
          <w:iCs/>
          <w:sz w:val="16"/>
          <w:szCs w:val="16"/>
        </w:rPr>
        <w:t xml:space="preserve">planowanego do zaciągnięcia </w:t>
      </w:r>
      <w:r>
        <w:rPr>
          <w:rFonts w:ascii="Verdana" w:hAnsi="Verdana"/>
          <w:iCs/>
          <w:sz w:val="16"/>
          <w:szCs w:val="16"/>
        </w:rPr>
        <w:t xml:space="preserve">po 2022 r. </w:t>
      </w:r>
      <w:r w:rsidRPr="00383392">
        <w:rPr>
          <w:rFonts w:ascii="Verdana" w:hAnsi="Verdana"/>
          <w:iCs/>
          <w:sz w:val="16"/>
          <w:szCs w:val="16"/>
        </w:rPr>
        <w:t>przedstawia wykres 3.</w:t>
      </w:r>
    </w:p>
    <w:p w:rsidR="004E65B0" w:rsidRDefault="004E65B0" w:rsidP="004E65B0">
      <w:pPr>
        <w:spacing w:before="240" w:after="120"/>
        <w:rPr>
          <w:rFonts w:ascii="Verdana" w:hAnsi="Verdana"/>
          <w:b/>
          <w:sz w:val="14"/>
          <w:szCs w:val="14"/>
        </w:rPr>
      </w:pPr>
      <w:r w:rsidRPr="00383392">
        <w:rPr>
          <w:rFonts w:ascii="Verdana" w:hAnsi="Verdana"/>
          <w:b/>
          <w:sz w:val="14"/>
          <w:szCs w:val="14"/>
        </w:rPr>
        <w:t>WYK. 3 SPŁATA ZADŁUŻENIA M.ST. WARSZAWY</w:t>
      </w:r>
      <w:r w:rsidRPr="00383392">
        <w:rPr>
          <w:rFonts w:ascii="Verdana" w:hAnsi="Verdana"/>
          <w:sz w:val="14"/>
          <w:szCs w:val="14"/>
        </w:rPr>
        <w:t xml:space="preserve"> </w:t>
      </w:r>
      <w:r w:rsidRPr="00080104">
        <w:rPr>
          <w:rFonts w:ascii="Verdana" w:hAnsi="Verdana"/>
          <w:b/>
          <w:sz w:val="14"/>
          <w:szCs w:val="14"/>
        </w:rPr>
        <w:t>W RAMACH WPF 202</w:t>
      </w:r>
      <w:r>
        <w:rPr>
          <w:rFonts w:ascii="Verdana" w:hAnsi="Verdana"/>
          <w:b/>
          <w:sz w:val="14"/>
          <w:szCs w:val="14"/>
        </w:rPr>
        <w:t>4</w:t>
      </w:r>
      <w:r w:rsidRPr="00080104">
        <w:rPr>
          <w:rFonts w:ascii="Verdana" w:hAnsi="Verdana"/>
          <w:b/>
          <w:sz w:val="14"/>
          <w:szCs w:val="14"/>
        </w:rPr>
        <w:t>-2050</w:t>
      </w:r>
    </w:p>
    <w:p w:rsidR="004E65B0" w:rsidRPr="002130F2" w:rsidRDefault="004E65B0" w:rsidP="004E65B0">
      <w:pPr>
        <w:spacing w:before="240" w:after="120"/>
        <w:rPr>
          <w:rFonts w:ascii="Verdana" w:hAnsi="Verdana"/>
          <w:iCs/>
          <w:sz w:val="16"/>
          <w:szCs w:val="16"/>
        </w:rPr>
      </w:pPr>
      <w:r>
        <w:rPr>
          <w:noProof/>
        </w:rPr>
        <w:drawing>
          <wp:inline distT="0" distB="0" distL="0" distR="0" wp14:anchorId="454C4522" wp14:editId="1A0500DF">
            <wp:extent cx="5657850" cy="2438400"/>
            <wp:effectExtent l="0" t="0" r="0" b="0"/>
            <wp:docPr id="23" name="Wykres 2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383392">
        <w:rPr>
          <w:rFonts w:ascii="Verdana" w:hAnsi="Verdana"/>
          <w:iCs/>
          <w:sz w:val="16"/>
          <w:szCs w:val="16"/>
        </w:rPr>
        <w:t xml:space="preserve">Charakterystyka planowanego zadłużenia sprzyjać będzie bezpiecznemu rozkładowi rocznych spłat zobowiązań  Miasta. Spłata zadłużenia </w:t>
      </w:r>
      <w:r>
        <w:rPr>
          <w:rFonts w:ascii="Verdana" w:hAnsi="Verdana"/>
          <w:iCs/>
          <w:sz w:val="16"/>
          <w:szCs w:val="16"/>
        </w:rPr>
        <w:t xml:space="preserve">nominalnie </w:t>
      </w:r>
      <w:r w:rsidRPr="00383392">
        <w:rPr>
          <w:rFonts w:ascii="Verdana" w:hAnsi="Verdana"/>
          <w:iCs/>
          <w:sz w:val="16"/>
          <w:szCs w:val="16"/>
        </w:rPr>
        <w:t xml:space="preserve">będzie najwyższa w roku 2030 – </w:t>
      </w:r>
      <w:r>
        <w:rPr>
          <w:rFonts w:ascii="Verdana" w:hAnsi="Verdana"/>
          <w:iCs/>
          <w:sz w:val="16"/>
          <w:szCs w:val="16"/>
        </w:rPr>
        <w:t>740,6</w:t>
      </w:r>
      <w:r w:rsidRPr="00CB32E5">
        <w:rPr>
          <w:rFonts w:ascii="Verdana" w:hAnsi="Verdana"/>
          <w:iCs/>
          <w:sz w:val="16"/>
          <w:szCs w:val="16"/>
        </w:rPr>
        <w:t xml:space="preserve"> </w:t>
      </w:r>
      <w:r w:rsidRPr="002130F2">
        <w:rPr>
          <w:rFonts w:ascii="Verdana" w:hAnsi="Verdana"/>
          <w:iCs/>
          <w:sz w:val="16"/>
          <w:szCs w:val="16"/>
        </w:rPr>
        <w:t xml:space="preserve">mln zł. Poza spłatą zadłużenia istotne znaczenie posiada rozkład kosztów odsetkowych w poszczególnych latach. Wzrost zadłużenia w sytuacji wyższych stóp procentowych skutkować będzie znaczącym wzrostem kosztów obsługi, które jednak pozostaną na akceptowalnym poziomie i w całym okresie 2024–2050 nie powinny przekroczyć 3% wydatków </w:t>
      </w:r>
      <w:r w:rsidRPr="002130F2">
        <w:rPr>
          <w:rFonts w:ascii="Verdana" w:hAnsi="Verdana"/>
          <w:iCs/>
          <w:sz w:val="16"/>
          <w:szCs w:val="16"/>
        </w:rPr>
        <w:lastRenderedPageBreak/>
        <w:t xml:space="preserve">budżetowych. Rozłożenie obciążeń z tytułu spłaty kapitału oraz odsetek na poszczególne lata zabezpiecza przed ryzykiem przekroczenia </w:t>
      </w:r>
      <w:r w:rsidRPr="002130F2">
        <w:rPr>
          <w:rFonts w:ascii="Verdana" w:hAnsi="Verdana"/>
          <w:sz w:val="16"/>
          <w:szCs w:val="16"/>
        </w:rPr>
        <w:t>ustawowo</w:t>
      </w:r>
      <w:r w:rsidRPr="002130F2">
        <w:rPr>
          <w:rFonts w:ascii="Verdana" w:hAnsi="Verdana"/>
          <w:iCs/>
          <w:sz w:val="16"/>
          <w:szCs w:val="16"/>
        </w:rPr>
        <w:t xml:space="preserve"> wyznaczanego limitu wskaźnika zadłużenia.</w:t>
      </w:r>
    </w:p>
    <w:p w:rsidR="004E65B0" w:rsidRDefault="004E65B0" w:rsidP="004E65B0">
      <w:pPr>
        <w:spacing w:before="120"/>
        <w:jc w:val="both"/>
        <w:rPr>
          <w:rFonts w:ascii="Verdana" w:hAnsi="Verdana"/>
          <w:sz w:val="16"/>
          <w:szCs w:val="16"/>
        </w:rPr>
      </w:pPr>
      <w:r w:rsidRPr="002130F2">
        <w:rPr>
          <w:rFonts w:ascii="Verdana" w:hAnsi="Verdana"/>
          <w:sz w:val="16"/>
          <w:szCs w:val="16"/>
        </w:rPr>
        <w:t xml:space="preserve">Wykres nr 4 prezentuje udział płatności rat kapitałowych i odsetek do dochodów bieżących Miasta w relacji do limitu wyznaczanego ustawowo (art. 243 </w:t>
      </w:r>
      <w:r w:rsidRPr="002130F2">
        <w:rPr>
          <w:rFonts w:ascii="Verdana" w:hAnsi="Verdana"/>
          <w:iCs/>
          <w:sz w:val="16"/>
          <w:szCs w:val="16"/>
        </w:rPr>
        <w:t>ustawy o finansach publicznych</w:t>
      </w:r>
      <w:r w:rsidRPr="002130F2">
        <w:rPr>
          <w:rFonts w:ascii="Verdana" w:hAnsi="Verdana"/>
          <w:sz w:val="16"/>
          <w:szCs w:val="16"/>
        </w:rPr>
        <w:t>). Wielkości uwzględniają prognozowane wyłączenia ze wskaźnika obsługi zadłużenia. Finansowanie programu inwestycyjnego poprzez zwiększenie zadłużenia będzie możliwe dzięki maksymalnemu wykorzystaniu limitu wskaźnika zadłużenia obliczanego na podstawie art. 243 uofp. Prognozowana  przestrzeń pomiędzy limitem a wskaźnikiem obsługi zadłużenia ulegnie zawężeniu w okresie 2026-2027 a najniższy poziom w całym okresie objętym WPF osiągnie w 2030 r. Główną przyczyną zawężania przestrzeni do limitu jest oczekiwane pogorszenie stanu finansów m.st. Warszawy, na skutek realizacji dużego programu inwestycyjnego przy znacznym ubytku dochodów bieżących (efekt zmian regulacyjnych w zakresie dochodów JST, zwłaszcza w obszarze udziału w dochodach z PIT) i jednoczesnym wzroście wydatków bieżących (konsekwencja podwyższonego poziomu inflacji i wzrostu kosztów obsługi długu) oraz rosnących spłatach rat kapitałowych (wpływających na wskaźnik obsługi zadłużenia).</w:t>
      </w:r>
      <w:r>
        <w:rPr>
          <w:rFonts w:ascii="Verdana" w:hAnsi="Verdana"/>
          <w:sz w:val="16"/>
          <w:szCs w:val="16"/>
        </w:rPr>
        <w:t xml:space="preserve">  </w:t>
      </w:r>
    </w:p>
    <w:p w:rsidR="004E65B0" w:rsidRDefault="004E65B0" w:rsidP="004E65B0">
      <w:pPr>
        <w:spacing w:before="240" w:after="120" w:line="288" w:lineRule="auto"/>
        <w:rPr>
          <w:noProof/>
        </w:rPr>
      </w:pPr>
      <w:r w:rsidRPr="00383392">
        <w:rPr>
          <w:rFonts w:ascii="Verdana" w:hAnsi="Verdana"/>
          <w:b/>
          <w:sz w:val="14"/>
          <w:szCs w:val="14"/>
        </w:rPr>
        <w:t xml:space="preserve">WYK. 4 PORÓWNANIE WSKAŹNIKA OBSŁUGI DŁUGU I DOPUSZCZALNEGO LIMITU OBSŁUGI DŁUGU MIASTA </w:t>
      </w:r>
      <w:r w:rsidRPr="00383392">
        <w:rPr>
          <w:rFonts w:ascii="Verdana" w:hAnsi="Verdana"/>
          <w:b/>
          <w:sz w:val="14"/>
          <w:szCs w:val="14"/>
        </w:rPr>
        <w:br/>
        <w:t xml:space="preserve">            Z UWZGLĘDNIENIEM USTAWOWYCH </w:t>
      </w:r>
      <w:r w:rsidRPr="00A5769E">
        <w:rPr>
          <w:rFonts w:ascii="Verdana" w:hAnsi="Verdana"/>
          <w:b/>
          <w:sz w:val="14"/>
          <w:szCs w:val="14"/>
        </w:rPr>
        <w:t>WYŁĄCZEŃ</w:t>
      </w:r>
      <w:r w:rsidRPr="00A5769E">
        <w:rPr>
          <w:noProof/>
        </w:rPr>
        <w:t xml:space="preserve"> </w:t>
      </w:r>
    </w:p>
    <w:p w:rsidR="004E65B0" w:rsidRDefault="004E65B0" w:rsidP="004E65B0">
      <w:pPr>
        <w:spacing w:before="240" w:after="120" w:line="288" w:lineRule="auto"/>
      </w:pPr>
      <w:r>
        <w:rPr>
          <w:noProof/>
        </w:rPr>
        <mc:AlternateContent>
          <mc:Choice Requires="wps">
            <w:drawing>
              <wp:anchor distT="0" distB="0" distL="114300" distR="114300" simplePos="0" relativeHeight="251724800" behindDoc="0" locked="0" layoutInCell="1" allowOverlap="1" wp14:anchorId="4CFF3B7C" wp14:editId="7699E108">
                <wp:simplePos x="0" y="0"/>
                <wp:positionH relativeFrom="column">
                  <wp:posOffset>4973955</wp:posOffset>
                </wp:positionH>
                <wp:positionV relativeFrom="paragraph">
                  <wp:posOffset>1357630</wp:posOffset>
                </wp:positionV>
                <wp:extent cx="504825" cy="352425"/>
                <wp:effectExtent l="0" t="19050" r="28575" b="28575"/>
                <wp:wrapNone/>
                <wp:docPr id="10" name="Objaśnienie: strzałka w górę 13"/>
                <wp:cNvGraphicFramePr/>
                <a:graphic xmlns:a="http://schemas.openxmlformats.org/drawingml/2006/main">
                  <a:graphicData uri="http://schemas.microsoft.com/office/word/2010/wordprocessingShape">
                    <wps:wsp>
                      <wps:cNvSpPr/>
                      <wps:spPr>
                        <a:xfrm>
                          <a:off x="0" y="0"/>
                          <a:ext cx="504825" cy="352425"/>
                        </a:xfrm>
                        <a:prstGeom prst="up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E65B0" w:rsidRPr="00C210BB" w:rsidRDefault="004E65B0" w:rsidP="004E65B0">
                            <w:pPr>
                              <w:jc w:val="center"/>
                              <w:rPr>
                                <w:rFonts w:asciiTheme="minorHAnsi" w:hAnsiTheme="minorHAnsi" w:cstheme="minorHAnsi"/>
                                <w:b/>
                                <w:bCs/>
                                <w:color w:val="000000" w:themeColor="text1"/>
                                <w:sz w:val="16"/>
                                <w:szCs w:val="16"/>
                              </w:rPr>
                            </w:pPr>
                            <w:r w:rsidRPr="00C210BB">
                              <w:rPr>
                                <w:rFonts w:asciiTheme="minorHAnsi" w:hAnsiTheme="minorHAnsi" w:cstheme="minorHAnsi"/>
                                <w:b/>
                                <w:bCs/>
                                <w:color w:val="000000" w:themeColor="text1"/>
                                <w:sz w:val="16"/>
                                <w:szCs w:val="16"/>
                              </w:rPr>
                              <w:t>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F3B7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jaśnienie: strzałka w górę 13" o:spid="_x0000_s1032" type="#_x0000_t79" style="position:absolute;margin-left:391.65pt;margin-top:106.9pt;width:39.7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" adj="7565,7030,5400,8915" fillcolor="red" strokecolor="#1f4d78 [1604]" strokeweight="1pt">
                <v:textbox>
                  <w:txbxContent>
                    <w:p w:rsidR="004E65B0" w:rsidRPr="00C210BB" w:rsidRDefault="004E65B0" w:rsidP="004E65B0">
                      <w:pPr>
                        <w:jc w:val="center"/>
                        <w:rPr>
                          <w:rFonts w:asciiTheme="minorHAnsi" w:hAnsiTheme="minorHAnsi" w:cstheme="minorHAnsi"/>
                          <w:b/>
                          <w:bCs/>
                          <w:color w:val="000000" w:themeColor="text1"/>
                          <w:sz w:val="16"/>
                          <w:szCs w:val="16"/>
                        </w:rPr>
                      </w:pPr>
                      <w:r w:rsidRPr="00C210BB">
                        <w:rPr>
                          <w:rFonts w:asciiTheme="minorHAnsi" w:hAnsiTheme="minorHAnsi" w:cstheme="minorHAnsi"/>
                          <w:b/>
                          <w:bCs/>
                          <w:color w:val="000000" w:themeColor="text1"/>
                          <w:sz w:val="16"/>
                          <w:szCs w:val="16"/>
                        </w:rPr>
                        <w:t>0,22%</w:t>
                      </w:r>
                    </w:p>
                  </w:txbxContent>
                </v:textbox>
              </v:shape>
            </w:pict>
          </mc:Fallback>
        </mc:AlternateContent>
      </w:r>
      <w:r>
        <w:rPr>
          <w:noProof/>
        </w:rPr>
        <w:drawing>
          <wp:inline distT="0" distB="0" distL="0" distR="0" wp14:anchorId="085AD9B5" wp14:editId="205EBA84">
            <wp:extent cx="5572125" cy="2486025"/>
            <wp:effectExtent l="0" t="0" r="0" b="0"/>
            <wp:docPr id="19" name="Wykres 19">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E65B0" w:rsidRPr="002E1573" w:rsidRDefault="004E65B0" w:rsidP="002E1573">
      <w:pPr>
        <w:pStyle w:val="Akapitzlist"/>
        <w:numPr>
          <w:ilvl w:val="0"/>
          <w:numId w:val="78"/>
        </w:numPr>
        <w:ind w:left="0" w:hanging="142"/>
        <w:rPr>
          <w:rFonts w:ascii="Verdana" w:hAnsi="Verdana"/>
          <w:b/>
          <w:i/>
          <w:sz w:val="16"/>
          <w:szCs w:val="16"/>
        </w:rPr>
      </w:pPr>
      <w:r w:rsidRPr="002E1573">
        <w:rPr>
          <w:rFonts w:ascii="Verdana" w:hAnsi="Verdana"/>
          <w:sz w:val="16"/>
          <w:szCs w:val="16"/>
        </w:rPr>
        <w:t>M.st. Warszawa, przy ustalaniu relacji wynikającej z art. 243 ustawy o finansach publicznych na lata 2022-2025, do obliczania nadwyżki operacyjnej stosuje 7-letnią średnią arytmetyczną.</w:t>
      </w:r>
    </w:p>
    <w:p w:rsidR="004E65B0" w:rsidRDefault="004E65B0" w:rsidP="002E1573">
      <w:pPr>
        <w:pStyle w:val="Akapitzlist"/>
        <w:numPr>
          <w:ilvl w:val="0"/>
          <w:numId w:val="78"/>
        </w:numPr>
        <w:ind w:left="0" w:hanging="142"/>
        <w:rPr>
          <w:rFonts w:ascii="Verdana" w:hAnsi="Verdana" w:cs="Calibri"/>
          <w:b/>
          <w:i/>
          <w:sz w:val="16"/>
          <w:szCs w:val="16"/>
        </w:rPr>
      </w:pPr>
      <w:r w:rsidRPr="004300F4">
        <w:rPr>
          <w:rFonts w:ascii="Verdana" w:hAnsi="Verdana" w:cs="Calibri"/>
          <w:sz w:val="16"/>
          <w:szCs w:val="16"/>
        </w:rPr>
        <w:t>Ustawa o zmianie ustawy o dochodach jednostek samorządu terytorialnego oraz niektórych innych ustaw</w:t>
      </w:r>
      <w:r>
        <w:rPr>
          <w:rFonts w:ascii="Verdana" w:hAnsi="Verdana" w:cs="Calibri"/>
          <w:sz w:val="16"/>
          <w:szCs w:val="16"/>
        </w:rPr>
        <w:t>,</w:t>
      </w:r>
      <w:r w:rsidRPr="004300F4">
        <w:rPr>
          <w:rFonts w:ascii="Verdana" w:hAnsi="Verdana" w:cs="Calibri"/>
          <w:sz w:val="16"/>
          <w:szCs w:val="16"/>
        </w:rPr>
        <w:t xml:space="preserve"> z</w:t>
      </w:r>
      <w:r>
        <w:rPr>
          <w:rFonts w:ascii="Verdana" w:hAnsi="Verdana" w:cs="Calibri"/>
          <w:sz w:val="16"/>
          <w:szCs w:val="16"/>
        </w:rPr>
        <w:t> </w:t>
      </w:r>
      <w:r w:rsidRPr="004300F4">
        <w:rPr>
          <w:rFonts w:ascii="Verdana" w:hAnsi="Verdana" w:cs="Calibri"/>
          <w:sz w:val="16"/>
          <w:szCs w:val="16"/>
        </w:rPr>
        <w:t>15</w:t>
      </w:r>
      <w:r>
        <w:rPr>
          <w:rFonts w:ascii="Verdana" w:hAnsi="Verdana" w:cs="Calibri"/>
          <w:sz w:val="16"/>
          <w:szCs w:val="16"/>
        </w:rPr>
        <w:t> </w:t>
      </w:r>
      <w:r w:rsidRPr="004300F4">
        <w:rPr>
          <w:rFonts w:ascii="Verdana" w:hAnsi="Verdana" w:cs="Calibri"/>
          <w:sz w:val="16"/>
          <w:szCs w:val="16"/>
        </w:rPr>
        <w:t>września 2022 r.</w:t>
      </w:r>
      <w:r>
        <w:rPr>
          <w:rFonts w:ascii="Verdana" w:hAnsi="Verdana" w:cs="Calibri"/>
          <w:sz w:val="16"/>
          <w:szCs w:val="16"/>
        </w:rPr>
        <w:t>, wprowadziła nowe regulacje w zakresie</w:t>
      </w:r>
      <w:r w:rsidRPr="00387966">
        <w:t xml:space="preserve"> </w:t>
      </w:r>
      <w:r w:rsidRPr="00387966">
        <w:rPr>
          <w:rFonts w:ascii="Verdana" w:hAnsi="Verdana" w:cs="Calibri"/>
          <w:sz w:val="16"/>
          <w:szCs w:val="16"/>
        </w:rPr>
        <w:t>indywidualnego limitu spłaty zobowiązań</w:t>
      </w:r>
      <w:r>
        <w:rPr>
          <w:rFonts w:ascii="Verdana" w:hAnsi="Verdana" w:cs="Calibri"/>
          <w:sz w:val="16"/>
          <w:szCs w:val="16"/>
        </w:rPr>
        <w:t xml:space="preserve">. Relacja wynikająca z art. 243 </w:t>
      </w:r>
      <w:r w:rsidRPr="0000538F">
        <w:rPr>
          <w:rFonts w:ascii="Verdana" w:hAnsi="Verdana" w:cs="Calibri"/>
          <w:sz w:val="16"/>
          <w:szCs w:val="16"/>
        </w:rPr>
        <w:t>ustawy o finansach publicznych</w:t>
      </w:r>
      <w:r>
        <w:rPr>
          <w:rFonts w:ascii="Verdana" w:hAnsi="Verdana" w:cs="Calibri"/>
          <w:sz w:val="16"/>
          <w:szCs w:val="16"/>
        </w:rPr>
        <w:t xml:space="preserve"> w latach 2023-2025 została zawieszona, pod warunkiem spełnienia przez JST określonych wymogów określonych w ustawie. Nowy mechanizm </w:t>
      </w:r>
      <w:r w:rsidRPr="006C34FD">
        <w:rPr>
          <w:rFonts w:ascii="Verdana" w:hAnsi="Verdana" w:cs="Calibri"/>
          <w:sz w:val="16"/>
          <w:szCs w:val="16"/>
        </w:rPr>
        <w:t>przewiduje możliwość niezachowania przez JST w latach 2023–2025 indywidualnego limitu spłaty zobowiązań, o którym mowa w art. 243 ustawy o finansach publicznych, pod warunkiem, że prognozowana łączna kwota długu jednostki na koniec danego roku nie przekroczy 100% planowanych dochodów ogółem, pomniejszonych o planowane kwoty dotacji i środków o podobnym charakterze oraz powiększonych o przychody z tytułów określonych w art. 217 ust. 2 pkt 4–8 ustawy o finansach publicznych nieprzeznaczone na sfinansowanie deficytu budżetowego. Niezachowanie ww. relacji nie może zagrażać realizacji zadań publicznych w danym roku budżetowym i latach następnych.</w:t>
      </w:r>
    </w:p>
    <w:p w:rsidR="004E65B0" w:rsidRPr="002E1573" w:rsidRDefault="004E65B0" w:rsidP="002E1573">
      <w:pPr>
        <w:pStyle w:val="Akapitzlist"/>
        <w:numPr>
          <w:ilvl w:val="0"/>
          <w:numId w:val="78"/>
        </w:numPr>
        <w:ind w:left="0" w:hanging="142"/>
        <w:rPr>
          <w:rFonts w:ascii="Verdana" w:hAnsi="Verdana"/>
          <w:sz w:val="16"/>
          <w:szCs w:val="16"/>
        </w:rPr>
      </w:pPr>
      <w:r w:rsidRPr="002E1573">
        <w:rPr>
          <w:rFonts w:ascii="Verdana" w:hAnsi="Verdana"/>
          <w:sz w:val="16"/>
          <w:szCs w:val="16"/>
        </w:rPr>
        <w:t xml:space="preserve">Nowe regulacje nie mają wpływu na sytuację finansową Warszawy ponieważ w latach 2023-2025, tj. w okresie kiedy obowiązuje zawieszenie relacji wynikającej z art. 243 ustawy o finansach publicznych, m.st. Warszawa utrzyma znaczny bufor pomiędzy dopuszczalnym limitem a wskaźnikiem obsługi zadłużenia.  </w:t>
      </w:r>
    </w:p>
    <w:p w:rsidR="004E65B0" w:rsidRPr="00383392" w:rsidRDefault="004E65B0" w:rsidP="004E65B0">
      <w:pPr>
        <w:spacing w:before="360" w:line="312" w:lineRule="auto"/>
        <w:jc w:val="both"/>
        <w:rPr>
          <w:rFonts w:ascii="Verdana" w:hAnsi="Verdana"/>
          <w:b/>
        </w:rPr>
      </w:pPr>
      <w:bookmarkStart w:id="9" w:name="bookmark7"/>
      <w:r>
        <w:rPr>
          <w:rFonts w:ascii="Verdana" w:hAnsi="Verdana"/>
          <w:b/>
        </w:rPr>
        <w:lastRenderedPageBreak/>
        <w:t xml:space="preserve">7. </w:t>
      </w:r>
      <w:r w:rsidRPr="00383392">
        <w:rPr>
          <w:rFonts w:ascii="Verdana" w:hAnsi="Verdana"/>
          <w:b/>
        </w:rPr>
        <w:t>Ocena ryzyka związanego z długiem m.st. Warszawy</w:t>
      </w:r>
      <w:bookmarkEnd w:id="9"/>
    </w:p>
    <w:p w:rsidR="004E65B0" w:rsidRPr="00383392" w:rsidRDefault="004E65B0" w:rsidP="004E65B0">
      <w:pPr>
        <w:numPr>
          <w:ilvl w:val="0"/>
          <w:numId w:val="39"/>
        </w:numPr>
        <w:spacing w:before="240"/>
        <w:ind w:left="360"/>
        <w:jc w:val="both"/>
        <w:rPr>
          <w:rFonts w:ascii="Verdana" w:hAnsi="Verdana"/>
          <w:sz w:val="16"/>
          <w:szCs w:val="16"/>
        </w:rPr>
      </w:pPr>
      <w:r w:rsidRPr="00383392">
        <w:rPr>
          <w:rFonts w:ascii="Verdana" w:hAnsi="Verdana"/>
          <w:b/>
          <w:sz w:val="16"/>
          <w:szCs w:val="16"/>
        </w:rPr>
        <w:t>Ryzyko stóp procentowych</w:t>
      </w:r>
      <w:r w:rsidRPr="00383392">
        <w:rPr>
          <w:rFonts w:ascii="Verdana" w:hAnsi="Verdana"/>
          <w:sz w:val="16"/>
          <w:szCs w:val="16"/>
        </w:rPr>
        <w:t xml:space="preserve"> </w:t>
      </w:r>
      <w:r>
        <w:rPr>
          <w:rFonts w:ascii="Verdana" w:hAnsi="Verdana"/>
          <w:sz w:val="16"/>
          <w:szCs w:val="16"/>
        </w:rPr>
        <w:t xml:space="preserve">– </w:t>
      </w:r>
      <w:r>
        <w:rPr>
          <w:rFonts w:ascii="Verdana" w:hAnsi="Verdana"/>
          <w:sz w:val="16"/>
          <w:szCs w:val="16"/>
          <w:shd w:val="clear" w:color="auto" w:fill="FFFFFF" w:themeFill="background1"/>
        </w:rPr>
        <w:t>u</w:t>
      </w:r>
      <w:r w:rsidRPr="00383392">
        <w:rPr>
          <w:rFonts w:ascii="Verdana" w:hAnsi="Verdana"/>
          <w:sz w:val="16"/>
          <w:szCs w:val="16"/>
          <w:shd w:val="clear" w:color="auto" w:fill="FFFFFF" w:themeFill="background1"/>
        </w:rPr>
        <w:t xml:space="preserve">dział </w:t>
      </w:r>
      <w:r w:rsidRPr="00383392">
        <w:rPr>
          <w:rFonts w:ascii="Verdana" w:hAnsi="Verdana"/>
          <w:sz w:val="16"/>
          <w:szCs w:val="16"/>
        </w:rPr>
        <w:t xml:space="preserve">zobowiązań Miasta opartych o </w:t>
      </w:r>
      <w:r w:rsidRPr="00383392">
        <w:rPr>
          <w:rFonts w:ascii="Verdana" w:hAnsi="Verdana"/>
          <w:sz w:val="16"/>
          <w:szCs w:val="16"/>
          <w:shd w:val="clear" w:color="auto" w:fill="FFFFFF" w:themeFill="background1"/>
        </w:rPr>
        <w:t xml:space="preserve">zmienną stopę procentową na koniec </w:t>
      </w:r>
      <w:r>
        <w:rPr>
          <w:rFonts w:ascii="Verdana" w:hAnsi="Verdana"/>
          <w:sz w:val="16"/>
          <w:szCs w:val="16"/>
          <w:shd w:val="clear" w:color="auto" w:fill="FFFFFF" w:themeFill="background1"/>
        </w:rPr>
        <w:t>września</w:t>
      </w:r>
      <w:r w:rsidRPr="00383392">
        <w:rPr>
          <w:rFonts w:ascii="Verdana" w:hAnsi="Verdana"/>
          <w:sz w:val="16"/>
          <w:szCs w:val="16"/>
          <w:shd w:val="clear" w:color="auto" w:fill="FFFFFF" w:themeFill="background1"/>
        </w:rPr>
        <w:t xml:space="preserve"> 202</w:t>
      </w:r>
      <w:r>
        <w:rPr>
          <w:rFonts w:ascii="Verdana" w:hAnsi="Verdana"/>
          <w:sz w:val="16"/>
          <w:szCs w:val="16"/>
          <w:shd w:val="clear" w:color="auto" w:fill="FFFFFF" w:themeFill="background1"/>
        </w:rPr>
        <w:t>3</w:t>
      </w:r>
      <w:r w:rsidRPr="00383392">
        <w:rPr>
          <w:rFonts w:ascii="Verdana" w:hAnsi="Verdana"/>
          <w:sz w:val="16"/>
          <w:szCs w:val="16"/>
          <w:shd w:val="clear" w:color="auto" w:fill="FFFFFF" w:themeFill="background1"/>
        </w:rPr>
        <w:t xml:space="preserve">r. wynosił </w:t>
      </w:r>
      <w:r>
        <w:rPr>
          <w:rFonts w:ascii="Verdana" w:hAnsi="Verdana"/>
          <w:sz w:val="16"/>
          <w:szCs w:val="16"/>
          <w:shd w:val="clear" w:color="auto" w:fill="FFFFFF" w:themeFill="background1"/>
        </w:rPr>
        <w:t>30,8</w:t>
      </w:r>
      <w:r w:rsidRPr="00383392">
        <w:rPr>
          <w:rFonts w:ascii="Verdana" w:hAnsi="Verdana"/>
          <w:sz w:val="16"/>
          <w:szCs w:val="16"/>
          <w:shd w:val="clear" w:color="auto" w:fill="FFFFFF" w:themeFill="background1"/>
        </w:rPr>
        <w:t>%.</w:t>
      </w:r>
      <w:r w:rsidRPr="00383392">
        <w:rPr>
          <w:rFonts w:ascii="Verdana" w:hAnsi="Verdana"/>
          <w:noProof/>
          <w:sz w:val="16"/>
          <w:szCs w:val="16"/>
          <w:shd w:val="clear" w:color="auto" w:fill="FFFFFF" w:themeFill="background1"/>
        </w:rPr>
        <w:t xml:space="preserve"> Udział tych</w:t>
      </w:r>
      <w:r w:rsidRPr="00383392">
        <w:rPr>
          <w:rFonts w:ascii="Verdana" w:hAnsi="Verdana"/>
          <w:sz w:val="16"/>
          <w:szCs w:val="16"/>
        </w:rPr>
        <w:t xml:space="preserve"> zobowiązań</w:t>
      </w:r>
      <w:r w:rsidRPr="00383392">
        <w:rPr>
          <w:rFonts w:ascii="Verdana" w:hAnsi="Verdana"/>
          <w:sz w:val="16"/>
          <w:szCs w:val="16"/>
          <w:shd w:val="clear" w:color="auto" w:fill="FFFFFF" w:themeFill="background1"/>
        </w:rPr>
        <w:t xml:space="preserve"> w najbliższych latach pozostanie poniżej poziomu 50%, a tym samym ryzyko</w:t>
      </w:r>
      <w:r w:rsidRPr="00383392">
        <w:rPr>
          <w:rFonts w:ascii="Verdana" w:hAnsi="Verdana"/>
          <w:sz w:val="16"/>
          <w:szCs w:val="16"/>
        </w:rPr>
        <w:t xml:space="preserve"> stopy procentowej pozostanie</w:t>
      </w:r>
      <w:r>
        <w:rPr>
          <w:rFonts w:ascii="Verdana" w:hAnsi="Verdana"/>
          <w:sz w:val="16"/>
          <w:szCs w:val="16"/>
        </w:rPr>
        <w:t xml:space="preserve"> </w:t>
      </w:r>
      <w:r w:rsidRPr="00383392">
        <w:rPr>
          <w:rFonts w:ascii="Verdana" w:hAnsi="Verdana"/>
          <w:sz w:val="16"/>
          <w:szCs w:val="16"/>
        </w:rPr>
        <w:t>ograniczone.</w:t>
      </w:r>
      <w:r>
        <w:rPr>
          <w:rFonts w:ascii="Verdana" w:hAnsi="Verdana"/>
          <w:sz w:val="16"/>
          <w:szCs w:val="16"/>
        </w:rPr>
        <w:t xml:space="preserve"> Zobowiązania oparte o zmienną stopę procentową obejmują kredyty </w:t>
      </w:r>
      <w:r w:rsidRPr="004B20CA">
        <w:rPr>
          <w:rFonts w:ascii="Verdana" w:hAnsi="Verdana"/>
          <w:sz w:val="16"/>
          <w:szCs w:val="16"/>
        </w:rPr>
        <w:t xml:space="preserve">zaciągnięte w BRRE w latach 2005-2021, kredyty z EBI zaciągnięte w latach 2004-2009 oraz obligacje wyemitowane w 2020 r. Z analizy wrażliwości wynika, że wzrost stawki WIBOR </w:t>
      </w:r>
      <w:r w:rsidRPr="004B20CA">
        <w:rPr>
          <w:rFonts w:ascii="Verdana" w:hAnsi="Verdana"/>
          <w:sz w:val="16"/>
          <w:szCs w:val="16"/>
        </w:rPr>
        <w:br/>
        <w:t>o 1 punkt procentowy spowoduje wzrost kosztu obsługi obecnego długu w 2024 r. o 16,9 mln zł.</w:t>
      </w:r>
      <w:r w:rsidRPr="00D901D6">
        <w:rPr>
          <w:rFonts w:ascii="Verdana" w:hAnsi="Verdana"/>
          <w:sz w:val="16"/>
          <w:szCs w:val="16"/>
        </w:rPr>
        <w:t xml:space="preserve"> </w:t>
      </w:r>
      <w:r w:rsidRPr="00383392">
        <w:rPr>
          <w:rFonts w:ascii="Verdana" w:hAnsi="Verdana"/>
          <w:sz w:val="16"/>
          <w:szCs w:val="16"/>
        </w:rPr>
        <w:t>Z</w:t>
      </w:r>
      <w:r>
        <w:rPr>
          <w:rFonts w:ascii="Verdana" w:hAnsi="Verdana"/>
          <w:sz w:val="16"/>
          <w:szCs w:val="16"/>
        </w:rPr>
        <w:t> </w:t>
      </w:r>
      <w:r w:rsidRPr="00383392">
        <w:rPr>
          <w:rFonts w:ascii="Verdana" w:hAnsi="Verdana"/>
          <w:sz w:val="16"/>
          <w:szCs w:val="16"/>
        </w:rPr>
        <w:t>poziomem stopy procentowej skorelowane są dochody Miasta z loko</w:t>
      </w:r>
      <w:r>
        <w:rPr>
          <w:rFonts w:ascii="Verdana" w:hAnsi="Verdana"/>
          <w:sz w:val="16"/>
          <w:szCs w:val="16"/>
        </w:rPr>
        <w:t>wania okresowo wolnych środków. Skala dochodów z tego tytułu zależeć będzie od poziomu wolnych środków zabezpieczających płynność Miasta</w:t>
      </w:r>
      <w:r w:rsidRPr="00383392">
        <w:rPr>
          <w:rFonts w:ascii="Verdana" w:hAnsi="Verdana"/>
          <w:sz w:val="16"/>
          <w:szCs w:val="16"/>
        </w:rPr>
        <w:t>.</w:t>
      </w:r>
      <w:r>
        <w:rPr>
          <w:rFonts w:ascii="Verdana" w:hAnsi="Verdana"/>
          <w:sz w:val="16"/>
          <w:szCs w:val="16"/>
        </w:rPr>
        <w:t xml:space="preserve"> </w:t>
      </w:r>
    </w:p>
    <w:p w:rsidR="004E65B0" w:rsidRPr="00383392" w:rsidRDefault="004E65B0" w:rsidP="004E65B0">
      <w:pPr>
        <w:numPr>
          <w:ilvl w:val="0"/>
          <w:numId w:val="39"/>
        </w:numPr>
        <w:spacing w:before="120"/>
        <w:ind w:left="284" w:hanging="284"/>
        <w:jc w:val="both"/>
        <w:rPr>
          <w:rFonts w:ascii="Verdana" w:hAnsi="Verdana"/>
          <w:sz w:val="16"/>
          <w:szCs w:val="16"/>
        </w:rPr>
      </w:pPr>
      <w:r w:rsidRPr="00383392">
        <w:rPr>
          <w:rFonts w:ascii="Verdana" w:hAnsi="Verdana"/>
          <w:b/>
          <w:sz w:val="16"/>
          <w:szCs w:val="16"/>
        </w:rPr>
        <w:t>Ryzyko walutowe</w:t>
      </w:r>
      <w:r w:rsidRPr="00383392">
        <w:rPr>
          <w:rFonts w:ascii="Verdana" w:hAnsi="Verdana"/>
          <w:sz w:val="16"/>
          <w:szCs w:val="16"/>
        </w:rPr>
        <w:t xml:space="preserve"> –</w:t>
      </w:r>
      <w:r>
        <w:rPr>
          <w:rFonts w:ascii="Verdana" w:hAnsi="Verdana"/>
          <w:sz w:val="16"/>
          <w:szCs w:val="16"/>
        </w:rPr>
        <w:t xml:space="preserve"> w grudniu 2020 r. oraz w grudniu 2021 r. zostało zaciągnięte zadłużenie w walucie obcej o zerowym oprocentowaniu w łącznej  kwocie 134 mln euro </w:t>
      </w:r>
      <w:r w:rsidRPr="002B68EB">
        <w:rPr>
          <w:rFonts w:ascii="Verdana" w:hAnsi="Verdana"/>
          <w:sz w:val="16"/>
          <w:szCs w:val="16"/>
        </w:rPr>
        <w:t xml:space="preserve">(na koniec </w:t>
      </w:r>
      <w:r>
        <w:rPr>
          <w:rFonts w:ascii="Verdana" w:hAnsi="Verdana"/>
          <w:sz w:val="16"/>
          <w:szCs w:val="16"/>
        </w:rPr>
        <w:t>września</w:t>
      </w:r>
      <w:r w:rsidRPr="002B68EB">
        <w:rPr>
          <w:rFonts w:ascii="Verdana" w:hAnsi="Verdana"/>
          <w:sz w:val="16"/>
          <w:szCs w:val="16"/>
        </w:rPr>
        <w:t xml:space="preserve"> </w:t>
      </w:r>
      <w:r w:rsidRPr="00431B25">
        <w:rPr>
          <w:rFonts w:ascii="Verdana" w:hAnsi="Verdana"/>
          <w:sz w:val="16"/>
          <w:szCs w:val="16"/>
        </w:rPr>
        <w:t>202</w:t>
      </w:r>
      <w:r>
        <w:rPr>
          <w:rFonts w:ascii="Verdana" w:hAnsi="Verdana"/>
          <w:sz w:val="16"/>
          <w:szCs w:val="16"/>
        </w:rPr>
        <w:t>3</w:t>
      </w:r>
      <w:r w:rsidRPr="00431B25">
        <w:rPr>
          <w:rFonts w:ascii="Verdana" w:hAnsi="Verdana"/>
          <w:sz w:val="16"/>
          <w:szCs w:val="16"/>
        </w:rPr>
        <w:t xml:space="preserve"> r. stanowiło to</w:t>
      </w:r>
      <w:r>
        <w:rPr>
          <w:rFonts w:ascii="Verdana" w:hAnsi="Verdana"/>
          <w:sz w:val="16"/>
          <w:szCs w:val="16"/>
        </w:rPr>
        <w:t xml:space="preserve"> ok.</w:t>
      </w:r>
      <w:r w:rsidRPr="00431B25">
        <w:rPr>
          <w:rFonts w:ascii="Verdana" w:hAnsi="Verdana"/>
          <w:sz w:val="16"/>
          <w:szCs w:val="16"/>
        </w:rPr>
        <w:t xml:space="preserve"> </w:t>
      </w:r>
      <w:r>
        <w:rPr>
          <w:rFonts w:ascii="Verdana" w:hAnsi="Verdana"/>
          <w:sz w:val="16"/>
          <w:szCs w:val="16"/>
        </w:rPr>
        <w:t>12,1</w:t>
      </w:r>
      <w:r w:rsidRPr="002B68EB">
        <w:rPr>
          <w:rFonts w:ascii="Verdana" w:hAnsi="Verdana"/>
          <w:sz w:val="16"/>
          <w:szCs w:val="16"/>
        </w:rPr>
        <w:t>% zadłużenia ogółem).</w:t>
      </w:r>
      <w:r w:rsidRPr="00383392">
        <w:rPr>
          <w:rFonts w:ascii="Verdana" w:hAnsi="Verdana"/>
          <w:sz w:val="16"/>
          <w:szCs w:val="16"/>
        </w:rPr>
        <w:t xml:space="preserve"> Zaciąganie długu w walucie obcej </w:t>
      </w:r>
      <w:r>
        <w:rPr>
          <w:rFonts w:ascii="Verdana" w:hAnsi="Verdana"/>
          <w:sz w:val="16"/>
          <w:szCs w:val="16"/>
        </w:rPr>
        <w:t xml:space="preserve">w kolejnych latach </w:t>
      </w:r>
      <w:r w:rsidRPr="00383392">
        <w:rPr>
          <w:rFonts w:ascii="Verdana" w:hAnsi="Verdana"/>
          <w:sz w:val="16"/>
          <w:szCs w:val="16"/>
        </w:rPr>
        <w:t>ograniczone będzie do waluty euro i tylko do przypadków uzasadnionych możliwością pozyskania finansowania o parametrach wyraźnie korzystniejszych od finansowania w walucie krajowej. Udział zadłużenia w walucie obcej nie przekroczy 25% zadłużenia ogółem.</w:t>
      </w:r>
    </w:p>
    <w:p w:rsidR="004E65B0" w:rsidRPr="00676032" w:rsidRDefault="004E65B0" w:rsidP="004E65B0">
      <w:pPr>
        <w:numPr>
          <w:ilvl w:val="0"/>
          <w:numId w:val="39"/>
        </w:numPr>
        <w:spacing w:before="120"/>
        <w:ind w:left="284" w:hanging="284"/>
        <w:jc w:val="both"/>
        <w:rPr>
          <w:rFonts w:ascii="Verdana" w:hAnsi="Verdana"/>
          <w:sz w:val="16"/>
          <w:szCs w:val="16"/>
        </w:rPr>
      </w:pPr>
      <w:r w:rsidRPr="00383392">
        <w:rPr>
          <w:rFonts w:ascii="Verdana" w:hAnsi="Verdana"/>
          <w:b/>
          <w:noProof/>
          <w:sz w:val="16"/>
          <w:szCs w:val="16"/>
        </w:rPr>
        <w:t xml:space="preserve">Ryzyko </w:t>
      </w:r>
      <w:r w:rsidRPr="00383392">
        <w:rPr>
          <w:rFonts w:ascii="Verdana" w:hAnsi="Verdana"/>
          <w:b/>
          <w:sz w:val="16"/>
          <w:szCs w:val="16"/>
        </w:rPr>
        <w:t>refinansowania</w:t>
      </w:r>
      <w:r w:rsidRPr="00383392">
        <w:rPr>
          <w:rFonts w:ascii="Verdana" w:hAnsi="Verdana"/>
          <w:noProof/>
          <w:sz w:val="16"/>
          <w:szCs w:val="16"/>
        </w:rPr>
        <w:t xml:space="preserve"> - ograniczenie tego ryzyka zostanie zapewnione poprzez wysoki poziom średniej </w:t>
      </w:r>
      <w:r w:rsidRPr="002130F2">
        <w:rPr>
          <w:rFonts w:ascii="Verdana" w:hAnsi="Verdana"/>
          <w:noProof/>
          <w:sz w:val="16"/>
          <w:szCs w:val="16"/>
        </w:rPr>
        <w:t>zapadalności długu. N</w:t>
      </w:r>
      <w:r w:rsidRPr="002130F2">
        <w:rPr>
          <w:rFonts w:ascii="Verdana" w:hAnsi="Verdana"/>
          <w:sz w:val="16"/>
          <w:szCs w:val="16"/>
        </w:rPr>
        <w:t xml:space="preserve">a koniec września 2023 r. wartość ta wyniosła 8,5 lat, z czego średnia zapadalność długu </w:t>
      </w:r>
      <w:r w:rsidRPr="00676032">
        <w:rPr>
          <w:rFonts w:ascii="Verdana" w:hAnsi="Verdana"/>
          <w:sz w:val="16"/>
          <w:szCs w:val="16"/>
        </w:rPr>
        <w:t>zagranicznego wyniosła 8,8 lat, a średnia zapadalność długu krajowego 5,4 roku.</w:t>
      </w:r>
    </w:p>
    <w:p w:rsidR="004E65B0" w:rsidRPr="00676032" w:rsidRDefault="004E65B0" w:rsidP="004E65B0">
      <w:pPr>
        <w:numPr>
          <w:ilvl w:val="0"/>
          <w:numId w:val="39"/>
        </w:numPr>
        <w:spacing w:before="120"/>
        <w:ind w:left="284" w:hanging="284"/>
        <w:jc w:val="both"/>
        <w:rPr>
          <w:rFonts w:ascii="Verdana" w:hAnsi="Verdana"/>
          <w:sz w:val="16"/>
          <w:szCs w:val="16"/>
        </w:rPr>
      </w:pPr>
      <w:r w:rsidRPr="00676032">
        <w:rPr>
          <w:rFonts w:ascii="Verdana" w:hAnsi="Verdana"/>
          <w:b/>
          <w:sz w:val="16"/>
          <w:szCs w:val="16"/>
        </w:rPr>
        <w:t>Ryzyko przekroczenia limitu obsługi zadłużenia</w:t>
      </w:r>
      <w:r w:rsidRPr="00676032">
        <w:rPr>
          <w:rFonts w:ascii="Verdana" w:hAnsi="Verdana"/>
          <w:sz w:val="16"/>
          <w:szCs w:val="16"/>
        </w:rPr>
        <w:t xml:space="preserve"> (wynikającego z art. 243 </w:t>
      </w:r>
      <w:r w:rsidRPr="00676032">
        <w:rPr>
          <w:rFonts w:ascii="Verdana" w:hAnsi="Verdana"/>
          <w:iCs/>
          <w:sz w:val="16"/>
          <w:szCs w:val="16"/>
        </w:rPr>
        <w:t>ustawy o finansach publicznych</w:t>
      </w:r>
      <w:r w:rsidRPr="00676032">
        <w:rPr>
          <w:rFonts w:ascii="Verdana" w:hAnsi="Verdana"/>
          <w:sz w:val="16"/>
          <w:szCs w:val="16"/>
        </w:rPr>
        <w:t>) - istotną kwestią są zmiany w dochodach z tytułu udziału JST w podatkach CIT i PIT a także dochodach własnych, w znacznej części zależnych od zmian regulacyjnych, wpływające na obniżenie nadwyżki bieżącej. Wykorzystanie przestrzeni pomiędzy dopuszczalnym limitem, a wskaźnikiem obsługi długu (z uwzględnieniem ustawowych włączeń), zwłaszcza w okresach prognozowanego zawężenia podlegać będzie stałemu monitorowaniu, tak aby nawet w niekorzystnych warunkach zewnętrznych nie nastąpiło przekroczenie limitu ustawowego. Najniższa różnica pomiędzy wskaźnikiem obsługi zadłużenia a limitem wystąpi w 2030 r. i wyniesie 0,</w:t>
      </w:r>
      <w:r>
        <w:rPr>
          <w:rFonts w:ascii="Verdana" w:hAnsi="Verdana"/>
          <w:sz w:val="16"/>
          <w:szCs w:val="16"/>
        </w:rPr>
        <w:t>22</w:t>
      </w:r>
      <w:r w:rsidRPr="00676032">
        <w:rPr>
          <w:rFonts w:ascii="Verdana" w:hAnsi="Verdana"/>
          <w:sz w:val="16"/>
          <w:szCs w:val="16"/>
        </w:rPr>
        <w:t xml:space="preserve"> pkt proc., co oznacza praktyczne wykorzystanie limitu wynikającego z art. 243 uofp.</w:t>
      </w:r>
    </w:p>
    <w:p w:rsidR="004E65B0" w:rsidRDefault="004E65B0" w:rsidP="004E65B0">
      <w:pPr>
        <w:numPr>
          <w:ilvl w:val="0"/>
          <w:numId w:val="39"/>
        </w:numPr>
        <w:spacing w:before="120"/>
        <w:ind w:left="284" w:hanging="284"/>
        <w:jc w:val="both"/>
        <w:rPr>
          <w:rFonts w:ascii="Verdana" w:hAnsi="Verdana" w:cs="Verdana"/>
          <w:sz w:val="16"/>
          <w:szCs w:val="16"/>
        </w:rPr>
      </w:pPr>
      <w:r w:rsidRPr="002905BC">
        <w:rPr>
          <w:rFonts w:ascii="Verdana" w:hAnsi="Verdana"/>
          <w:b/>
          <w:sz w:val="16"/>
          <w:szCs w:val="16"/>
        </w:rPr>
        <w:t>Ryzyko dotyczące zobowiązań finansowych podmiotów zależnych</w:t>
      </w:r>
      <w:r w:rsidRPr="002905BC">
        <w:rPr>
          <w:rFonts w:ascii="Verdana" w:hAnsi="Verdana"/>
          <w:sz w:val="16"/>
          <w:szCs w:val="16"/>
        </w:rPr>
        <w:t xml:space="preserve"> - </w:t>
      </w:r>
      <w:r w:rsidRPr="002905BC">
        <w:rPr>
          <w:rFonts w:ascii="Verdana" w:hAnsi="Verdana" w:cs="Verdana"/>
          <w:sz w:val="16"/>
          <w:szCs w:val="16"/>
        </w:rPr>
        <w:t>zadłużenie podmiotów zależnych</w:t>
      </w:r>
      <w:r w:rsidRPr="00383392">
        <w:rPr>
          <w:rFonts w:ascii="Verdana" w:hAnsi="Verdana"/>
          <w:sz w:val="16"/>
          <w:szCs w:val="16"/>
          <w:vertAlign w:val="superscript"/>
        </w:rPr>
        <w:footnoteReference w:id="17"/>
      </w:r>
      <w:r w:rsidRPr="002905BC">
        <w:rPr>
          <w:rFonts w:ascii="Verdana" w:hAnsi="Verdana" w:cs="Verdana"/>
          <w:sz w:val="16"/>
          <w:szCs w:val="16"/>
        </w:rPr>
        <w:t xml:space="preserve"> nie jest zobowiązaniem Miasta i jedynie pośrednio, w szczególnych sytuacjach, może mieć wpływ na jego sytuację finansową. </w:t>
      </w:r>
      <w:r w:rsidRPr="002905BC">
        <w:rPr>
          <w:rFonts w:ascii="Verdana" w:hAnsi="Verdana"/>
          <w:sz w:val="16"/>
          <w:szCs w:val="16"/>
        </w:rPr>
        <w:t xml:space="preserve">Realizacja inwestycji samorządowych ma charakter kompleksowy, tj. </w:t>
      </w:r>
      <w:r>
        <w:rPr>
          <w:rFonts w:ascii="Verdana" w:hAnsi="Verdana"/>
          <w:sz w:val="16"/>
          <w:szCs w:val="16"/>
        </w:rPr>
        <w:t>prowadzona jest</w:t>
      </w:r>
      <w:r w:rsidRPr="002905BC">
        <w:rPr>
          <w:rFonts w:ascii="Verdana" w:hAnsi="Verdana"/>
          <w:sz w:val="16"/>
          <w:szCs w:val="16"/>
        </w:rPr>
        <w:t xml:space="preserve"> przez Miasto i za pośrednictwem in</w:t>
      </w:r>
      <w:r>
        <w:rPr>
          <w:rFonts w:ascii="Verdana" w:hAnsi="Verdana"/>
          <w:sz w:val="16"/>
          <w:szCs w:val="16"/>
        </w:rPr>
        <w:t>westycji</w:t>
      </w:r>
      <w:r w:rsidRPr="002905BC">
        <w:rPr>
          <w:rFonts w:ascii="Verdana" w:hAnsi="Verdana"/>
          <w:sz w:val="16"/>
          <w:szCs w:val="16"/>
        </w:rPr>
        <w:t xml:space="preserve"> spółek komunalnych, które zaciągają zobowiązania na własny rachunek. Banki </w:t>
      </w:r>
      <w:r>
        <w:rPr>
          <w:rFonts w:ascii="Verdana" w:hAnsi="Verdana"/>
          <w:sz w:val="16"/>
          <w:szCs w:val="16"/>
        </w:rPr>
        <w:t>udzielające</w:t>
      </w:r>
      <w:r w:rsidRPr="002905BC">
        <w:rPr>
          <w:rFonts w:ascii="Verdana" w:hAnsi="Verdana"/>
          <w:sz w:val="16"/>
          <w:szCs w:val="16"/>
        </w:rPr>
        <w:t xml:space="preserve"> kredytów spółkom komunalnym mogą wymagać zabezpieczenia ze strony samorządu w formie poręczenia kredytu, które jest zobowiązaniem wykazywanym we wskaźniku obsługi długu. Pomimo tego, iż </w:t>
      </w:r>
      <w:r>
        <w:rPr>
          <w:rFonts w:ascii="Verdana" w:hAnsi="Verdana"/>
          <w:sz w:val="16"/>
          <w:szCs w:val="16"/>
        </w:rPr>
        <w:t xml:space="preserve">samodzielne </w:t>
      </w:r>
      <w:r w:rsidRPr="002905BC">
        <w:rPr>
          <w:rFonts w:ascii="Verdana" w:hAnsi="Verdana" w:cs="Verdana"/>
          <w:sz w:val="16"/>
          <w:szCs w:val="16"/>
        </w:rPr>
        <w:t>zadłużenie podmiotów zależnych nie jest uwzględniane we wskaźnikach zadłużenia Miasta i w WPF, jest analizowane i brane pod uwagę przez agencje ratingowe i podmioty finansujące przy ocenie zdolności kredytowej Miasta. Biuro Długu i Restrukturyzacji Wierzytelności Urzędu m.st. Warszawy prowadzi stały monitoring oceny zdolności kredytowej i równowagi finansowej podmiotów zależnych. Zgodnie z obowiązującymi przepisami Miasto sporządza i przesyła do RIO (a RIO przekazuje do Ministra Finansów) skonsolidowany bilans (zawierają</w:t>
      </w:r>
      <w:r>
        <w:rPr>
          <w:rFonts w:ascii="Verdana" w:hAnsi="Verdana" w:cs="Verdana"/>
          <w:sz w:val="16"/>
          <w:szCs w:val="16"/>
        </w:rPr>
        <w:t>cy</w:t>
      </w:r>
      <w:r w:rsidRPr="002905BC">
        <w:rPr>
          <w:rFonts w:ascii="Verdana" w:hAnsi="Verdana" w:cs="Verdana"/>
          <w:sz w:val="16"/>
          <w:szCs w:val="16"/>
        </w:rPr>
        <w:t xml:space="preserve"> zobowiązania finansowe długo- i krótkoterminowe)</w:t>
      </w:r>
      <w:r>
        <w:rPr>
          <w:rFonts w:ascii="Verdana" w:hAnsi="Verdana" w:cs="Verdana"/>
          <w:sz w:val="16"/>
          <w:szCs w:val="16"/>
        </w:rPr>
        <w:t xml:space="preserve"> </w:t>
      </w:r>
      <w:r w:rsidRPr="002905BC">
        <w:rPr>
          <w:rFonts w:ascii="Verdana" w:hAnsi="Verdana" w:cs="Verdana"/>
          <w:sz w:val="16"/>
          <w:szCs w:val="16"/>
        </w:rPr>
        <w:t>obejmujący bilanse wszystkich jednostek podległych oraz bilanse jednostek podporządkowanych Miastu, bez względu na ich status formalnoprawny.</w:t>
      </w:r>
    </w:p>
    <w:p w:rsidR="004E65B0" w:rsidRPr="00383392" w:rsidRDefault="004E65B0" w:rsidP="004E65B0">
      <w:pPr>
        <w:spacing w:before="360" w:line="312" w:lineRule="auto"/>
        <w:jc w:val="both"/>
        <w:rPr>
          <w:rFonts w:ascii="Verdana" w:hAnsi="Verdana"/>
          <w:b/>
        </w:rPr>
      </w:pPr>
      <w:bookmarkStart w:id="10" w:name="bookmark9"/>
      <w:r>
        <w:rPr>
          <w:rFonts w:ascii="Verdana" w:hAnsi="Verdana"/>
          <w:b/>
        </w:rPr>
        <w:lastRenderedPageBreak/>
        <w:t xml:space="preserve">8. </w:t>
      </w:r>
      <w:r w:rsidRPr="00383392">
        <w:rPr>
          <w:rFonts w:ascii="Verdana" w:hAnsi="Verdana"/>
          <w:b/>
        </w:rPr>
        <w:t>Kontrola realizacji polityki długu</w:t>
      </w:r>
      <w:bookmarkEnd w:id="10"/>
    </w:p>
    <w:p w:rsidR="004E65B0" w:rsidRPr="00383392" w:rsidRDefault="004E65B0" w:rsidP="004E65B0">
      <w:pPr>
        <w:spacing w:before="240"/>
        <w:jc w:val="both"/>
        <w:rPr>
          <w:rFonts w:ascii="Verdana" w:hAnsi="Verdana"/>
          <w:sz w:val="16"/>
          <w:szCs w:val="16"/>
        </w:rPr>
      </w:pPr>
      <w:r w:rsidRPr="00383392">
        <w:rPr>
          <w:rFonts w:ascii="Verdana" w:hAnsi="Verdana"/>
          <w:sz w:val="16"/>
          <w:szCs w:val="16"/>
        </w:rPr>
        <w:t xml:space="preserve">Bieżące </w:t>
      </w:r>
      <w:r w:rsidRPr="00383392">
        <w:rPr>
          <w:rFonts w:ascii="Verdana" w:hAnsi="Verdana"/>
          <w:iCs/>
          <w:sz w:val="16"/>
          <w:szCs w:val="16"/>
        </w:rPr>
        <w:t>monitorowanie</w:t>
      </w:r>
      <w:r w:rsidRPr="00383392">
        <w:rPr>
          <w:rFonts w:ascii="Verdana" w:hAnsi="Verdana"/>
          <w:sz w:val="16"/>
          <w:szCs w:val="16"/>
        </w:rPr>
        <w:t xml:space="preserve"> parametrów określonych w polityce długu możliwe jest poprzez wykorzystanie następujących instrumentów:</w:t>
      </w:r>
    </w:p>
    <w:p w:rsidR="004E65B0" w:rsidRPr="00383392" w:rsidRDefault="004E65B0" w:rsidP="004E65B0">
      <w:pPr>
        <w:numPr>
          <w:ilvl w:val="0"/>
          <w:numId w:val="40"/>
        </w:numPr>
        <w:spacing w:before="120"/>
        <w:ind w:left="284" w:hanging="284"/>
        <w:jc w:val="both"/>
        <w:rPr>
          <w:rFonts w:ascii="Verdana" w:hAnsi="Verdana"/>
          <w:sz w:val="16"/>
          <w:szCs w:val="16"/>
        </w:rPr>
      </w:pPr>
      <w:r w:rsidRPr="00383392">
        <w:rPr>
          <w:rFonts w:ascii="Verdana" w:hAnsi="Verdana"/>
          <w:b/>
          <w:sz w:val="16"/>
          <w:szCs w:val="16"/>
        </w:rPr>
        <w:t>Raportowanie</w:t>
      </w:r>
      <w:r w:rsidRPr="00383392">
        <w:rPr>
          <w:rFonts w:ascii="Verdana" w:hAnsi="Verdana"/>
          <w:sz w:val="16"/>
          <w:szCs w:val="16"/>
        </w:rPr>
        <w:t xml:space="preserve">. W cyklach kwartalnych przygotowywane są raporty dotyczące długu bezpośredniego oraz </w:t>
      </w:r>
      <w:r>
        <w:rPr>
          <w:rFonts w:ascii="Verdana" w:hAnsi="Verdana"/>
          <w:sz w:val="16"/>
          <w:szCs w:val="16"/>
        </w:rPr>
        <w:t xml:space="preserve">długu </w:t>
      </w:r>
      <w:r w:rsidRPr="00383392">
        <w:rPr>
          <w:rFonts w:ascii="Verdana" w:hAnsi="Verdana"/>
          <w:sz w:val="16"/>
          <w:szCs w:val="16"/>
        </w:rPr>
        <w:t>podmiotów zależnych, a w cyklach półrocznych dokonywany jest przegląd zidentyfikowanych ryzyk związanych z zadłużeniem.</w:t>
      </w:r>
    </w:p>
    <w:p w:rsidR="004E65B0" w:rsidRPr="00383392" w:rsidRDefault="004E65B0" w:rsidP="004E65B0">
      <w:pPr>
        <w:numPr>
          <w:ilvl w:val="0"/>
          <w:numId w:val="40"/>
        </w:numPr>
        <w:spacing w:before="120"/>
        <w:ind w:left="284" w:hanging="284"/>
        <w:jc w:val="both"/>
        <w:rPr>
          <w:rFonts w:ascii="Verdana" w:hAnsi="Verdana"/>
          <w:sz w:val="16"/>
          <w:szCs w:val="16"/>
        </w:rPr>
      </w:pPr>
      <w:r w:rsidRPr="00383392">
        <w:rPr>
          <w:rFonts w:ascii="Verdana" w:hAnsi="Verdana"/>
          <w:b/>
          <w:sz w:val="16"/>
          <w:szCs w:val="16"/>
        </w:rPr>
        <w:t>Przejrzyste zasady zarządzania finansami</w:t>
      </w:r>
      <w:r w:rsidRPr="00383392">
        <w:rPr>
          <w:rFonts w:ascii="Verdana" w:hAnsi="Verdana"/>
          <w:sz w:val="16"/>
          <w:szCs w:val="16"/>
        </w:rPr>
        <w:t xml:space="preserve">. Mają one istotne znaczenie dla pozyskiwania zewnętrznego finansowania inwestycji m.st. Warszawy, zwłaszcza w postaci środków zwrotnych. Przejrzystość finansów wzmacnia wiarygodność kredytową Miasta i </w:t>
      </w:r>
      <w:r>
        <w:rPr>
          <w:rFonts w:ascii="Verdana" w:hAnsi="Verdana"/>
          <w:sz w:val="16"/>
          <w:szCs w:val="16"/>
        </w:rPr>
        <w:t>wpływa na poziom</w:t>
      </w:r>
      <w:r w:rsidRPr="00383392">
        <w:rPr>
          <w:rFonts w:ascii="Verdana" w:hAnsi="Verdana"/>
          <w:sz w:val="16"/>
          <w:szCs w:val="16"/>
        </w:rPr>
        <w:t xml:space="preserve"> ocen ratingow</w:t>
      </w:r>
      <w:r>
        <w:rPr>
          <w:rFonts w:ascii="Verdana" w:hAnsi="Verdana"/>
          <w:sz w:val="16"/>
          <w:szCs w:val="16"/>
        </w:rPr>
        <w:t>ych</w:t>
      </w:r>
      <w:r w:rsidRPr="00383392">
        <w:rPr>
          <w:rFonts w:ascii="Verdana" w:hAnsi="Verdana"/>
          <w:sz w:val="16"/>
          <w:szCs w:val="16"/>
        </w:rPr>
        <w:t xml:space="preserve">. Miasto na swoich stronach internetowych publikuje raporty finansowe o charakterze sprawozdawczym, wykonanie budżetu (kwartalne </w:t>
      </w:r>
      <w:r w:rsidRPr="00383392">
        <w:rPr>
          <w:rFonts w:ascii="Verdana" w:hAnsi="Verdana"/>
          <w:sz w:val="16"/>
          <w:szCs w:val="16"/>
        </w:rPr>
        <w:br/>
        <w:t>i roczne), WPF i szczegółowe dane o swoim zadłużeniu.</w:t>
      </w:r>
    </w:p>
    <w:p w:rsidR="004E65B0" w:rsidRPr="00383392" w:rsidRDefault="004E65B0" w:rsidP="004E65B0">
      <w:pPr>
        <w:numPr>
          <w:ilvl w:val="0"/>
          <w:numId w:val="40"/>
        </w:numPr>
        <w:spacing w:before="120"/>
        <w:ind w:left="284" w:hanging="284"/>
        <w:jc w:val="both"/>
        <w:rPr>
          <w:rFonts w:ascii="Verdana" w:hAnsi="Verdana"/>
          <w:sz w:val="16"/>
          <w:szCs w:val="16"/>
        </w:rPr>
      </w:pPr>
      <w:r w:rsidRPr="00383392">
        <w:rPr>
          <w:rFonts w:ascii="Verdana" w:hAnsi="Verdana"/>
          <w:b/>
          <w:sz w:val="16"/>
          <w:szCs w:val="16"/>
        </w:rPr>
        <w:t>Kontrole Regionalnej Izby Obrachunkowej (RIO).</w:t>
      </w:r>
      <w:r w:rsidRPr="00383392">
        <w:rPr>
          <w:rFonts w:ascii="Verdana" w:hAnsi="Verdana"/>
          <w:sz w:val="16"/>
          <w:szCs w:val="16"/>
        </w:rPr>
        <w:t xml:space="preserve"> RIO opiniuje projekty budżetu i WPF oraz sprawozdania z wykonania budżetu. Wydaje opinie w zakresie: </w:t>
      </w:r>
    </w:p>
    <w:p w:rsidR="004E65B0" w:rsidRPr="00383392" w:rsidRDefault="004E65B0" w:rsidP="004E65B0">
      <w:pPr>
        <w:spacing w:before="60"/>
        <w:ind w:left="284"/>
        <w:jc w:val="both"/>
        <w:rPr>
          <w:rFonts w:ascii="Verdana" w:hAnsi="Verdana"/>
          <w:sz w:val="16"/>
          <w:szCs w:val="16"/>
        </w:rPr>
      </w:pPr>
      <w:r w:rsidRPr="00383392">
        <w:rPr>
          <w:rFonts w:ascii="Verdana" w:hAnsi="Verdana"/>
          <w:sz w:val="16"/>
          <w:szCs w:val="16"/>
        </w:rPr>
        <w:t xml:space="preserve">- prawidłowości planowanej kwoty długu, </w:t>
      </w:r>
    </w:p>
    <w:p w:rsidR="004E65B0" w:rsidRPr="00383392" w:rsidRDefault="004E65B0" w:rsidP="004E65B0">
      <w:pPr>
        <w:spacing w:before="60"/>
        <w:ind w:left="284"/>
        <w:jc w:val="both"/>
        <w:rPr>
          <w:rFonts w:ascii="Verdana" w:hAnsi="Verdana"/>
          <w:sz w:val="16"/>
          <w:szCs w:val="16"/>
        </w:rPr>
      </w:pPr>
      <w:r w:rsidRPr="00383392">
        <w:rPr>
          <w:rFonts w:ascii="Verdana" w:hAnsi="Verdana"/>
          <w:sz w:val="16"/>
          <w:szCs w:val="16"/>
        </w:rPr>
        <w:t>- możliwości sfinansowania deficytu,</w:t>
      </w:r>
    </w:p>
    <w:p w:rsidR="004E65B0" w:rsidRPr="00383392" w:rsidRDefault="004E65B0" w:rsidP="004E65B0">
      <w:pPr>
        <w:spacing w:before="60"/>
        <w:ind w:left="284"/>
        <w:jc w:val="both"/>
        <w:rPr>
          <w:rFonts w:ascii="Verdana" w:hAnsi="Verdana"/>
          <w:sz w:val="16"/>
          <w:szCs w:val="16"/>
        </w:rPr>
      </w:pPr>
      <w:r w:rsidRPr="00383392">
        <w:rPr>
          <w:rFonts w:ascii="Verdana" w:hAnsi="Verdana"/>
          <w:sz w:val="16"/>
          <w:szCs w:val="16"/>
        </w:rPr>
        <w:t>- możliwości spłaty planowanego zadłużenia.</w:t>
      </w:r>
    </w:p>
    <w:p w:rsidR="004E65B0" w:rsidRPr="00383392" w:rsidRDefault="004E65B0" w:rsidP="004E65B0">
      <w:pPr>
        <w:numPr>
          <w:ilvl w:val="0"/>
          <w:numId w:val="40"/>
        </w:numPr>
        <w:spacing w:before="120"/>
        <w:ind w:left="284" w:hanging="284"/>
        <w:jc w:val="both"/>
        <w:rPr>
          <w:rFonts w:ascii="Verdana" w:hAnsi="Verdana"/>
          <w:sz w:val="16"/>
          <w:szCs w:val="16"/>
        </w:rPr>
      </w:pPr>
      <w:r w:rsidRPr="00383392">
        <w:rPr>
          <w:rFonts w:ascii="Verdana" w:hAnsi="Verdana"/>
          <w:b/>
          <w:sz w:val="16"/>
          <w:szCs w:val="16"/>
        </w:rPr>
        <w:t>Ocena ratingowa</w:t>
      </w:r>
      <w:r w:rsidRPr="00383392">
        <w:rPr>
          <w:rFonts w:ascii="Verdana" w:hAnsi="Verdana"/>
          <w:sz w:val="16"/>
          <w:szCs w:val="16"/>
        </w:rPr>
        <w:t xml:space="preserve">. Stanowi uzupełnienie przeprowadzanych głównie w zakresie formalno-prawnym kontroli nadzorczych. Odnosi się ona do posiadanego zadłużenia oraz sposobu jego zarządzania. Miasto posiada oceny </w:t>
      </w:r>
      <w:r>
        <w:rPr>
          <w:rFonts w:ascii="Verdana" w:hAnsi="Verdana"/>
          <w:sz w:val="16"/>
          <w:szCs w:val="16"/>
        </w:rPr>
        <w:t xml:space="preserve">dwóch </w:t>
      </w:r>
      <w:r w:rsidRPr="00383392">
        <w:rPr>
          <w:rFonts w:ascii="Verdana" w:hAnsi="Verdana"/>
          <w:sz w:val="16"/>
          <w:szCs w:val="16"/>
        </w:rPr>
        <w:t xml:space="preserve">agencji ratingowych: </w:t>
      </w:r>
    </w:p>
    <w:p w:rsidR="004E65B0" w:rsidRPr="00383392" w:rsidRDefault="004E65B0" w:rsidP="004E65B0">
      <w:pPr>
        <w:numPr>
          <w:ilvl w:val="0"/>
          <w:numId w:val="47"/>
        </w:numPr>
        <w:spacing w:before="60"/>
        <w:ind w:left="568" w:hanging="284"/>
        <w:jc w:val="both"/>
        <w:rPr>
          <w:rFonts w:ascii="Verdana" w:hAnsi="Verdana"/>
          <w:sz w:val="16"/>
          <w:szCs w:val="16"/>
        </w:rPr>
      </w:pPr>
      <w:r w:rsidRPr="00383392">
        <w:rPr>
          <w:rFonts w:ascii="Verdana" w:hAnsi="Verdana"/>
          <w:b/>
          <w:sz w:val="16"/>
          <w:szCs w:val="16"/>
        </w:rPr>
        <w:t xml:space="preserve">A2 z perspektywą </w:t>
      </w:r>
      <w:r>
        <w:rPr>
          <w:rFonts w:ascii="Verdana" w:hAnsi="Verdana"/>
          <w:b/>
          <w:sz w:val="16"/>
          <w:szCs w:val="16"/>
        </w:rPr>
        <w:t>negatywną</w:t>
      </w:r>
      <w:r w:rsidRPr="00383392">
        <w:rPr>
          <w:rFonts w:ascii="Verdana" w:hAnsi="Verdana"/>
          <w:sz w:val="16"/>
          <w:szCs w:val="16"/>
        </w:rPr>
        <w:t xml:space="preserve"> </w:t>
      </w:r>
      <w:r w:rsidRPr="00C210BB">
        <w:rPr>
          <w:rFonts w:ascii="Verdana" w:hAnsi="Verdana"/>
          <w:b/>
          <w:sz w:val="16"/>
          <w:szCs w:val="16"/>
        </w:rPr>
        <w:t>(</w:t>
      </w:r>
      <w:r w:rsidRPr="006928D6">
        <w:rPr>
          <w:rFonts w:ascii="Verdana" w:hAnsi="Verdana"/>
          <w:b/>
          <w:sz w:val="16"/>
          <w:szCs w:val="16"/>
        </w:rPr>
        <w:t xml:space="preserve">międzynarodowy długoterminowy rating </w:t>
      </w:r>
      <w:r>
        <w:rPr>
          <w:rFonts w:ascii="Verdana" w:hAnsi="Verdana"/>
          <w:b/>
          <w:sz w:val="16"/>
          <w:szCs w:val="16"/>
        </w:rPr>
        <w:t>Warszawy)</w:t>
      </w:r>
      <w:r w:rsidRPr="00383392">
        <w:rPr>
          <w:rFonts w:ascii="Verdana" w:hAnsi="Verdana"/>
          <w:sz w:val="16"/>
          <w:szCs w:val="16"/>
        </w:rPr>
        <w:t xml:space="preserve"> nadaną przez międzynarodową </w:t>
      </w:r>
      <w:r w:rsidRPr="00383392">
        <w:rPr>
          <w:rFonts w:ascii="Verdana" w:hAnsi="Verdana"/>
          <w:b/>
          <w:sz w:val="16"/>
          <w:szCs w:val="16"/>
        </w:rPr>
        <w:t>agencję Moody’s</w:t>
      </w:r>
      <w:r w:rsidRPr="00383392">
        <w:rPr>
          <w:rFonts w:ascii="Verdana" w:hAnsi="Verdana"/>
          <w:sz w:val="16"/>
          <w:szCs w:val="16"/>
        </w:rPr>
        <w:t xml:space="preserve"> (ostatnia weryfikacja </w:t>
      </w:r>
      <w:r>
        <w:rPr>
          <w:rFonts w:ascii="Verdana" w:hAnsi="Verdana"/>
          <w:sz w:val="16"/>
          <w:szCs w:val="16"/>
        </w:rPr>
        <w:t xml:space="preserve">8 grudnia 2023 </w:t>
      </w:r>
      <w:r w:rsidRPr="00383392">
        <w:rPr>
          <w:rFonts w:ascii="Verdana" w:hAnsi="Verdana"/>
          <w:sz w:val="16"/>
          <w:szCs w:val="16"/>
        </w:rPr>
        <w:t>r.</w:t>
      </w:r>
      <w:r>
        <w:rPr>
          <w:rFonts w:ascii="Verdana" w:hAnsi="Verdana"/>
          <w:sz w:val="16"/>
          <w:szCs w:val="16"/>
        </w:rPr>
        <w:t>)</w:t>
      </w:r>
      <w:r w:rsidRPr="00383392">
        <w:rPr>
          <w:rFonts w:ascii="Verdana" w:hAnsi="Verdana"/>
          <w:sz w:val="16"/>
          <w:szCs w:val="16"/>
        </w:rPr>
        <w:t>,</w:t>
      </w:r>
    </w:p>
    <w:p w:rsidR="004E65B0" w:rsidRPr="00383392" w:rsidRDefault="004E65B0" w:rsidP="004E65B0">
      <w:pPr>
        <w:numPr>
          <w:ilvl w:val="0"/>
          <w:numId w:val="47"/>
        </w:numPr>
        <w:spacing w:before="60"/>
        <w:ind w:left="568" w:hanging="284"/>
        <w:jc w:val="both"/>
        <w:rPr>
          <w:rFonts w:ascii="Verdana" w:hAnsi="Verdana"/>
          <w:sz w:val="16"/>
          <w:szCs w:val="16"/>
        </w:rPr>
      </w:pPr>
      <w:r w:rsidRPr="00383392">
        <w:rPr>
          <w:rFonts w:ascii="Verdana" w:hAnsi="Verdana"/>
          <w:b/>
          <w:sz w:val="16"/>
          <w:szCs w:val="16"/>
        </w:rPr>
        <w:t xml:space="preserve">A- z perspektywą stabilną </w:t>
      </w:r>
      <w:r>
        <w:rPr>
          <w:rFonts w:ascii="Verdana" w:hAnsi="Verdana"/>
          <w:b/>
          <w:sz w:val="16"/>
          <w:szCs w:val="16"/>
        </w:rPr>
        <w:t>(</w:t>
      </w:r>
      <w:r w:rsidRPr="00136F56">
        <w:rPr>
          <w:rFonts w:ascii="Verdana" w:hAnsi="Verdana"/>
          <w:b/>
          <w:sz w:val="16"/>
          <w:szCs w:val="16"/>
        </w:rPr>
        <w:t xml:space="preserve">międzynarodowy długoterminowy rating </w:t>
      </w:r>
      <w:r>
        <w:rPr>
          <w:rFonts w:ascii="Verdana" w:hAnsi="Verdana"/>
          <w:b/>
          <w:sz w:val="16"/>
          <w:szCs w:val="16"/>
        </w:rPr>
        <w:t>Warszawy oraz</w:t>
      </w:r>
      <w:r w:rsidRPr="0080395C">
        <w:rPr>
          <w:rFonts w:ascii="Verdana" w:hAnsi="Verdana"/>
          <w:b/>
          <w:sz w:val="16"/>
          <w:szCs w:val="16"/>
        </w:rPr>
        <w:t xml:space="preserve"> </w:t>
      </w:r>
      <w:r w:rsidRPr="006928D6">
        <w:rPr>
          <w:rFonts w:ascii="Verdana" w:hAnsi="Verdana"/>
          <w:b/>
          <w:sz w:val="16"/>
          <w:szCs w:val="16"/>
        </w:rPr>
        <w:t>międzynarodowy długoterminowy rating</w:t>
      </w:r>
      <w:r>
        <w:rPr>
          <w:rFonts w:ascii="Verdana" w:hAnsi="Verdana"/>
          <w:b/>
          <w:sz w:val="16"/>
          <w:szCs w:val="16"/>
        </w:rPr>
        <w:t xml:space="preserve"> </w:t>
      </w:r>
      <w:r w:rsidRPr="00136F56">
        <w:rPr>
          <w:rFonts w:ascii="Verdana" w:hAnsi="Verdana"/>
          <w:b/>
          <w:sz w:val="16"/>
          <w:szCs w:val="16"/>
        </w:rPr>
        <w:t xml:space="preserve">dla </w:t>
      </w:r>
      <w:r>
        <w:rPr>
          <w:rFonts w:ascii="Verdana" w:hAnsi="Verdana"/>
          <w:b/>
          <w:sz w:val="16"/>
          <w:szCs w:val="16"/>
        </w:rPr>
        <w:t xml:space="preserve">Miasta dla </w:t>
      </w:r>
      <w:r w:rsidRPr="00136F56">
        <w:rPr>
          <w:rFonts w:ascii="Verdana" w:hAnsi="Verdana"/>
          <w:b/>
          <w:sz w:val="16"/>
          <w:szCs w:val="16"/>
        </w:rPr>
        <w:t>zadłużenia w walucie krajowej</w:t>
      </w:r>
      <w:r>
        <w:rPr>
          <w:rFonts w:ascii="Verdana" w:hAnsi="Verdana"/>
          <w:b/>
          <w:sz w:val="16"/>
          <w:szCs w:val="16"/>
        </w:rPr>
        <w:t>)</w:t>
      </w:r>
      <w:r w:rsidRPr="00136F56">
        <w:rPr>
          <w:rFonts w:ascii="Verdana" w:hAnsi="Verdana"/>
          <w:b/>
          <w:sz w:val="16"/>
          <w:szCs w:val="16"/>
        </w:rPr>
        <w:t xml:space="preserve"> </w:t>
      </w:r>
      <w:r w:rsidRPr="00383392">
        <w:rPr>
          <w:rFonts w:ascii="Verdana" w:hAnsi="Verdana"/>
          <w:b/>
          <w:sz w:val="16"/>
          <w:szCs w:val="16"/>
        </w:rPr>
        <w:t>oraz AAA (</w:t>
      </w:r>
      <w:r>
        <w:rPr>
          <w:rFonts w:ascii="Verdana" w:hAnsi="Verdana"/>
          <w:b/>
          <w:sz w:val="16"/>
          <w:szCs w:val="16"/>
        </w:rPr>
        <w:t>rating krajowy</w:t>
      </w:r>
      <w:r w:rsidRPr="00383392">
        <w:rPr>
          <w:rFonts w:ascii="Verdana" w:hAnsi="Verdana"/>
          <w:b/>
          <w:sz w:val="16"/>
          <w:szCs w:val="16"/>
        </w:rPr>
        <w:t>)</w:t>
      </w:r>
      <w:r>
        <w:rPr>
          <w:rFonts w:ascii="Verdana" w:hAnsi="Verdana"/>
          <w:b/>
          <w:sz w:val="16"/>
          <w:szCs w:val="16"/>
        </w:rPr>
        <w:t xml:space="preserve"> z perspektywą stabilną</w:t>
      </w:r>
      <w:r w:rsidRPr="00383392">
        <w:rPr>
          <w:rFonts w:ascii="Verdana" w:hAnsi="Verdana"/>
          <w:b/>
          <w:sz w:val="16"/>
          <w:szCs w:val="16"/>
        </w:rPr>
        <w:t xml:space="preserve"> </w:t>
      </w:r>
      <w:r w:rsidRPr="00383392">
        <w:rPr>
          <w:rFonts w:ascii="Verdana" w:hAnsi="Verdana"/>
          <w:sz w:val="16"/>
          <w:szCs w:val="16"/>
        </w:rPr>
        <w:t xml:space="preserve">– nadaną przez międzynarodową </w:t>
      </w:r>
      <w:r w:rsidRPr="00383392">
        <w:rPr>
          <w:rFonts w:ascii="Verdana" w:hAnsi="Verdana"/>
          <w:b/>
          <w:sz w:val="16"/>
          <w:szCs w:val="16"/>
        </w:rPr>
        <w:t xml:space="preserve">agencję Fitch Ratings </w:t>
      </w:r>
      <w:r w:rsidRPr="00383392">
        <w:rPr>
          <w:rFonts w:ascii="Verdana" w:hAnsi="Verdana"/>
          <w:sz w:val="16"/>
          <w:szCs w:val="16"/>
        </w:rPr>
        <w:t>(ostatnia weryfikacja</w:t>
      </w:r>
      <w:r w:rsidRPr="00383392">
        <w:rPr>
          <w:rFonts w:ascii="Verdana" w:hAnsi="Verdana"/>
          <w:b/>
          <w:sz w:val="16"/>
          <w:szCs w:val="16"/>
        </w:rPr>
        <w:t xml:space="preserve"> </w:t>
      </w:r>
      <w:r>
        <w:rPr>
          <w:rFonts w:ascii="Verdana" w:hAnsi="Verdana"/>
          <w:sz w:val="16"/>
          <w:szCs w:val="16"/>
        </w:rPr>
        <w:t xml:space="preserve">27 października </w:t>
      </w:r>
      <w:r w:rsidRPr="00383392">
        <w:rPr>
          <w:rFonts w:ascii="Verdana" w:hAnsi="Verdana"/>
          <w:sz w:val="16"/>
          <w:szCs w:val="16"/>
        </w:rPr>
        <w:t>202</w:t>
      </w:r>
      <w:r>
        <w:rPr>
          <w:rFonts w:ascii="Verdana" w:hAnsi="Verdana"/>
          <w:sz w:val="16"/>
          <w:szCs w:val="16"/>
        </w:rPr>
        <w:t>3</w:t>
      </w:r>
      <w:r w:rsidRPr="00383392">
        <w:rPr>
          <w:rFonts w:ascii="Verdana" w:hAnsi="Verdana"/>
          <w:sz w:val="16"/>
          <w:szCs w:val="16"/>
        </w:rPr>
        <w:t xml:space="preserve"> r.).</w:t>
      </w:r>
    </w:p>
    <w:p w:rsidR="004E65B0" w:rsidRDefault="004E65B0" w:rsidP="004E65B0">
      <w:pPr>
        <w:numPr>
          <w:ilvl w:val="0"/>
          <w:numId w:val="40"/>
        </w:numPr>
        <w:spacing w:before="120"/>
        <w:ind w:left="284" w:hanging="284"/>
        <w:jc w:val="both"/>
        <w:rPr>
          <w:rFonts w:ascii="Verdana" w:hAnsi="Verdana"/>
          <w:bCs/>
          <w:sz w:val="16"/>
          <w:szCs w:val="16"/>
        </w:rPr>
      </w:pPr>
      <w:r w:rsidRPr="00383392">
        <w:rPr>
          <w:rFonts w:ascii="Verdana" w:hAnsi="Verdana"/>
          <w:b/>
          <w:sz w:val="16"/>
          <w:szCs w:val="16"/>
        </w:rPr>
        <w:t>Kontrola zadłużenia niestandardowego.</w:t>
      </w:r>
      <w:r w:rsidRPr="00383392">
        <w:rPr>
          <w:rFonts w:ascii="Verdana" w:hAnsi="Verdana"/>
          <w:sz w:val="16"/>
          <w:szCs w:val="16"/>
        </w:rPr>
        <w:t xml:space="preserve"> Wprowadzone zostały odpowiednie reguły pozwalające </w:t>
      </w:r>
      <w:r w:rsidRPr="00383392">
        <w:rPr>
          <w:rFonts w:ascii="Verdana" w:hAnsi="Verdana"/>
          <w:sz w:val="16"/>
          <w:szCs w:val="16"/>
        </w:rPr>
        <w:br/>
        <w:t xml:space="preserve">na monitorowanie oraz limitowanie zawierania umów generujących tego typu zobowiązania. W celu ograniczenia ryzyka dotyczącego wzrostu zadłużenia i pogorszenia wskaźnika zadłużeniowego związanego </w:t>
      </w:r>
      <w:r w:rsidRPr="00383392">
        <w:rPr>
          <w:rFonts w:ascii="Verdana" w:hAnsi="Verdana"/>
          <w:sz w:val="16"/>
          <w:szCs w:val="16"/>
        </w:rPr>
        <w:br/>
        <w:t xml:space="preserve">z poszerzeniem kategorii kredytów i pożyczek o nowe tytuły dłużne (zgodnie z obowiązującym rozporządzeniem Ministra Finansów z dnia 28 grudnia 2011 r. </w:t>
      </w:r>
      <w:r w:rsidRPr="00383392">
        <w:rPr>
          <w:rFonts w:ascii="Verdana" w:hAnsi="Verdana"/>
          <w:bCs/>
          <w:sz w:val="16"/>
          <w:szCs w:val="16"/>
        </w:rPr>
        <w:t xml:space="preserve">w sprawie szczegółowego sposobu klasyfikacji tytułów dłużnych zaliczanych do państwowego długu publicznego, Dz.U. 2011 nr 298 poz. 1767) </w:t>
      </w:r>
      <w:r w:rsidRPr="00383392">
        <w:rPr>
          <w:rFonts w:ascii="Verdana" w:hAnsi="Verdana"/>
          <w:sz w:val="16"/>
          <w:szCs w:val="16"/>
        </w:rPr>
        <w:t xml:space="preserve">od 2012 r. </w:t>
      </w:r>
      <w:r w:rsidRPr="00383392">
        <w:rPr>
          <w:rFonts w:ascii="Verdana" w:hAnsi="Verdana"/>
          <w:bCs/>
          <w:sz w:val="16"/>
          <w:szCs w:val="16"/>
        </w:rPr>
        <w:t xml:space="preserve">w formie wytycznych stosowane są procedury zawierania umów wieloletnich. Dotyczyć to może: umów PPP, umów sprzedaży w ratach, umów nienazwanych o terminie zapłaty dłuższym niż rok oraz umów leasingu, </w:t>
      </w:r>
      <w:r w:rsidRPr="00383392">
        <w:rPr>
          <w:rFonts w:ascii="Verdana" w:hAnsi="Verdana"/>
          <w:bCs/>
          <w:sz w:val="16"/>
          <w:szCs w:val="16"/>
        </w:rPr>
        <w:br/>
        <w:t>w których ryzyko i korzyści ponosi korzystający z rzeczy. Dotychczas w finansach Miasta nie wystąpiły zobowiązania dotyczące tego rodzaju umów.</w:t>
      </w:r>
      <w:r>
        <w:rPr>
          <w:rFonts w:ascii="Verdana" w:hAnsi="Verdana"/>
          <w:bCs/>
          <w:sz w:val="16"/>
          <w:szCs w:val="16"/>
        </w:rPr>
        <w:br w:type="page"/>
      </w:r>
    </w:p>
    <w:p w:rsidR="004E65B0" w:rsidRDefault="004E65B0" w:rsidP="004E65B0">
      <w:pPr>
        <w:numPr>
          <w:ilvl w:val="0"/>
          <w:numId w:val="40"/>
        </w:numPr>
        <w:spacing w:before="120"/>
        <w:ind w:left="284" w:hanging="284"/>
        <w:jc w:val="both"/>
        <w:rPr>
          <w:rFonts w:ascii="Verdana" w:hAnsi="Verdana"/>
          <w:bCs/>
          <w:sz w:val="16"/>
          <w:szCs w:val="16"/>
        </w:rPr>
      </w:pPr>
      <w:r w:rsidRPr="00E30E07">
        <w:rPr>
          <w:rFonts w:ascii="Verdana" w:hAnsi="Verdana" w:cs="Arial"/>
          <w:b/>
          <w:sz w:val="16"/>
          <w:szCs w:val="16"/>
        </w:rPr>
        <w:lastRenderedPageBreak/>
        <w:t xml:space="preserve">Monitorowanie </w:t>
      </w:r>
      <w:r w:rsidRPr="00E30E07">
        <w:rPr>
          <w:rFonts w:ascii="Verdana" w:hAnsi="Verdana"/>
          <w:b/>
          <w:sz w:val="16"/>
          <w:szCs w:val="16"/>
        </w:rPr>
        <w:t>długu</w:t>
      </w:r>
      <w:r w:rsidRPr="00E30E07">
        <w:rPr>
          <w:rFonts w:ascii="Verdana" w:hAnsi="Verdana" w:cs="Arial"/>
          <w:b/>
          <w:sz w:val="16"/>
          <w:szCs w:val="16"/>
        </w:rPr>
        <w:t xml:space="preserve"> pośredniego poprzez bieżące śledzenie </w:t>
      </w:r>
      <w:r w:rsidRPr="00E30E07">
        <w:rPr>
          <w:rFonts w:ascii="Verdana" w:hAnsi="Verdana" w:cs="Verdana"/>
          <w:b/>
          <w:sz w:val="16"/>
          <w:szCs w:val="16"/>
        </w:rPr>
        <w:t>zadłużenia podmiotów zależnych.</w:t>
      </w:r>
      <w:r w:rsidRPr="00E30E07">
        <w:rPr>
          <w:rFonts w:ascii="Verdana" w:hAnsi="Verdana" w:cs="Verdana"/>
          <w:sz w:val="16"/>
          <w:szCs w:val="16"/>
        </w:rPr>
        <w:t xml:space="preserve"> M</w:t>
      </w:r>
      <w:r>
        <w:rPr>
          <w:rFonts w:ascii="Verdana" w:hAnsi="Verdana" w:cs="Verdana"/>
          <w:sz w:val="16"/>
          <w:szCs w:val="16"/>
        </w:rPr>
        <w:t>iasto posiada 100% udziałów w 24</w:t>
      </w:r>
      <w:r w:rsidRPr="00E30E07">
        <w:rPr>
          <w:rFonts w:ascii="Verdana" w:hAnsi="Verdana" w:cs="Verdana"/>
          <w:sz w:val="16"/>
          <w:szCs w:val="16"/>
        </w:rPr>
        <w:t xml:space="preserve"> spółkach prawa handlowego, z czego kluczową pozycję zajmuje </w:t>
      </w:r>
      <w:r w:rsidRPr="00E30E07">
        <w:rPr>
          <w:rFonts w:ascii="Verdana" w:hAnsi="Verdana" w:cs="Verdana"/>
          <w:sz w:val="16"/>
          <w:szCs w:val="16"/>
        </w:rPr>
        <w:br/>
        <w:t>9 podmiotów monitorowanych przez międzynarodowe agencje ratingowe. Podmiotami których zadłużenie poddane jest kontroli w pierwszej kolejności, są te o największej skali funkcjonowania i znaczeniu, których suma bilansowa przekracza 150 mln zł oraz podmioty prowadzące działalność leczniczą.</w:t>
      </w:r>
    </w:p>
    <w:p w:rsidR="00FE5B1C" w:rsidRDefault="00FE5B1C" w:rsidP="004E65B0">
      <w:pPr>
        <w:spacing w:before="120"/>
        <w:jc w:val="both"/>
        <w:rPr>
          <w:rFonts w:ascii="Verdana" w:hAnsi="Verdana" w:cs="Verdana"/>
          <w:sz w:val="16"/>
          <w:szCs w:val="16"/>
        </w:rPr>
      </w:pPr>
    </w:p>
    <w:p w:rsidR="00EB619A" w:rsidRDefault="00020127" w:rsidP="00CF3AC6">
      <w:pPr>
        <w:spacing w:before="120"/>
        <w:jc w:val="both"/>
        <w:rPr>
          <w:rFonts w:ascii="Verdana" w:hAnsi="Verdana"/>
          <w:bCs/>
          <w:sz w:val="16"/>
          <w:szCs w:val="16"/>
        </w:rPr>
      </w:pPr>
      <w:r w:rsidRPr="007C5B43">
        <w:rPr>
          <w:rFonts w:ascii="Verdana" w:hAnsi="Verdana" w:cs="Arial"/>
          <w:b/>
          <w:noProof/>
          <w:sz w:val="16"/>
          <w:szCs w:val="16"/>
        </w:rPr>
        <mc:AlternateContent>
          <mc:Choice Requires="wps">
            <w:drawing>
              <wp:anchor distT="0" distB="0" distL="114300" distR="114300" simplePos="0" relativeHeight="251704320" behindDoc="0" locked="0" layoutInCell="1" allowOverlap="1" wp14:anchorId="1711C434" wp14:editId="1FA0B19F">
                <wp:simplePos x="0" y="0"/>
                <wp:positionH relativeFrom="margin">
                  <wp:align>right</wp:align>
                </wp:positionH>
                <wp:positionV relativeFrom="paragraph">
                  <wp:posOffset>143510</wp:posOffset>
                </wp:positionV>
                <wp:extent cx="2438400" cy="457200"/>
                <wp:effectExtent l="0" t="0" r="0" b="0"/>
                <wp:wrapNone/>
                <wp:docPr id="71" name="Pole tekstowe 71"/>
                <wp:cNvGraphicFramePr/>
                <a:graphic xmlns:a="http://schemas.openxmlformats.org/drawingml/2006/main">
                  <a:graphicData uri="http://schemas.microsoft.com/office/word/2010/wordprocessingShape">
                    <wps:wsp>
                      <wps:cNvSpPr txBox="1"/>
                      <wps:spPr>
                        <a:xfrm>
                          <a:off x="0" y="0"/>
                          <a:ext cx="2438400" cy="457200"/>
                        </a:xfrm>
                        <a:prstGeom prst="rect">
                          <a:avLst/>
                        </a:prstGeom>
                        <a:solidFill>
                          <a:schemeClr val="lt1"/>
                        </a:solidFill>
                        <a:ln w="6350">
                          <a:noFill/>
                        </a:ln>
                      </wps:spPr>
                      <wps:txbx>
                        <w:txbxContent>
                          <w:p w:rsidR="00067F5A" w:rsidRPr="007A5B45" w:rsidRDefault="00067F5A" w:rsidP="00FE5B1C">
                            <w:pPr>
                              <w:jc w:val="center"/>
                              <w:rPr>
                                <w:rFonts w:ascii="Verdana" w:hAnsi="Verdana"/>
                                <w:sz w:val="16"/>
                                <w:szCs w:val="16"/>
                              </w:rPr>
                            </w:pPr>
                            <w:r w:rsidRPr="007A5B45">
                              <w:rPr>
                                <w:rFonts w:ascii="Verdana" w:hAnsi="Verdana"/>
                                <w:sz w:val="16"/>
                                <w:szCs w:val="16"/>
                              </w:rPr>
                              <w:t>Prezydent m.st. Warszawy</w:t>
                            </w:r>
                          </w:p>
                          <w:p w:rsidR="00067F5A" w:rsidRPr="0023713D" w:rsidRDefault="00067F5A"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C434" id="Pole tekstowe 71" o:spid="_x0000_s1033" type="#_x0000_t202" style="position:absolute;left:0;text-align:left;margin-left:140.8pt;margin-top:11.3pt;width:192pt;height:36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" fillcolor="white [3201]" stroked="f" strokeweight=".5pt">
                <v:textbox>
                  <w:txbxContent>
                    <w:p w:rsidR="00067F5A" w:rsidRPr="007A5B45" w:rsidRDefault="00067F5A" w:rsidP="00FE5B1C">
                      <w:pPr>
                        <w:jc w:val="center"/>
                        <w:rPr>
                          <w:rFonts w:ascii="Verdana" w:hAnsi="Verdana"/>
                          <w:sz w:val="16"/>
                          <w:szCs w:val="16"/>
                        </w:rPr>
                      </w:pPr>
                      <w:r w:rsidRPr="007A5B45">
                        <w:rPr>
                          <w:rFonts w:ascii="Verdana" w:hAnsi="Verdana"/>
                          <w:sz w:val="16"/>
                          <w:szCs w:val="16"/>
                        </w:rPr>
                        <w:t>Prezydent m.st. Warszawy</w:t>
                      </w:r>
                    </w:p>
                    <w:p w:rsidR="00067F5A" w:rsidRPr="0023713D" w:rsidRDefault="00067F5A" w:rsidP="00FE5B1C">
                      <w:pPr>
                        <w:jc w:val="center"/>
                        <w:rPr>
                          <w:rFonts w:ascii="Verdana" w:hAnsi="Verdana"/>
                          <w:sz w:val="22"/>
                          <w:szCs w:val="22"/>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Rafał Trzaskowski</w:t>
                      </w:r>
                    </w:p>
                  </w:txbxContent>
                </v:textbox>
                <w10:wrap anchorx="margin"/>
              </v:shape>
            </w:pict>
          </mc:Fallback>
        </mc:AlternateContent>
      </w:r>
      <w:r w:rsidRPr="007C5B43">
        <w:rPr>
          <w:rFonts w:ascii="Verdana" w:hAnsi="Verdana" w:cs="Arial"/>
          <w:b/>
          <w:noProof/>
          <w:sz w:val="16"/>
          <w:szCs w:val="16"/>
        </w:rPr>
        <mc:AlternateContent>
          <mc:Choice Requires="wps">
            <w:drawing>
              <wp:anchor distT="0" distB="0" distL="114300" distR="114300" simplePos="0" relativeHeight="251703296" behindDoc="0" locked="0" layoutInCell="1" allowOverlap="1" wp14:anchorId="38C0CA33" wp14:editId="5719E277">
                <wp:simplePos x="0" y="0"/>
                <wp:positionH relativeFrom="margin">
                  <wp:align>left</wp:align>
                </wp:positionH>
                <wp:positionV relativeFrom="paragraph">
                  <wp:posOffset>137721</wp:posOffset>
                </wp:positionV>
                <wp:extent cx="2438400" cy="609600"/>
                <wp:effectExtent l="0" t="0" r="0" b="0"/>
                <wp:wrapNone/>
                <wp:docPr id="13" name="Pole tekstowe 13"/>
                <wp:cNvGraphicFramePr/>
                <a:graphic xmlns:a="http://schemas.openxmlformats.org/drawingml/2006/main">
                  <a:graphicData uri="http://schemas.microsoft.com/office/word/2010/wordprocessingShape">
                    <wps:wsp>
                      <wps:cNvSpPr txBox="1"/>
                      <wps:spPr>
                        <a:xfrm>
                          <a:off x="0" y="0"/>
                          <a:ext cx="2438400" cy="609600"/>
                        </a:xfrm>
                        <a:prstGeom prst="rect">
                          <a:avLst/>
                        </a:prstGeom>
                        <a:solidFill>
                          <a:schemeClr val="lt1"/>
                        </a:solidFill>
                        <a:ln w="6350">
                          <a:noFill/>
                        </a:ln>
                      </wps:spPr>
                      <wps:txbx>
                        <w:txbxContent>
                          <w:p w:rsidR="00067F5A" w:rsidRPr="007A5B45" w:rsidRDefault="00067F5A" w:rsidP="00FE5B1C">
                            <w:pPr>
                              <w:jc w:val="center"/>
                              <w:rPr>
                                <w:rFonts w:ascii="Verdana" w:hAnsi="Verdana"/>
                                <w:sz w:val="16"/>
                                <w:szCs w:val="16"/>
                              </w:rPr>
                            </w:pPr>
                            <w:r w:rsidRPr="007A5B45">
                              <w:rPr>
                                <w:rFonts w:ascii="Verdana" w:hAnsi="Verdana"/>
                                <w:sz w:val="16"/>
                                <w:szCs w:val="16"/>
                              </w:rPr>
                              <w:t>Skarbnik m.st. Warszawy</w:t>
                            </w:r>
                          </w:p>
                          <w:p w:rsidR="00067F5A" w:rsidRPr="007A5B45" w:rsidRDefault="00067F5A"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CA33" id="Pole tekstowe 13" o:spid="_x0000_s1034" type="#_x0000_t202" style="position:absolute;left:0;text-align:left;margin-left:0;margin-top:10.85pt;width:192pt;height:48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" fillcolor="white [3201]" stroked="f" strokeweight=".5pt">
                <v:textbox>
                  <w:txbxContent>
                    <w:p w:rsidR="00067F5A" w:rsidRPr="007A5B45" w:rsidRDefault="00067F5A" w:rsidP="00FE5B1C">
                      <w:pPr>
                        <w:jc w:val="center"/>
                        <w:rPr>
                          <w:rFonts w:ascii="Verdana" w:hAnsi="Verdana"/>
                          <w:sz w:val="16"/>
                          <w:szCs w:val="16"/>
                        </w:rPr>
                      </w:pPr>
                      <w:r w:rsidRPr="007A5B45">
                        <w:rPr>
                          <w:rFonts w:ascii="Verdana" w:hAnsi="Verdana"/>
                          <w:sz w:val="16"/>
                          <w:szCs w:val="16"/>
                        </w:rPr>
                        <w:t>Skarbnik m.st. Warszawy</w:t>
                      </w:r>
                    </w:p>
                    <w:p w:rsidR="00067F5A" w:rsidRPr="007A5B45" w:rsidRDefault="00067F5A" w:rsidP="00FE5B1C">
                      <w:pPr>
                        <w:jc w:val="center"/>
                        <w:rPr>
                          <w:rFonts w:ascii="Verdana" w:hAnsi="Verdana"/>
                          <w:sz w:val="16"/>
                          <w:szCs w:val="16"/>
                        </w:rPr>
                      </w:pPr>
                      <w:r w:rsidRPr="00CA53B2">
                        <w:rPr>
                          <w:rFonts w:ascii="Verdana" w:hAnsi="Verdana"/>
                          <w:sz w:val="16"/>
                          <w:szCs w:val="16"/>
                        </w:rPr>
                        <w:t>/ – /</w:t>
                      </w:r>
                      <w:r>
                        <w:rPr>
                          <w:rFonts w:ascii="Verdana" w:hAnsi="Verdana"/>
                          <w:sz w:val="16"/>
                          <w:szCs w:val="16"/>
                        </w:rPr>
                        <w:t xml:space="preserve"> </w:t>
                      </w:r>
                      <w:r w:rsidRPr="007A5B45">
                        <w:rPr>
                          <w:rFonts w:ascii="Verdana" w:hAnsi="Verdana"/>
                          <w:sz w:val="16"/>
                          <w:szCs w:val="16"/>
                        </w:rPr>
                        <w:t>Mirosław Czekaj</w:t>
                      </w:r>
                    </w:p>
                  </w:txbxContent>
                </v:textbox>
                <w10:wrap anchorx="margin"/>
              </v:shape>
            </w:pict>
          </mc:Fallback>
        </mc:AlternateContent>
      </w:r>
    </w:p>
    <w:p w:rsidR="00CF3AC6" w:rsidRDefault="00CF3AC6" w:rsidP="00CF3AC6">
      <w:pPr>
        <w:spacing w:before="120"/>
        <w:jc w:val="both"/>
        <w:rPr>
          <w:rFonts w:ascii="Verdana" w:hAnsi="Verdana"/>
          <w:bCs/>
          <w:sz w:val="16"/>
          <w:szCs w:val="16"/>
        </w:rPr>
      </w:pPr>
    </w:p>
    <w:p w:rsidR="00CF3AC6" w:rsidRDefault="00CF3AC6" w:rsidP="00CF3AC6">
      <w:pPr>
        <w:spacing w:before="120"/>
        <w:jc w:val="both"/>
        <w:rPr>
          <w:rFonts w:ascii="Verdana" w:hAnsi="Verdana"/>
          <w:bCs/>
          <w:sz w:val="16"/>
          <w:szCs w:val="16"/>
        </w:rPr>
      </w:pPr>
    </w:p>
    <w:p w:rsidR="00CF3AC6" w:rsidRDefault="00CF3AC6" w:rsidP="00CF3AC6">
      <w:pPr>
        <w:spacing w:before="120"/>
        <w:jc w:val="both"/>
        <w:rPr>
          <w:rFonts w:ascii="Verdana" w:hAnsi="Verdana"/>
          <w:bCs/>
          <w:sz w:val="16"/>
          <w:szCs w:val="16"/>
        </w:rPr>
      </w:pPr>
    </w:p>
    <w:p w:rsidR="00CF3AC6" w:rsidRDefault="00CF3AC6" w:rsidP="00CF3AC6">
      <w:pPr>
        <w:spacing w:before="120"/>
        <w:jc w:val="both"/>
        <w:rPr>
          <w:rFonts w:ascii="Verdana" w:hAnsi="Verdana"/>
          <w:bCs/>
          <w:sz w:val="16"/>
          <w:szCs w:val="16"/>
        </w:rPr>
      </w:pPr>
    </w:p>
    <w:p w:rsidR="008D4CD7" w:rsidRPr="008D4CD7" w:rsidRDefault="008D4CD7" w:rsidP="008D4CD7"/>
    <w:sectPr w:rsidR="008D4CD7" w:rsidRPr="008D4CD7" w:rsidSect="00BE141D">
      <w:type w:val="oddPage"/>
      <w:pgSz w:w="11907"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E8C" w:rsidRDefault="00E91E8C">
      <w:r>
        <w:separator/>
      </w:r>
    </w:p>
  </w:endnote>
  <w:endnote w:type="continuationSeparator" w:id="0">
    <w:p w:rsidR="00E91E8C" w:rsidRDefault="00E9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ewBrunswick">
    <w:altName w:val="Times New Roman"/>
    <w:charset w:val="00"/>
    <w:family w:val="auto"/>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Swis721LtEU">
    <w:altName w:val="Swis 72 1 Light EU"/>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Default="00067F5A" w:rsidP="00F164C9">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77</w:t>
    </w:r>
    <w:r>
      <w:rPr>
        <w:rStyle w:val="Numerstrony"/>
      </w:rPr>
      <w:fldChar w:fldCharType="end"/>
    </w:r>
  </w:p>
  <w:p w:rsidR="00067F5A" w:rsidRDefault="00067F5A" w:rsidP="00F164C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Pr="00F351C0" w:rsidRDefault="00067F5A" w:rsidP="00F351C0">
    <w:pPr>
      <w:pStyle w:val="Stopka"/>
      <w:ind w:right="360"/>
      <w:jc w:val="right"/>
      <w:rPr>
        <w:sz w:val="18"/>
        <w:szCs w:val="18"/>
      </w:rPr>
    </w:pPr>
    <w:r w:rsidRPr="00F351C0">
      <w:rPr>
        <w:rStyle w:val="Numerstrony"/>
        <w:sz w:val="18"/>
        <w:szCs w:val="18"/>
      </w:rPr>
      <w:fldChar w:fldCharType="begin"/>
    </w:r>
    <w:r w:rsidRPr="00F351C0">
      <w:rPr>
        <w:rStyle w:val="Numerstrony"/>
        <w:sz w:val="18"/>
        <w:szCs w:val="18"/>
      </w:rPr>
      <w:instrText xml:space="preserve"> PAGE </w:instrText>
    </w:r>
    <w:r w:rsidRPr="00F351C0">
      <w:rPr>
        <w:rStyle w:val="Numerstrony"/>
        <w:sz w:val="18"/>
        <w:szCs w:val="18"/>
      </w:rPr>
      <w:fldChar w:fldCharType="separate"/>
    </w:r>
    <w:r w:rsidR="00CF3AC6">
      <w:rPr>
        <w:rStyle w:val="Numerstrony"/>
        <w:noProof/>
        <w:sz w:val="18"/>
        <w:szCs w:val="18"/>
      </w:rPr>
      <w:t>90</w:t>
    </w:r>
    <w:r w:rsidRPr="00F351C0">
      <w:rPr>
        <w:rStyle w:val="Numerstrony"/>
        <w:sz w:val="18"/>
        <w:szCs w:val="18"/>
      </w:rPr>
      <w:fldChar w:fldCharType="end"/>
    </w:r>
    <w:r w:rsidRPr="00F351C0">
      <w:rPr>
        <w:rStyle w:val="Numerstrony"/>
        <w:sz w:val="18"/>
        <w:szCs w:val="18"/>
      </w:rPr>
      <w:t xml:space="preserve"> / </w:t>
    </w:r>
    <w:r w:rsidRPr="00F351C0">
      <w:rPr>
        <w:rStyle w:val="Numerstrony"/>
        <w:sz w:val="18"/>
        <w:szCs w:val="18"/>
      </w:rPr>
      <w:fldChar w:fldCharType="begin"/>
    </w:r>
    <w:r w:rsidRPr="00F351C0">
      <w:rPr>
        <w:rStyle w:val="Numerstrony"/>
        <w:sz w:val="18"/>
        <w:szCs w:val="18"/>
      </w:rPr>
      <w:instrText xml:space="preserve"> NUMPAGES </w:instrText>
    </w:r>
    <w:r w:rsidRPr="00F351C0">
      <w:rPr>
        <w:rStyle w:val="Numerstrony"/>
        <w:sz w:val="18"/>
        <w:szCs w:val="18"/>
      </w:rPr>
      <w:fldChar w:fldCharType="separate"/>
    </w:r>
    <w:r w:rsidR="00CF3AC6">
      <w:rPr>
        <w:rStyle w:val="Numerstrony"/>
        <w:noProof/>
        <w:sz w:val="18"/>
        <w:szCs w:val="18"/>
      </w:rPr>
      <w:t>90</w:t>
    </w:r>
    <w:r w:rsidRPr="00F351C0">
      <w:rPr>
        <w:rStyle w:val="Numerstrony"/>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E8C" w:rsidRDefault="00E91E8C">
      <w:r>
        <w:separator/>
      </w:r>
    </w:p>
  </w:footnote>
  <w:footnote w:type="continuationSeparator" w:id="0">
    <w:p w:rsidR="00E91E8C" w:rsidRDefault="00E91E8C">
      <w:r>
        <w:continuationSeparator/>
      </w:r>
    </w:p>
  </w:footnote>
  <w:footnote w:id="1">
    <w:p w:rsidR="00067F5A" w:rsidRPr="005335E1" w:rsidRDefault="00067F5A" w:rsidP="00CA374E">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2">
    <w:p w:rsidR="00067F5A" w:rsidRPr="004560FF" w:rsidRDefault="00067F5A" w:rsidP="00CA374E">
      <w:pPr>
        <w:pStyle w:val="Tekstprzypisudolnego"/>
        <w:ind w:firstLine="284"/>
        <w:rPr>
          <w:rFonts w:ascii="Verdana" w:hAnsi="Verdana"/>
          <w:i w:val="0"/>
          <w:sz w:val="14"/>
          <w:szCs w:val="14"/>
        </w:rPr>
      </w:pPr>
      <w:r w:rsidRPr="004560FF">
        <w:rPr>
          <w:rStyle w:val="Odwoanieprzypisudolnego"/>
          <w:rFonts w:ascii="Verdana" w:hAnsi="Verdana"/>
          <w:i w:val="0"/>
          <w:sz w:val="16"/>
          <w:szCs w:val="16"/>
        </w:rPr>
        <w:footnoteRef/>
      </w:r>
      <w:r w:rsidRPr="004560FF">
        <w:rPr>
          <w:rFonts w:ascii="Verdana" w:hAnsi="Verdana"/>
          <w:i w:val="0"/>
          <w:sz w:val="16"/>
          <w:szCs w:val="16"/>
        </w:rPr>
        <w:t xml:space="preserve"> </w:t>
      </w:r>
      <w:r w:rsidRPr="004560FF">
        <w:rPr>
          <w:rFonts w:ascii="Verdana" w:hAnsi="Verdana" w:cs="Arial"/>
          <w:i w:val="0"/>
          <w:sz w:val="14"/>
          <w:szCs w:val="14"/>
        </w:rPr>
        <w:t>Zmiany wymienionej ustawy zostały ogłoszone w</w:t>
      </w:r>
      <w:r w:rsidRPr="004560FF">
        <w:rPr>
          <w:rFonts w:ascii="Verdana" w:hAnsi="Verdana"/>
          <w:i w:val="0"/>
          <w:sz w:val="14"/>
          <w:szCs w:val="14"/>
        </w:rPr>
        <w:t xml:space="preserve"> Dz. U. z 2009 r. </w:t>
      </w:r>
      <w:r w:rsidRPr="004560FF">
        <w:rPr>
          <w:rFonts w:ascii="Verdana" w:hAnsi="Verdana" w:cs="Arial"/>
          <w:i w:val="0"/>
          <w:sz w:val="14"/>
          <w:szCs w:val="14"/>
        </w:rPr>
        <w:t xml:space="preserve">Nr 219 poz. 1706, z 2010 r. Nr 96 poz. 620, </w:t>
      </w:r>
      <w:r>
        <w:rPr>
          <w:rFonts w:ascii="Verdana" w:hAnsi="Verdana" w:cs="Arial"/>
          <w:i w:val="0"/>
          <w:sz w:val="14"/>
          <w:szCs w:val="14"/>
        </w:rPr>
        <w:t xml:space="preserve">Nr 108 </w:t>
      </w:r>
      <w:r>
        <w:rPr>
          <w:rFonts w:ascii="Verdana" w:hAnsi="Verdana" w:cs="Arial"/>
          <w:i w:val="0"/>
          <w:sz w:val="14"/>
          <w:szCs w:val="14"/>
        </w:rPr>
        <w:br/>
        <w:t xml:space="preserve">poz. 685, </w:t>
      </w:r>
      <w:r w:rsidRPr="004560FF">
        <w:rPr>
          <w:rFonts w:ascii="Verdana" w:hAnsi="Verdana" w:cs="Arial"/>
          <w:i w:val="0"/>
          <w:sz w:val="14"/>
          <w:szCs w:val="14"/>
        </w:rPr>
        <w:t xml:space="preserve">Nr 152 poz. 1020, Nr 161 poz. 1078, Nr 226 poz. 1475 i Nr 238 poz. 1578, z 2011 r. Nr 171 poz. 1016, Nr 178 </w:t>
      </w:r>
      <w:r>
        <w:rPr>
          <w:rFonts w:ascii="Verdana" w:hAnsi="Verdana" w:cs="Arial"/>
          <w:i w:val="0"/>
          <w:sz w:val="14"/>
          <w:szCs w:val="14"/>
        </w:rPr>
        <w:br/>
      </w:r>
      <w:r w:rsidRPr="004560FF">
        <w:rPr>
          <w:rFonts w:ascii="Verdana" w:hAnsi="Verdana" w:cs="Arial"/>
          <w:i w:val="0"/>
          <w:sz w:val="14"/>
          <w:szCs w:val="14"/>
        </w:rPr>
        <w:t>poz. 1061 i Nr 197 poz. 1170, z 2012 r. poz. 986, 1456 i 1548 oraz  z 2014 r. poz. 1457</w:t>
      </w:r>
    </w:p>
  </w:footnote>
  <w:footnote w:id="3">
    <w:p w:rsidR="00067F5A" w:rsidRPr="005335E1" w:rsidRDefault="00067F5A" w:rsidP="00CA374E">
      <w:pPr>
        <w:pStyle w:val="Tekstprzypisudolnego"/>
        <w:ind w:firstLine="160"/>
        <w:rPr>
          <w:rFonts w:ascii="Verdana" w:hAnsi="Verdana" w:cs="Arial"/>
          <w:i w:val="0"/>
          <w:sz w:val="14"/>
          <w:szCs w:val="14"/>
        </w:rPr>
      </w:pPr>
      <w:r w:rsidRPr="00B348D4">
        <w:rPr>
          <w:rStyle w:val="Odwoanieprzypisudolnego"/>
          <w:rFonts w:ascii="Verdana" w:hAnsi="Verdana"/>
          <w:i w:val="0"/>
          <w:sz w:val="16"/>
          <w:szCs w:val="16"/>
        </w:rPr>
        <w:footnoteRef/>
      </w:r>
      <w:r w:rsidRPr="00B348D4">
        <w:rPr>
          <w:rFonts w:ascii="Verdana" w:hAnsi="Verdana"/>
          <w:i w:val="0"/>
          <w:sz w:val="16"/>
          <w:szCs w:val="16"/>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4">
    <w:p w:rsidR="00067F5A" w:rsidRDefault="00067F5A" w:rsidP="00CA374E">
      <w:pPr>
        <w:pStyle w:val="Tekstprzypisudolnego"/>
        <w:rPr>
          <w:rFonts w:ascii="Verdana" w:hAnsi="Verdana" w:cstheme="minorHAnsi"/>
          <w:i w:val="0"/>
          <w:sz w:val="14"/>
          <w:szCs w:val="14"/>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w:t>
      </w:r>
      <w:r w:rsidRPr="00F84763">
        <w:rPr>
          <w:rFonts w:ascii="Verdana" w:hAnsi="Verdana" w:cstheme="minorHAnsi"/>
          <w:i w:val="0"/>
          <w:sz w:val="14"/>
          <w:szCs w:val="14"/>
        </w:rPr>
        <w:t xml:space="preserve">Szacowane dochody z PIT w 2022 r. w warunkach prawnych </w:t>
      </w:r>
      <w:r>
        <w:rPr>
          <w:rFonts w:ascii="Verdana" w:hAnsi="Verdana" w:cstheme="minorHAnsi"/>
          <w:i w:val="0"/>
          <w:sz w:val="14"/>
          <w:szCs w:val="14"/>
        </w:rPr>
        <w:t xml:space="preserve">sprzed Polskiego Ładu jako </w:t>
      </w:r>
      <w:r w:rsidRPr="00F84763">
        <w:rPr>
          <w:rFonts w:ascii="Verdana" w:hAnsi="Verdana" w:cstheme="minorHAnsi"/>
          <w:i w:val="0"/>
          <w:sz w:val="14"/>
          <w:szCs w:val="14"/>
        </w:rPr>
        <w:t>iloczyn udziału poszczególnych JST we wpływach podatkowych z PIT w 2020 r. i szacunku ogólnych dochodów JST z PIT na 2022 r. stanowiącego iloczyn wykonanych dochodów z PIT w 2021 r. i dynamik 2022/2021 zatrudnienia (101,7%) i wynagrodzeń (112,1%) w gospodarce narodowej  wg danych GUS (uwzględniono także wzrost udziału gmin w PIT z 38,23% w 2021 r. do 38,34% w 2022 r.)</w:t>
      </w:r>
      <w:r w:rsidRPr="00F06025">
        <w:rPr>
          <w:rFonts w:ascii="Verdana" w:hAnsi="Verdana" w:cstheme="minorHAnsi"/>
          <w:i w:val="0"/>
          <w:sz w:val="14"/>
          <w:szCs w:val="14"/>
        </w:rPr>
        <w:t>.</w:t>
      </w:r>
    </w:p>
    <w:p w:rsidR="00067F5A" w:rsidRPr="00A13AAE" w:rsidRDefault="00067F5A" w:rsidP="00CA374E">
      <w:pPr>
        <w:pStyle w:val="Tekstprzypisudolnego"/>
        <w:ind w:firstLine="140"/>
        <w:rPr>
          <w:rFonts w:asciiTheme="minorHAnsi" w:hAnsiTheme="minorHAnsi" w:cstheme="minorHAnsi"/>
          <w:i w:val="0"/>
        </w:rPr>
      </w:pPr>
      <w:r w:rsidRPr="00F84763">
        <w:rPr>
          <w:rFonts w:ascii="Verdana" w:hAnsi="Verdana" w:cstheme="minorHAnsi"/>
          <w:i w:val="0"/>
          <w:sz w:val="14"/>
          <w:szCs w:val="14"/>
        </w:rPr>
        <w:t xml:space="preserve">Szacowane dochody z PIT w 2023 r. w warunkach prawnych sprzed Polskiego Ładu jako iloczyn udziału poszczególnych JST we wpływach podatkowych z PIT w 2021 r. i szacunku ogólnych dochodów JST z PIT  na 2023 r. stanowiącego iloczyn wykonanych dochodów z PIT w 2021 r. i dynamik w latach 2022-2023 zatrudnienia (101,7% i 100,3%) i wynagrodzeń (112,1% i 112,3%) </w:t>
      </w:r>
      <w:r>
        <w:rPr>
          <w:rFonts w:ascii="Verdana" w:hAnsi="Verdana" w:cstheme="minorHAnsi"/>
          <w:i w:val="0"/>
          <w:sz w:val="14"/>
          <w:szCs w:val="14"/>
        </w:rPr>
        <w:br/>
      </w:r>
      <w:r w:rsidRPr="00F84763">
        <w:rPr>
          <w:rFonts w:ascii="Verdana" w:hAnsi="Verdana" w:cstheme="minorHAnsi"/>
          <w:i w:val="0"/>
          <w:sz w:val="14"/>
          <w:szCs w:val="14"/>
        </w:rPr>
        <w:t>w gospodarce narodowej, gdzie dane dla 2022 r. przyjęte wg GUS i dane dla 2023 r. wg prognozy Ministerstwa Finansów przedstawionej w publikacji z 3 października 2023 r. pt. "Wytyczne dotyczące stosowania jednolitych wskaźników makroekonomicznych będących podstawą oszacowania skutków finansowych projektowanych ustaw</w:t>
      </w:r>
      <w:r>
        <w:rPr>
          <w:rFonts w:ascii="Verdana" w:hAnsi="Verdana" w:cstheme="minorHAnsi"/>
          <w:i w:val="0"/>
          <w:sz w:val="14"/>
          <w:szCs w:val="14"/>
        </w:rPr>
        <w:t>.</w:t>
      </w:r>
      <w:r w:rsidRPr="00F84763">
        <w:rPr>
          <w:rFonts w:ascii="Verdana" w:hAnsi="Verdana" w:cstheme="minorHAnsi"/>
          <w:i w:val="0"/>
          <w:sz w:val="14"/>
          <w:szCs w:val="14"/>
        </w:rPr>
        <w:t xml:space="preserve"> Aktualizacja – październik 2023 r." (uwzględniono także wzrost udziału gmin w PIT z 38,23% w 2021 r. do 38,40% w 2023 r.)</w:t>
      </w:r>
      <w:r>
        <w:rPr>
          <w:rFonts w:ascii="Verdana" w:hAnsi="Verdana" w:cstheme="minorHAnsi"/>
          <w:i w:val="0"/>
          <w:sz w:val="14"/>
          <w:szCs w:val="14"/>
        </w:rPr>
        <w:t>.</w:t>
      </w:r>
    </w:p>
  </w:footnote>
  <w:footnote w:id="5">
    <w:p w:rsidR="00067F5A" w:rsidRPr="00A13AAE" w:rsidRDefault="00067F5A" w:rsidP="00CA374E">
      <w:pPr>
        <w:pStyle w:val="Tekstprzypisudolnego"/>
        <w:rPr>
          <w:rFonts w:asciiTheme="minorHAnsi" w:hAnsiTheme="minorHAnsi" w:cstheme="minorHAnsi"/>
          <w:i w:val="0"/>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Łączna kwota dodatkowych środków przekazanych m.st. Warszawie w latach 2021-2023 wynosi 1,477 mld zł, z tego: 468 mln zł przekazane w grudniu 2021 r. w ramach kwoty 8 mld zł łącznie dla JST; 852 mln zł przekazane w IV kwartale 2022 r. w ramach kwoty 13,7 mld zł łącznie dla JST; 157 mln zł do przekazania w 2023 r. w ramach kwoty 13,3 mld zł łącznie dla JST.</w:t>
      </w:r>
    </w:p>
  </w:footnote>
  <w:footnote w:id="6">
    <w:p w:rsidR="00067F5A" w:rsidRPr="00F06025" w:rsidRDefault="00067F5A" w:rsidP="00CA374E">
      <w:pPr>
        <w:pStyle w:val="Tekstprzypisudolnego"/>
        <w:rPr>
          <w:rFonts w:ascii="Verdana" w:hAnsi="Verdana" w:cstheme="minorHAnsi"/>
          <w:i w:val="0"/>
          <w:sz w:val="14"/>
          <w:szCs w:val="14"/>
        </w:rPr>
      </w:pPr>
      <w:r w:rsidRPr="00A13AAE">
        <w:rPr>
          <w:rStyle w:val="Odwoanieprzypisudolnego"/>
          <w:rFonts w:asciiTheme="minorHAnsi" w:hAnsiTheme="minorHAnsi" w:cstheme="minorHAnsi"/>
          <w:i w:val="0"/>
        </w:rPr>
        <w:footnoteRef/>
      </w:r>
      <w:r w:rsidRPr="00A13AAE">
        <w:rPr>
          <w:rFonts w:asciiTheme="minorHAnsi" w:hAnsiTheme="minorHAnsi" w:cstheme="minorHAnsi"/>
          <w:i w:val="0"/>
        </w:rPr>
        <w:t xml:space="preserve"> </w:t>
      </w:r>
      <w:r w:rsidRPr="00F06025">
        <w:rPr>
          <w:rFonts w:ascii="Verdana" w:hAnsi="Verdana" w:cstheme="minorHAnsi"/>
          <w:i w:val="0"/>
          <w:sz w:val="14"/>
          <w:szCs w:val="14"/>
        </w:rPr>
        <w:t>Pisma z 13.10.2023 r. nr ST3.4750.19.2023 – część gminna i nr ST3.4750.20.2023 – część powiatowa.</w:t>
      </w:r>
    </w:p>
  </w:footnote>
  <w:footnote w:id="7">
    <w:p w:rsidR="00067F5A" w:rsidRDefault="00067F5A" w:rsidP="00CA374E">
      <w:pPr>
        <w:pStyle w:val="Tekstprzypisudolnego"/>
        <w:rPr>
          <w:rFonts w:ascii="Verdana" w:hAnsi="Verdana" w:cstheme="minorHAnsi"/>
          <w:i w:val="0"/>
          <w:sz w:val="14"/>
          <w:szCs w:val="14"/>
        </w:rPr>
      </w:pPr>
      <w:r w:rsidRPr="00F84763">
        <w:rPr>
          <w:rStyle w:val="Odwoanieprzypisudolnego"/>
          <w:rFonts w:asciiTheme="minorHAnsi" w:hAnsiTheme="minorHAnsi" w:cstheme="minorHAnsi"/>
          <w:i w:val="0"/>
        </w:rPr>
        <w:footnoteRef/>
      </w:r>
      <w:r>
        <w:rPr>
          <w:rFonts w:ascii="Verdana" w:hAnsi="Verdana" w:cstheme="minorHAnsi"/>
          <w:i w:val="0"/>
          <w:sz w:val="14"/>
          <w:szCs w:val="14"/>
        </w:rPr>
        <w:t xml:space="preserve"> </w:t>
      </w:r>
      <w:r w:rsidRPr="00F84763">
        <w:rPr>
          <w:rFonts w:ascii="Verdana" w:hAnsi="Verdana" w:cstheme="minorHAnsi"/>
          <w:i w:val="0"/>
          <w:sz w:val="14"/>
          <w:szCs w:val="14"/>
        </w:rPr>
        <w:t>Szacowane dochody z PIT w 2024 r. w warunkach prawnych sprzed Polskiego Ładu jako iloczyn udziału poszczególnych JST we wpływach podatkowych z PIT w 2021 r. i szacu</w:t>
      </w:r>
      <w:r>
        <w:rPr>
          <w:rFonts w:ascii="Verdana" w:hAnsi="Verdana" w:cstheme="minorHAnsi"/>
          <w:i w:val="0"/>
          <w:sz w:val="14"/>
          <w:szCs w:val="14"/>
        </w:rPr>
        <w:t>nku ogólnych dochodów JST z PIT</w:t>
      </w:r>
      <w:r w:rsidRPr="00F84763">
        <w:rPr>
          <w:rFonts w:ascii="Verdana" w:hAnsi="Verdana" w:cstheme="minorHAnsi"/>
          <w:i w:val="0"/>
          <w:sz w:val="14"/>
          <w:szCs w:val="14"/>
        </w:rPr>
        <w:t xml:space="preserve"> na 2024 r. stanowiącego iloczyn wykonanych dochodów z PIT w 2021 r. i dynamik w latach 2022-2024 zatrudnienia (101,7%, 100,3%, 101,2%) i wynagrodzeń (112,1%, 112,3%, 109,8</w:t>
      </w:r>
      <w:r>
        <w:rPr>
          <w:rFonts w:ascii="Verdana" w:hAnsi="Verdana" w:cstheme="minorHAnsi"/>
          <w:i w:val="0"/>
          <w:sz w:val="14"/>
          <w:szCs w:val="14"/>
        </w:rPr>
        <w:t>%</w:t>
      </w:r>
      <w:r w:rsidRPr="00F84763">
        <w:rPr>
          <w:rFonts w:ascii="Verdana" w:hAnsi="Verdana" w:cstheme="minorHAnsi"/>
          <w:i w:val="0"/>
          <w:sz w:val="14"/>
          <w:szCs w:val="14"/>
        </w:rPr>
        <w:t xml:space="preserve">) w gospodarce narodowej dla 2022 r. wg </w:t>
      </w:r>
      <w:r>
        <w:rPr>
          <w:rFonts w:ascii="Verdana" w:hAnsi="Verdana" w:cstheme="minorHAnsi"/>
          <w:i w:val="0"/>
          <w:sz w:val="14"/>
          <w:szCs w:val="14"/>
        </w:rPr>
        <w:t xml:space="preserve">danych GUS i dla lat 2023-2024 </w:t>
      </w:r>
      <w:r w:rsidRPr="00F84763">
        <w:rPr>
          <w:rFonts w:ascii="Verdana" w:hAnsi="Verdana" w:cstheme="minorHAnsi"/>
          <w:i w:val="0"/>
          <w:sz w:val="14"/>
          <w:szCs w:val="14"/>
        </w:rPr>
        <w:t>wg prognozy Ministerstwa Finansów</w:t>
      </w:r>
      <w:r>
        <w:rPr>
          <w:rFonts w:ascii="Verdana" w:hAnsi="Verdana" w:cstheme="minorHAnsi"/>
          <w:i w:val="0"/>
          <w:sz w:val="14"/>
          <w:szCs w:val="14"/>
        </w:rPr>
        <w:t xml:space="preserve"> </w:t>
      </w:r>
      <w:r w:rsidRPr="00F84763">
        <w:rPr>
          <w:rFonts w:ascii="Verdana" w:hAnsi="Verdana" w:cstheme="minorHAnsi"/>
          <w:i w:val="0"/>
          <w:sz w:val="14"/>
          <w:szCs w:val="14"/>
        </w:rPr>
        <w:t>przedstawionej w publikacji z 3 października 2023 r. pt. "Wytyczne dotyczące stosowania jednolitych wskaźników makroekonomicznych będących podstawą oszacowania skutków finansowych projektowanych ustaw</w:t>
      </w:r>
      <w:r>
        <w:rPr>
          <w:rFonts w:ascii="Verdana" w:hAnsi="Verdana" w:cstheme="minorHAnsi"/>
          <w:i w:val="0"/>
          <w:sz w:val="14"/>
          <w:szCs w:val="14"/>
        </w:rPr>
        <w:t>.</w:t>
      </w:r>
      <w:r w:rsidRPr="00F84763">
        <w:rPr>
          <w:rFonts w:ascii="Verdana" w:hAnsi="Verdana" w:cstheme="minorHAnsi"/>
          <w:i w:val="0"/>
          <w:sz w:val="14"/>
          <w:szCs w:val="14"/>
        </w:rPr>
        <w:t xml:space="preserve"> Aktualizacja – październik 2023 r."</w:t>
      </w:r>
      <w:r>
        <w:rPr>
          <w:rFonts w:ascii="Verdana" w:hAnsi="Verdana" w:cstheme="minorHAnsi"/>
          <w:i w:val="0"/>
          <w:sz w:val="14"/>
          <w:szCs w:val="14"/>
        </w:rPr>
        <w:t xml:space="preserve"> (uwzględniono także wzrost udziału gmin w PIT </w:t>
      </w:r>
      <w:r w:rsidRPr="00F84763">
        <w:rPr>
          <w:rFonts w:ascii="Verdana" w:hAnsi="Verdana" w:cstheme="minorHAnsi"/>
          <w:i w:val="0"/>
          <w:sz w:val="14"/>
          <w:szCs w:val="14"/>
        </w:rPr>
        <w:t xml:space="preserve">z 38,23% w 2021 r. do 38,46% w 2024 r.). Udział JST w podziale PIT dla 2024 r. powinien pochodzić ze struktury podatku należnego za 2022 r. natomiast z uwagi na obowiązywanie od 2022 r. Polskiego Ładu nie jest możliwe jego wyliczenie w warunkach prawnych sprzed Polskiego Ładu, stąd dla 2024 r. przyjęto udział </w:t>
      </w:r>
      <w:r>
        <w:rPr>
          <w:rFonts w:ascii="Verdana" w:hAnsi="Verdana" w:cstheme="minorHAnsi"/>
          <w:i w:val="0"/>
          <w:sz w:val="14"/>
          <w:szCs w:val="14"/>
        </w:rPr>
        <w:br/>
      </w:r>
      <w:r w:rsidRPr="00F84763">
        <w:rPr>
          <w:rFonts w:ascii="Verdana" w:hAnsi="Verdana" w:cstheme="minorHAnsi"/>
          <w:i w:val="0"/>
          <w:sz w:val="14"/>
          <w:szCs w:val="14"/>
        </w:rPr>
        <w:t>z 2021 r.</w:t>
      </w:r>
    </w:p>
    <w:p w:rsidR="00067F5A" w:rsidRDefault="00067F5A" w:rsidP="00CA374E">
      <w:pPr>
        <w:pStyle w:val="Tekstprzypisudolnego"/>
        <w:ind w:firstLine="0"/>
        <w:rPr>
          <w:rFonts w:ascii="Verdana" w:hAnsi="Verdana" w:cstheme="minorHAnsi"/>
          <w:i w:val="0"/>
          <w:sz w:val="14"/>
          <w:szCs w:val="14"/>
        </w:rPr>
      </w:pPr>
      <w:r>
        <w:rPr>
          <w:rFonts w:ascii="Verdana" w:hAnsi="Verdana" w:cstheme="minorHAnsi"/>
          <w:i w:val="0"/>
          <w:sz w:val="14"/>
          <w:szCs w:val="14"/>
        </w:rPr>
        <w:t xml:space="preserve">Porównywalne wyniki do powyższej analizy sporządzonej na podstawie dynamik przeciętnego wynagrodzenia i zatrudnienia </w:t>
      </w:r>
      <w:r>
        <w:rPr>
          <w:rFonts w:ascii="Verdana" w:hAnsi="Verdana" w:cstheme="minorHAnsi"/>
          <w:i w:val="0"/>
          <w:sz w:val="14"/>
          <w:szCs w:val="14"/>
        </w:rPr>
        <w:br/>
        <w:t>w gospodarce narodowej przynoszą szacunki opracowane w oparciu o udział PIT w Produkcie Krajowym Brutto (PKB) oraz szacunki przeprowadzone na podstawie przewidywanych skutków Polskiego Ładu podanych w Ocenach Skutków Regulacji, a mianowicie szacowane dochody m.st. Warszawy z PIT w 2024 r. w warunkach prawnych sprzed Polskiego Ładu kształtują się następująco:</w:t>
      </w:r>
    </w:p>
    <w:p w:rsidR="00067F5A" w:rsidRDefault="00067F5A" w:rsidP="00CA374E">
      <w:pPr>
        <w:pStyle w:val="Tekstprzypisudolnego"/>
        <w:ind w:firstLine="140"/>
        <w:jc w:val="left"/>
        <w:rPr>
          <w:rFonts w:ascii="Verdana" w:hAnsi="Verdana" w:cstheme="minorHAnsi"/>
          <w:i w:val="0"/>
          <w:sz w:val="14"/>
          <w:szCs w:val="14"/>
        </w:rPr>
      </w:pPr>
      <w:r>
        <w:rPr>
          <w:rFonts w:ascii="Verdana" w:hAnsi="Verdana" w:cstheme="minorHAnsi"/>
          <w:i w:val="0"/>
          <w:sz w:val="14"/>
          <w:szCs w:val="14"/>
        </w:rPr>
        <w:t xml:space="preserve">  9,886 mld zł: szacunek na podstawie dynamik wynagrodzeń i zatrudnienia w gospodarce narodowej,</w:t>
      </w:r>
    </w:p>
    <w:p w:rsidR="00067F5A" w:rsidRDefault="00067F5A" w:rsidP="00CA374E">
      <w:pPr>
        <w:pStyle w:val="Tekstprzypisudolnego"/>
        <w:ind w:firstLine="140"/>
        <w:jc w:val="left"/>
        <w:rPr>
          <w:rFonts w:ascii="Verdana" w:hAnsi="Verdana" w:cstheme="minorHAnsi"/>
          <w:i w:val="0"/>
          <w:sz w:val="14"/>
          <w:szCs w:val="14"/>
        </w:rPr>
      </w:pPr>
      <w:r>
        <w:rPr>
          <w:rFonts w:ascii="Verdana" w:hAnsi="Verdana" w:cstheme="minorHAnsi"/>
          <w:i w:val="0"/>
          <w:sz w:val="14"/>
          <w:szCs w:val="14"/>
        </w:rPr>
        <w:t xml:space="preserve">10,110 mld zł: szacunek zakładający, że w 2024 r. wysokość relacji dochodów Warszawy z PIT do PKB Warszawy w cenach </w:t>
      </w:r>
      <w:r>
        <w:rPr>
          <w:rFonts w:ascii="Verdana" w:hAnsi="Verdana" w:cstheme="minorHAnsi"/>
          <w:i w:val="0"/>
          <w:sz w:val="14"/>
          <w:szCs w:val="14"/>
        </w:rPr>
        <w:br/>
        <w:t xml:space="preserve">                         bieżących odpowiada średniemu poziomowi z lat 2019-2021,</w:t>
      </w:r>
    </w:p>
    <w:p w:rsidR="00067F5A" w:rsidRPr="00A13AAE" w:rsidRDefault="00067F5A" w:rsidP="00CA374E">
      <w:pPr>
        <w:pStyle w:val="Tekstprzypisudolnego"/>
        <w:ind w:firstLine="140"/>
        <w:jc w:val="left"/>
        <w:rPr>
          <w:rFonts w:asciiTheme="minorHAnsi" w:hAnsiTheme="minorHAnsi" w:cstheme="minorHAnsi"/>
          <w:i w:val="0"/>
        </w:rPr>
      </w:pPr>
      <w:r>
        <w:rPr>
          <w:rFonts w:ascii="Verdana" w:hAnsi="Verdana" w:cstheme="minorHAnsi"/>
          <w:i w:val="0"/>
          <w:sz w:val="14"/>
          <w:szCs w:val="14"/>
        </w:rPr>
        <w:t>10,230 mld zł: szacunek na podstawie Ocen Skutków Regulacji ustaw dotyczących Polskiego Ładu.</w:t>
      </w:r>
    </w:p>
  </w:footnote>
  <w:footnote w:id="8">
    <w:p w:rsidR="00067F5A" w:rsidRPr="00A13AAE" w:rsidRDefault="00067F5A" w:rsidP="00CA374E">
      <w:pPr>
        <w:pStyle w:val="Tekstprzypisudolnego"/>
        <w:rPr>
          <w:rFonts w:asciiTheme="minorHAnsi" w:hAnsiTheme="minorHAnsi" w:cstheme="minorHAnsi"/>
          <w:i w:val="0"/>
        </w:rPr>
      </w:pPr>
      <w:r w:rsidRPr="00F84763">
        <w:rPr>
          <w:rStyle w:val="Odwoanieprzypisudolnego"/>
          <w:rFonts w:asciiTheme="minorHAnsi" w:hAnsiTheme="minorHAnsi" w:cstheme="minorHAnsi"/>
          <w:i w:val="0"/>
        </w:rPr>
        <w:footnoteRef/>
      </w:r>
      <w:r w:rsidRPr="00F06025">
        <w:rPr>
          <w:rFonts w:ascii="Verdana" w:hAnsi="Verdana" w:cstheme="minorHAnsi"/>
          <w:i w:val="0"/>
          <w:sz w:val="14"/>
          <w:szCs w:val="14"/>
        </w:rPr>
        <w:t xml:space="preserve"> Pisma z 13.10.2023 r. nr ST3.4750.19.2023 – część gminna i nr ST3.4750.20.2023 – część powiatowa.</w:t>
      </w:r>
    </w:p>
  </w:footnote>
  <w:footnote w:id="9">
    <w:p w:rsidR="00067F5A" w:rsidRPr="00AF7021" w:rsidRDefault="00067F5A" w:rsidP="00CA374E">
      <w:pPr>
        <w:pStyle w:val="przypisdolnymm"/>
      </w:pPr>
      <w:r w:rsidRPr="00AF7021">
        <w:rPr>
          <w:rStyle w:val="Odwoanieprzypisudolnego"/>
        </w:rPr>
        <w:footnoteRef/>
      </w:r>
      <w:r w:rsidRPr="00AF7021">
        <w:t xml:space="preserve"> </w:t>
      </w:r>
      <w:r>
        <w:t>Plan</w:t>
      </w:r>
      <w:r w:rsidRPr="00AF7021">
        <w:t xml:space="preserve"> na początek </w:t>
      </w:r>
      <w:r>
        <w:t xml:space="preserve">2023 r. </w:t>
      </w:r>
    </w:p>
  </w:footnote>
  <w:footnote w:id="10">
    <w:p w:rsidR="00067F5A" w:rsidRPr="003F6E37" w:rsidRDefault="00067F5A" w:rsidP="00CA374E">
      <w:pPr>
        <w:autoSpaceDE w:val="0"/>
        <w:autoSpaceDN w:val="0"/>
        <w:adjustRightInd w:val="0"/>
        <w:spacing w:line="240" w:lineRule="auto"/>
        <w:ind w:firstLine="284"/>
        <w:jc w:val="both"/>
        <w:rPr>
          <w:rFonts w:ascii="Verdana" w:hAnsi="Verdana" w:cs="Verdana"/>
          <w:i/>
          <w:sz w:val="14"/>
          <w:szCs w:val="14"/>
        </w:rPr>
      </w:pPr>
      <w:r w:rsidRPr="00DE381C">
        <w:rPr>
          <w:rStyle w:val="Odwoanieprzypisudolnego"/>
          <w:rFonts w:ascii="Verdana" w:hAnsi="Verdana"/>
          <w:sz w:val="16"/>
          <w:szCs w:val="16"/>
        </w:rPr>
        <w:footnoteRef/>
      </w:r>
      <w:r w:rsidRPr="00DE381C">
        <w:rPr>
          <w:rFonts w:ascii="Verdana" w:hAnsi="Verdana"/>
          <w:sz w:val="16"/>
          <w:szCs w:val="16"/>
        </w:rPr>
        <w:t xml:space="preserve"> </w:t>
      </w:r>
      <w:r w:rsidRPr="00DE381C">
        <w:rPr>
          <w:rFonts w:ascii="Verdana" w:hAnsi="Verdana"/>
          <w:sz w:val="14"/>
          <w:szCs w:val="14"/>
        </w:rPr>
        <w:t xml:space="preserve">Wykazane w dalszej części opracowania wartości parametrów budżetowych </w:t>
      </w:r>
      <w:r>
        <w:rPr>
          <w:rFonts w:ascii="Verdana" w:hAnsi="Verdana"/>
          <w:sz w:val="14"/>
          <w:szCs w:val="14"/>
        </w:rPr>
        <w:t>dla 2023</w:t>
      </w:r>
      <w:r w:rsidRPr="00DE381C">
        <w:rPr>
          <w:rFonts w:ascii="Verdana" w:hAnsi="Verdana"/>
          <w:sz w:val="14"/>
          <w:szCs w:val="14"/>
        </w:rPr>
        <w:t xml:space="preserve"> r. są </w:t>
      </w:r>
      <w:r>
        <w:rPr>
          <w:rFonts w:ascii="Verdana" w:hAnsi="Verdana"/>
          <w:sz w:val="14"/>
          <w:szCs w:val="14"/>
        </w:rPr>
        <w:t>zgodne z planem aktualnym na 14.12.2023</w:t>
      </w:r>
      <w:r w:rsidRPr="00483B8D">
        <w:rPr>
          <w:rFonts w:ascii="Verdana" w:hAnsi="Verdana"/>
          <w:sz w:val="14"/>
          <w:szCs w:val="14"/>
        </w:rPr>
        <w:t xml:space="preserve"> r. - po zmianach objętych </w:t>
      </w:r>
      <w:r w:rsidRPr="00C90EAC">
        <w:rPr>
          <w:rFonts w:ascii="Verdana" w:hAnsi="Verdana"/>
          <w:sz w:val="14"/>
          <w:szCs w:val="14"/>
        </w:rPr>
        <w:t xml:space="preserve">uchwałą </w:t>
      </w:r>
      <w:r w:rsidRPr="00964DFF">
        <w:rPr>
          <w:rFonts w:ascii="Verdana" w:hAnsi="Verdana"/>
          <w:sz w:val="14"/>
          <w:szCs w:val="14"/>
        </w:rPr>
        <w:t xml:space="preserve">nr </w:t>
      </w:r>
      <w:r w:rsidRPr="00897A8C">
        <w:rPr>
          <w:rFonts w:ascii="Verdana" w:hAnsi="Verdana"/>
          <w:sz w:val="14"/>
          <w:szCs w:val="14"/>
        </w:rPr>
        <w:t>XCII/3013/2023</w:t>
      </w:r>
      <w:r>
        <w:rPr>
          <w:rFonts w:ascii="Verdana" w:hAnsi="Verdana"/>
          <w:sz w:val="14"/>
          <w:szCs w:val="14"/>
        </w:rPr>
        <w:t xml:space="preserve"> Rady m.st. Warszawy z 14.12</w:t>
      </w:r>
      <w:r w:rsidRPr="0018359F">
        <w:rPr>
          <w:rFonts w:ascii="Verdana" w:hAnsi="Verdana"/>
          <w:sz w:val="14"/>
          <w:szCs w:val="14"/>
        </w:rPr>
        <w:t>.2023 r.</w:t>
      </w:r>
      <w:r w:rsidRPr="00964DFF">
        <w:rPr>
          <w:rFonts w:ascii="Verdana" w:hAnsi="Verdana"/>
          <w:sz w:val="14"/>
          <w:szCs w:val="14"/>
        </w:rPr>
        <w:t xml:space="preserve"> </w:t>
      </w:r>
      <w:r w:rsidRPr="003F6E37">
        <w:rPr>
          <w:rFonts w:ascii="Verdana" w:hAnsi="Verdana"/>
          <w:i/>
          <w:sz w:val="14"/>
          <w:szCs w:val="14"/>
        </w:rPr>
        <w:t xml:space="preserve">w sprawie zmian </w:t>
      </w:r>
      <w:r>
        <w:rPr>
          <w:rFonts w:ascii="Verdana" w:hAnsi="Verdana"/>
          <w:i/>
          <w:sz w:val="14"/>
          <w:szCs w:val="14"/>
        </w:rPr>
        <w:br/>
      </w:r>
      <w:r w:rsidRPr="003F6E37">
        <w:rPr>
          <w:rFonts w:ascii="Verdana" w:hAnsi="Verdana"/>
          <w:i/>
          <w:sz w:val="14"/>
          <w:szCs w:val="14"/>
        </w:rPr>
        <w:t>w budżecie m.st. Warszawy na 2023 r.</w:t>
      </w:r>
    </w:p>
  </w:footnote>
  <w:footnote w:id="11">
    <w:p w:rsidR="00067F5A" w:rsidRPr="00EB24C3" w:rsidRDefault="00067F5A" w:rsidP="00CA374E">
      <w:pPr>
        <w:pStyle w:val="Tekstprzypisudolnego"/>
        <w:ind w:firstLine="284"/>
        <w:rPr>
          <w:rFonts w:ascii="Verdana" w:hAnsi="Verdana"/>
          <w:i w:val="0"/>
          <w:sz w:val="14"/>
          <w:szCs w:val="14"/>
        </w:rPr>
      </w:pPr>
      <w:r w:rsidRPr="000A6485">
        <w:rPr>
          <w:rStyle w:val="Odwoanieprzypisudolnego"/>
          <w:rFonts w:ascii="Verdana" w:hAnsi="Verdana"/>
          <w:i w:val="0"/>
          <w:sz w:val="16"/>
          <w:szCs w:val="16"/>
        </w:rPr>
        <w:footnoteRef/>
      </w:r>
      <w:r w:rsidRPr="000A6485">
        <w:rPr>
          <w:rFonts w:ascii="Verdana" w:hAnsi="Verdana"/>
          <w:i w:val="0"/>
          <w:sz w:val="16"/>
          <w:szCs w:val="16"/>
        </w:rPr>
        <w:t xml:space="preserve"> </w:t>
      </w:r>
      <w:r>
        <w:rPr>
          <w:rFonts w:ascii="Verdana" w:hAnsi="Verdana" w:cs="Arial"/>
          <w:i w:val="0"/>
          <w:sz w:val="14"/>
          <w:szCs w:val="14"/>
        </w:rPr>
        <w:t>Zgodnie z ustawą</w:t>
      </w:r>
      <w:r w:rsidRPr="00715C46">
        <w:rPr>
          <w:rFonts w:ascii="Verdana" w:hAnsi="Verdana" w:cs="Arial"/>
          <w:i w:val="0"/>
          <w:sz w:val="14"/>
          <w:szCs w:val="14"/>
        </w:rPr>
        <w:t xml:space="preserve"> z 17 września 2021 r. </w:t>
      </w:r>
      <w:r w:rsidRPr="00715C46">
        <w:rPr>
          <w:rFonts w:ascii="Verdana" w:hAnsi="Verdana" w:cs="Arial"/>
          <w:sz w:val="14"/>
          <w:szCs w:val="14"/>
        </w:rPr>
        <w:t>o zmianie ustawy o pomocy państwa w wychowaniu dzieci oraz niektórych innych ustaw</w:t>
      </w:r>
      <w:r>
        <w:rPr>
          <w:rFonts w:ascii="Verdana" w:hAnsi="Verdana" w:cs="Arial"/>
          <w:i w:val="0"/>
          <w:sz w:val="14"/>
          <w:szCs w:val="14"/>
        </w:rPr>
        <w:t xml:space="preserve"> (Dz. U. poz. 1981) </w:t>
      </w:r>
      <w:r w:rsidRPr="00715C46">
        <w:rPr>
          <w:rFonts w:ascii="Verdana" w:hAnsi="Verdana" w:cs="Arial"/>
          <w:i w:val="0"/>
          <w:sz w:val="14"/>
          <w:szCs w:val="14"/>
        </w:rPr>
        <w:t xml:space="preserve">Zakład Ubezpieczeń Społecznych </w:t>
      </w:r>
      <w:r>
        <w:rPr>
          <w:rFonts w:ascii="Verdana" w:hAnsi="Verdana" w:cs="Arial"/>
          <w:i w:val="0"/>
          <w:sz w:val="14"/>
          <w:szCs w:val="14"/>
        </w:rPr>
        <w:t>przejął od czerwca 2022 r. realizację wypłat świadczeń objętych p</w:t>
      </w:r>
      <w:r w:rsidRPr="00715C46">
        <w:rPr>
          <w:rFonts w:ascii="Verdana" w:hAnsi="Verdana" w:cs="Arial"/>
          <w:i w:val="0"/>
          <w:sz w:val="14"/>
          <w:szCs w:val="14"/>
        </w:rPr>
        <w:t>rogramem „Rodzina 500 Plus”</w:t>
      </w:r>
      <w:r>
        <w:rPr>
          <w:rFonts w:ascii="Verdana" w:hAnsi="Verdana" w:cs="Arial"/>
          <w:i w:val="0"/>
          <w:sz w:val="14"/>
          <w:szCs w:val="14"/>
        </w:rPr>
        <w:t>. W związku z powyższym p</w:t>
      </w:r>
      <w:r w:rsidRPr="00715C46">
        <w:rPr>
          <w:rFonts w:ascii="Verdana" w:hAnsi="Verdana"/>
          <w:i w:val="0"/>
          <w:sz w:val="14"/>
          <w:szCs w:val="14"/>
        </w:rPr>
        <w:t xml:space="preserve">arametry budżetowe </w:t>
      </w:r>
      <w:r>
        <w:rPr>
          <w:rFonts w:ascii="Verdana" w:hAnsi="Verdana"/>
          <w:i w:val="0"/>
          <w:sz w:val="14"/>
          <w:szCs w:val="14"/>
        </w:rPr>
        <w:t xml:space="preserve">objęte WPF 2024-2050 </w:t>
      </w:r>
      <w:r w:rsidRPr="00715C46">
        <w:rPr>
          <w:rFonts w:ascii="Verdana" w:hAnsi="Verdana"/>
          <w:i w:val="0"/>
          <w:sz w:val="14"/>
          <w:szCs w:val="14"/>
        </w:rPr>
        <w:t>nie obejmują</w:t>
      </w:r>
      <w:r>
        <w:rPr>
          <w:rFonts w:ascii="Verdana" w:hAnsi="Verdana"/>
          <w:i w:val="0"/>
          <w:sz w:val="14"/>
          <w:szCs w:val="14"/>
        </w:rPr>
        <w:t xml:space="preserve"> zadań związanych z realizacją p</w:t>
      </w:r>
      <w:r w:rsidRPr="00715C46">
        <w:rPr>
          <w:rFonts w:ascii="Verdana" w:hAnsi="Verdana"/>
          <w:i w:val="0"/>
          <w:sz w:val="14"/>
          <w:szCs w:val="14"/>
        </w:rPr>
        <w:t>rogramu „Rodzina 500 Plus”.</w:t>
      </w:r>
      <w:r>
        <w:rPr>
          <w:rFonts w:ascii="Verdana" w:hAnsi="Verdana"/>
          <w:i w:val="0"/>
          <w:sz w:val="14"/>
          <w:szCs w:val="14"/>
        </w:rPr>
        <w:t xml:space="preserve"> </w:t>
      </w:r>
      <w:r w:rsidRPr="00715C46">
        <w:rPr>
          <w:rFonts w:ascii="Verdana" w:hAnsi="Verdana" w:cs="Arial"/>
          <w:i w:val="0"/>
          <w:sz w:val="14"/>
          <w:szCs w:val="14"/>
        </w:rPr>
        <w:t>Dochody i</w:t>
      </w:r>
      <w:r>
        <w:rPr>
          <w:rFonts w:ascii="Verdana" w:hAnsi="Verdana" w:cs="Arial"/>
          <w:i w:val="0"/>
          <w:sz w:val="14"/>
          <w:szCs w:val="14"/>
        </w:rPr>
        <w:t xml:space="preserve"> wydatki związane z realizacją p</w:t>
      </w:r>
      <w:r w:rsidRPr="00715C46">
        <w:rPr>
          <w:rFonts w:ascii="Verdana" w:hAnsi="Verdana" w:cs="Arial"/>
          <w:i w:val="0"/>
          <w:sz w:val="14"/>
          <w:szCs w:val="14"/>
        </w:rPr>
        <w:t xml:space="preserve">rogramu „Rodzina 500 Plus” </w:t>
      </w:r>
      <w:r>
        <w:rPr>
          <w:rFonts w:ascii="Verdana" w:hAnsi="Verdana" w:cs="Arial"/>
          <w:i w:val="0"/>
          <w:sz w:val="14"/>
          <w:szCs w:val="14"/>
        </w:rPr>
        <w:br/>
        <w:t xml:space="preserve">w latach ujętych na wykresie nr 16 wyniosły: </w:t>
      </w:r>
      <w:r w:rsidRPr="0024534B">
        <w:rPr>
          <w:rFonts w:ascii="Verdana" w:hAnsi="Verdana" w:cs="Arial"/>
          <w:b/>
          <w:i w:val="0"/>
          <w:sz w:val="14"/>
          <w:szCs w:val="14"/>
        </w:rPr>
        <w:t>2,027 mld zł</w:t>
      </w:r>
      <w:r>
        <w:rPr>
          <w:rFonts w:ascii="Verdana" w:hAnsi="Verdana" w:cs="Arial"/>
          <w:i w:val="0"/>
          <w:sz w:val="14"/>
          <w:szCs w:val="14"/>
        </w:rPr>
        <w:t xml:space="preserve"> w 2021 r. i </w:t>
      </w:r>
      <w:r>
        <w:rPr>
          <w:rFonts w:ascii="Verdana" w:hAnsi="Verdana" w:cs="Arial"/>
          <w:b/>
          <w:i w:val="0"/>
          <w:sz w:val="14"/>
          <w:szCs w:val="14"/>
        </w:rPr>
        <w:t>843,3 mln</w:t>
      </w:r>
      <w:r w:rsidRPr="0024534B">
        <w:rPr>
          <w:rFonts w:ascii="Verdana" w:hAnsi="Verdana" w:cs="Arial"/>
          <w:b/>
          <w:i w:val="0"/>
          <w:sz w:val="14"/>
          <w:szCs w:val="14"/>
        </w:rPr>
        <w:t xml:space="preserve"> zł</w:t>
      </w:r>
      <w:r>
        <w:rPr>
          <w:rFonts w:ascii="Verdana" w:hAnsi="Verdana" w:cs="Arial"/>
          <w:i w:val="0"/>
          <w:sz w:val="14"/>
          <w:szCs w:val="14"/>
        </w:rPr>
        <w:t xml:space="preserve"> w 2022 r.</w:t>
      </w:r>
    </w:p>
  </w:footnote>
  <w:footnote w:id="12">
    <w:p w:rsidR="00067F5A" w:rsidRPr="005335E1" w:rsidRDefault="00067F5A" w:rsidP="00CA374E">
      <w:pPr>
        <w:pStyle w:val="Tekstprzypisudolnego"/>
        <w:ind w:firstLine="284"/>
        <w:rPr>
          <w:rFonts w:ascii="Verdana" w:hAnsi="Verdana" w:cs="Arial"/>
          <w:i w:val="0"/>
          <w:sz w:val="14"/>
          <w:szCs w:val="14"/>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 xml:space="preserve">Zarządzenie nr 1795/2021 Prezydenta Miasta Stołecznego Warszawy z 09.11.2021 r. </w:t>
      </w:r>
      <w:r w:rsidRPr="005335E1">
        <w:rPr>
          <w:rFonts w:ascii="Verdana" w:hAnsi="Verdana" w:cs="Arial"/>
          <w:sz w:val="14"/>
          <w:szCs w:val="14"/>
        </w:rPr>
        <w:t>w sprawie wyboru długości okresu stosowanego do wyliczenia relacji wynikającej z art. 243 ust. 1 ustawy o finansach publicznych</w:t>
      </w:r>
      <w:r w:rsidRPr="005335E1">
        <w:rPr>
          <w:rFonts w:ascii="Verdana" w:hAnsi="Verdana" w:cs="Arial"/>
          <w:i w:val="0"/>
          <w:sz w:val="14"/>
          <w:szCs w:val="14"/>
        </w:rPr>
        <w:t>.</w:t>
      </w:r>
    </w:p>
  </w:footnote>
  <w:footnote w:id="13">
    <w:p w:rsidR="00067F5A" w:rsidRPr="005E3938" w:rsidRDefault="00067F5A" w:rsidP="00CA374E">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4">
    <w:p w:rsidR="00067F5A" w:rsidRPr="005E3938" w:rsidRDefault="00067F5A" w:rsidP="00CA374E">
      <w:pPr>
        <w:pStyle w:val="Tekstprzypisudolnego"/>
        <w:ind w:firstLine="284"/>
        <w:rPr>
          <w:rFonts w:ascii="Verdana" w:hAnsi="Verdana"/>
          <w:i w:val="0"/>
          <w:sz w:val="16"/>
          <w:szCs w:val="16"/>
        </w:rPr>
      </w:pPr>
      <w:r w:rsidRPr="005E3938">
        <w:rPr>
          <w:rStyle w:val="Odwoanieprzypisudolnego"/>
          <w:rFonts w:ascii="Verdana" w:hAnsi="Verdana"/>
          <w:i w:val="0"/>
          <w:sz w:val="14"/>
          <w:szCs w:val="14"/>
        </w:rPr>
        <w:footnoteRef/>
      </w:r>
      <w:r>
        <w:rPr>
          <w:rFonts w:ascii="Verdana" w:hAnsi="Verdana"/>
          <w:i w:val="0"/>
          <w:sz w:val="14"/>
          <w:szCs w:val="14"/>
        </w:rPr>
        <w:t xml:space="preserve"> </w:t>
      </w:r>
      <w:r>
        <w:rPr>
          <w:rFonts w:ascii="Verdana" w:hAnsi="Verdana" w:cs="Arial"/>
          <w:i w:val="0"/>
          <w:sz w:val="14"/>
          <w:szCs w:val="14"/>
        </w:rPr>
        <w:t>Zmiany tekstu jednolitego wymienionej ustawy zostały ogłoszone w</w:t>
      </w:r>
      <w:r>
        <w:rPr>
          <w:rFonts w:ascii="Verdana" w:hAnsi="Verdana"/>
          <w:i w:val="0"/>
          <w:sz w:val="14"/>
          <w:szCs w:val="14"/>
        </w:rPr>
        <w:t xml:space="preserve"> Dz. U. z 2022 r. </w:t>
      </w:r>
      <w:r w:rsidRPr="00E67B40">
        <w:rPr>
          <w:rFonts w:ascii="Verdana" w:hAnsi="Verdana"/>
          <w:i w:val="0"/>
          <w:sz w:val="14"/>
          <w:szCs w:val="14"/>
        </w:rPr>
        <w:t xml:space="preserve">poz. </w:t>
      </w:r>
      <w:r>
        <w:rPr>
          <w:rFonts w:ascii="Verdana" w:hAnsi="Verdana"/>
          <w:i w:val="0"/>
          <w:sz w:val="14"/>
          <w:szCs w:val="14"/>
        </w:rPr>
        <w:t>682, 683, 684, 830, 930, 1002, 1087, 1383, 1561, 1692, 1733, 2185.</w:t>
      </w:r>
    </w:p>
  </w:footnote>
  <w:footnote w:id="15">
    <w:p w:rsidR="004E65B0" w:rsidRDefault="004E65B0" w:rsidP="004E65B0">
      <w:pPr>
        <w:pStyle w:val="Tekstprzypisudolnego"/>
        <w:tabs>
          <w:tab w:val="clear" w:pos="851"/>
          <w:tab w:val="left" w:pos="0"/>
        </w:tabs>
        <w:ind w:left="170" w:hanging="170"/>
        <w:rPr>
          <w:rFonts w:ascii="Verdana" w:hAnsi="Verdana"/>
          <w:sz w:val="16"/>
          <w:szCs w:val="16"/>
        </w:rPr>
      </w:pPr>
      <w:r w:rsidRPr="00A478E4">
        <w:rPr>
          <w:rStyle w:val="Odwoanieprzypisudolnego"/>
          <w:rFonts w:ascii="Verdana" w:hAnsi="Verdana"/>
          <w:sz w:val="16"/>
          <w:szCs w:val="16"/>
        </w:rPr>
        <w:footnoteRef/>
      </w:r>
      <w:r w:rsidRPr="00A478E4">
        <w:rPr>
          <w:rFonts w:ascii="Verdana" w:hAnsi="Verdana"/>
          <w:sz w:val="16"/>
          <w:szCs w:val="16"/>
        </w:rPr>
        <w:t xml:space="preserve"> </w:t>
      </w:r>
      <w:r w:rsidRPr="00385CE1">
        <w:rPr>
          <w:rFonts w:ascii="Verdana" w:hAnsi="Verdana"/>
          <w:i w:val="0"/>
          <w:sz w:val="14"/>
          <w:szCs w:val="14"/>
        </w:rPr>
        <w:t>Na potrzeby formułowanej polityki zadłużenia wykorzystywane są informacje publikowane przez Ministerstwo Finansów dotyczące polityki długu Skarbu Państwa oraz oficjalne dane i prognozy dotyczące sytuacji gospodarczej i rynku kapitałowego - programów unijnych, stóp procentowych, ryzyk</w:t>
      </w:r>
      <w:r>
        <w:rPr>
          <w:rFonts w:ascii="Verdana" w:hAnsi="Verdana"/>
          <w:i w:val="0"/>
          <w:sz w:val="14"/>
          <w:szCs w:val="14"/>
        </w:rPr>
        <w:t>a</w:t>
      </w:r>
      <w:r w:rsidRPr="00385CE1">
        <w:rPr>
          <w:rFonts w:ascii="Verdana" w:hAnsi="Verdana"/>
          <w:i w:val="0"/>
          <w:sz w:val="14"/>
          <w:szCs w:val="14"/>
        </w:rPr>
        <w:t xml:space="preserve"> kursow</w:t>
      </w:r>
      <w:r>
        <w:rPr>
          <w:rFonts w:ascii="Verdana" w:hAnsi="Verdana"/>
          <w:i w:val="0"/>
          <w:sz w:val="14"/>
          <w:szCs w:val="14"/>
        </w:rPr>
        <w:t>ego</w:t>
      </w:r>
      <w:r w:rsidRPr="00385CE1">
        <w:rPr>
          <w:rFonts w:ascii="Verdana" w:hAnsi="Verdana"/>
          <w:i w:val="0"/>
          <w:sz w:val="14"/>
          <w:szCs w:val="14"/>
        </w:rPr>
        <w:t>. Podstawę teoretyczną przygotowywanej polityki długu stanowią tematyczne publikacje naukowe zarówno krajowe jak i zagraniczne.</w:t>
      </w:r>
    </w:p>
  </w:footnote>
  <w:footnote w:id="16">
    <w:p w:rsidR="004E65B0" w:rsidRPr="0059077B" w:rsidRDefault="004E65B0" w:rsidP="004E65B0">
      <w:pPr>
        <w:pStyle w:val="Tekstprzypisudolnego"/>
        <w:tabs>
          <w:tab w:val="clear" w:pos="851"/>
          <w:tab w:val="left" w:pos="0"/>
          <w:tab w:val="left" w:pos="142"/>
        </w:tabs>
        <w:spacing w:before="60"/>
        <w:ind w:firstLine="0"/>
        <w:rPr>
          <w:rFonts w:ascii="Verdana" w:hAnsi="Verdana"/>
          <w:i w:val="0"/>
          <w:sz w:val="14"/>
          <w:szCs w:val="14"/>
        </w:rPr>
      </w:pPr>
      <w:r w:rsidRPr="003229E1">
        <w:rPr>
          <w:rStyle w:val="Odwoanieprzypisudolnego"/>
          <w:rFonts w:ascii="Verdana" w:hAnsi="Verdana"/>
          <w:sz w:val="16"/>
          <w:szCs w:val="16"/>
        </w:rPr>
        <w:footnoteRef/>
      </w:r>
      <w:r w:rsidRPr="003229E1">
        <w:rPr>
          <w:rFonts w:ascii="Verdana" w:hAnsi="Verdana"/>
          <w:i w:val="0"/>
          <w:sz w:val="16"/>
          <w:szCs w:val="16"/>
        </w:rPr>
        <w:t xml:space="preserve"> </w:t>
      </w:r>
      <w:r w:rsidRPr="003229E1">
        <w:rPr>
          <w:rFonts w:ascii="Verdana" w:hAnsi="Verdana" w:cs="Arial"/>
          <w:i w:val="0"/>
          <w:sz w:val="14"/>
          <w:szCs w:val="14"/>
        </w:rPr>
        <w:t>Zmiany tekstu jednolitego ustawy zostały ogłoszone w</w:t>
      </w:r>
      <w:r w:rsidRPr="003229E1">
        <w:rPr>
          <w:rFonts w:ascii="Verdana" w:hAnsi="Verdana"/>
          <w:i w:val="0"/>
          <w:sz w:val="14"/>
          <w:szCs w:val="14"/>
        </w:rPr>
        <w:t xml:space="preserve"> </w:t>
      </w:r>
      <w:r w:rsidRPr="0029244B">
        <w:rPr>
          <w:rFonts w:ascii="Verdana" w:hAnsi="Verdana"/>
          <w:i w:val="0"/>
          <w:sz w:val="14"/>
          <w:szCs w:val="14"/>
        </w:rPr>
        <w:t xml:space="preserve">Dz. U. z </w:t>
      </w:r>
      <w:r>
        <w:rPr>
          <w:rFonts w:ascii="Verdana" w:hAnsi="Verdana"/>
          <w:i w:val="0"/>
          <w:sz w:val="14"/>
          <w:szCs w:val="14"/>
        </w:rPr>
        <w:t xml:space="preserve">2023 r. </w:t>
      </w:r>
      <w:r w:rsidRPr="00484D81">
        <w:rPr>
          <w:rFonts w:ascii="Verdana" w:hAnsi="Verdana"/>
          <w:i w:val="0"/>
          <w:sz w:val="14"/>
          <w:szCs w:val="14"/>
        </w:rPr>
        <w:t>poz. 1270, 1273,</w:t>
      </w:r>
      <w:r>
        <w:rPr>
          <w:rFonts w:ascii="Verdana" w:hAnsi="Verdana"/>
          <w:i w:val="0"/>
          <w:sz w:val="14"/>
          <w:szCs w:val="14"/>
        </w:rPr>
        <w:t xml:space="preserve"> 1407, 1429, 1641, </w:t>
      </w:r>
      <w:r w:rsidRPr="00484D81">
        <w:rPr>
          <w:rFonts w:ascii="Verdana" w:hAnsi="Verdana"/>
          <w:i w:val="0"/>
          <w:sz w:val="14"/>
          <w:szCs w:val="14"/>
        </w:rPr>
        <w:t>1693, 1872.</w:t>
      </w:r>
    </w:p>
  </w:footnote>
  <w:footnote w:id="17">
    <w:p w:rsidR="004E65B0" w:rsidRPr="00215038" w:rsidRDefault="004E65B0" w:rsidP="004E65B0">
      <w:pPr>
        <w:pStyle w:val="Tekstprzypisudolnego"/>
        <w:ind w:left="170" w:hanging="170"/>
        <w:rPr>
          <w:i w:val="0"/>
          <w:sz w:val="18"/>
          <w:szCs w:val="18"/>
        </w:rPr>
      </w:pPr>
      <w:r w:rsidRPr="00A478E4">
        <w:rPr>
          <w:rStyle w:val="Odwoanieprzypisudolnego"/>
          <w:sz w:val="18"/>
          <w:szCs w:val="18"/>
        </w:rPr>
        <w:footnoteRef/>
      </w:r>
      <w:r w:rsidRPr="00A478E4">
        <w:rPr>
          <w:sz w:val="18"/>
          <w:szCs w:val="18"/>
        </w:rPr>
        <w:t xml:space="preserve"> </w:t>
      </w:r>
      <w:r w:rsidRPr="00215038">
        <w:rPr>
          <w:rFonts w:ascii="Verdana" w:hAnsi="Verdana"/>
          <w:i w:val="0"/>
          <w:sz w:val="14"/>
          <w:szCs w:val="14"/>
        </w:rPr>
        <w:t xml:space="preserve">Podmioty zależne to wszystkie podmioty posiadające osobowość prawną (prawnie wyodrębnione), które są utworzone lub prowadzone przez m.st. Warszawa tj. m.in. kapitałowe spółki prawa handlowego utworzone przez Miasto oraz samorządowe instytucje kultury, </w:t>
      </w:r>
      <w:proofErr w:type="spellStart"/>
      <w:r w:rsidRPr="00215038">
        <w:rPr>
          <w:rFonts w:ascii="Verdana" w:hAnsi="Verdana"/>
          <w:i w:val="0"/>
          <w:sz w:val="14"/>
          <w:szCs w:val="14"/>
        </w:rPr>
        <w:t>SPZOZy</w:t>
      </w:r>
      <w:proofErr w:type="spellEnd"/>
      <w:r w:rsidRPr="00215038">
        <w:rPr>
          <w:rFonts w:ascii="Verdana" w:hAnsi="Verdana"/>
          <w:i w:val="0"/>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Pr="00996A8C" w:rsidRDefault="00067F5A" w:rsidP="008A114F">
    <w:pPr>
      <w:pStyle w:val="Nagwek"/>
      <w:spacing w:line="240" w:lineRule="auto"/>
      <w:jc w:val="center"/>
      <w:rPr>
        <w:i/>
        <w:sz w:val="20"/>
        <w:szCs w:val="20"/>
      </w:rPr>
    </w:pPr>
    <w:r>
      <w:rPr>
        <w:i/>
        <w:noProof/>
        <w:sz w:val="20"/>
        <w:szCs w:val="20"/>
        <w:lang w:val="pl-PL" w:eastAsia="pl-PL"/>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335915</wp:posOffset>
              </wp:positionV>
              <wp:extent cx="5715000" cy="0"/>
              <wp:effectExtent l="8255" t="13970" r="10795" b="5080"/>
              <wp:wrapTight wrapText="bothSides">
                <wp:wrapPolygon edited="0">
                  <wp:start x="0" y="-2147483648"/>
                  <wp:lineTo x="600" y="-2147483648"/>
                  <wp:lineTo x="600" y="-2147483648"/>
                  <wp:lineTo x="0" y="-2147483648"/>
                  <wp:lineTo x="0" y="-2147483648"/>
                </wp:wrapPolygon>
              </wp:wrapTight>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A842B"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45pt" to="45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e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">
              <w10:wrap type="tight"/>
            </v:line>
          </w:pict>
        </mc:Fallback>
      </mc:AlternateContent>
    </w:r>
    <w:r>
      <w:rPr>
        <w:rFonts w:ascii="Times New Roman" w:hAnsi="Times New Roman"/>
        <w:i/>
        <w:iCs/>
        <w:sz w:val="20"/>
      </w:rPr>
      <w:t>Wieloletnia Prognoza Finansowa Miasta Stołecznego Warszawy na lata 202</w:t>
    </w:r>
    <w:r>
      <w:rPr>
        <w:rFonts w:ascii="Times New Roman" w:hAnsi="Times New Roman"/>
        <w:i/>
        <w:iCs/>
        <w:sz w:val="20"/>
        <w:lang w:val="pl-PL"/>
      </w:rPr>
      <w:t>4</w:t>
    </w:r>
    <w:r>
      <w:rPr>
        <w:rFonts w:ascii="Times New Roman" w:hAnsi="Times New Roman"/>
        <w:i/>
        <w:iCs/>
        <w:sz w:val="20"/>
      </w:rPr>
      <w:t>-2050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2024-2050</w:t>
    </w:r>
  </w:p>
  <w:p w:rsidR="00067F5A" w:rsidRPr="006231C3"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2024-2050</w:t>
    </w:r>
  </w:p>
  <w:p w:rsidR="00067F5A" w:rsidRPr="006231C3"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OBJAŚNIENIA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F5A"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Wieloletnia Prognoza Finansowa Miasta Stołecznego Warszawy na lata 2024-2050</w:t>
    </w:r>
  </w:p>
  <w:p w:rsidR="00067F5A" w:rsidRPr="006231C3" w:rsidRDefault="00067F5A" w:rsidP="008E7C03">
    <w:pPr>
      <w:pBdr>
        <w:bottom w:val="single" w:sz="4" w:space="1" w:color="auto"/>
      </w:pBdr>
      <w:tabs>
        <w:tab w:val="center" w:pos="7088"/>
        <w:tab w:val="right" w:pos="9356"/>
      </w:tabs>
      <w:spacing w:line="240" w:lineRule="auto"/>
      <w:jc w:val="center"/>
      <w:rPr>
        <w:rFonts w:ascii="Times New Roman" w:hAnsi="Times New Roman"/>
        <w:i/>
        <w:iCs/>
        <w:sz w:val="20"/>
      </w:rPr>
    </w:pPr>
    <w:r>
      <w:rPr>
        <w:rFonts w:ascii="Times New Roman" w:hAnsi="Times New Roman"/>
        <w:i/>
        <w:iCs/>
        <w:sz w:val="20"/>
      </w:rPr>
      <w:t>POLITYKA DŁUGU EDYCJA 2024 ROK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6D4"/>
    <w:multiLevelType w:val="hybridMultilevel"/>
    <w:tmpl w:val="E9DC3AF2"/>
    <w:lvl w:ilvl="0" w:tplc="818EC27A">
      <w:start w:val="1"/>
      <w:numFmt w:val="bullet"/>
      <w:lvlText w:val=""/>
      <w:lvlJc w:val="left"/>
      <w:pPr>
        <w:tabs>
          <w:tab w:val="num" w:pos="720"/>
        </w:tabs>
        <w:ind w:left="720" w:hanging="360"/>
      </w:pPr>
      <w:rPr>
        <w:rFonts w:ascii="Symbol" w:hAnsi="Symbol" w:hint="default"/>
      </w:rPr>
    </w:lvl>
    <w:lvl w:ilvl="1" w:tplc="2BB4F190" w:tentative="1">
      <w:start w:val="1"/>
      <w:numFmt w:val="bullet"/>
      <w:lvlText w:val=""/>
      <w:lvlJc w:val="left"/>
      <w:pPr>
        <w:tabs>
          <w:tab w:val="num" w:pos="1440"/>
        </w:tabs>
        <w:ind w:left="1440" w:hanging="360"/>
      </w:pPr>
      <w:rPr>
        <w:rFonts w:ascii="Wingdings" w:hAnsi="Wingdings" w:hint="default"/>
      </w:rPr>
    </w:lvl>
    <w:lvl w:ilvl="2" w:tplc="B96620C2" w:tentative="1">
      <w:start w:val="1"/>
      <w:numFmt w:val="bullet"/>
      <w:lvlText w:val=""/>
      <w:lvlJc w:val="left"/>
      <w:pPr>
        <w:tabs>
          <w:tab w:val="num" w:pos="2160"/>
        </w:tabs>
        <w:ind w:left="2160" w:hanging="360"/>
      </w:pPr>
      <w:rPr>
        <w:rFonts w:ascii="Wingdings" w:hAnsi="Wingdings" w:hint="default"/>
      </w:rPr>
    </w:lvl>
    <w:lvl w:ilvl="3" w:tplc="045C9446" w:tentative="1">
      <w:start w:val="1"/>
      <w:numFmt w:val="bullet"/>
      <w:lvlText w:val=""/>
      <w:lvlJc w:val="left"/>
      <w:pPr>
        <w:tabs>
          <w:tab w:val="num" w:pos="2880"/>
        </w:tabs>
        <w:ind w:left="2880" w:hanging="360"/>
      </w:pPr>
      <w:rPr>
        <w:rFonts w:ascii="Wingdings" w:hAnsi="Wingdings" w:hint="default"/>
      </w:rPr>
    </w:lvl>
    <w:lvl w:ilvl="4" w:tplc="DFFEA0DE" w:tentative="1">
      <w:start w:val="1"/>
      <w:numFmt w:val="bullet"/>
      <w:lvlText w:val=""/>
      <w:lvlJc w:val="left"/>
      <w:pPr>
        <w:tabs>
          <w:tab w:val="num" w:pos="3600"/>
        </w:tabs>
        <w:ind w:left="3600" w:hanging="360"/>
      </w:pPr>
      <w:rPr>
        <w:rFonts w:ascii="Wingdings" w:hAnsi="Wingdings" w:hint="default"/>
      </w:rPr>
    </w:lvl>
    <w:lvl w:ilvl="5" w:tplc="007CF3AC" w:tentative="1">
      <w:start w:val="1"/>
      <w:numFmt w:val="bullet"/>
      <w:lvlText w:val=""/>
      <w:lvlJc w:val="left"/>
      <w:pPr>
        <w:tabs>
          <w:tab w:val="num" w:pos="4320"/>
        </w:tabs>
        <w:ind w:left="4320" w:hanging="360"/>
      </w:pPr>
      <w:rPr>
        <w:rFonts w:ascii="Wingdings" w:hAnsi="Wingdings" w:hint="default"/>
      </w:rPr>
    </w:lvl>
    <w:lvl w:ilvl="6" w:tplc="A69053C2" w:tentative="1">
      <w:start w:val="1"/>
      <w:numFmt w:val="bullet"/>
      <w:lvlText w:val=""/>
      <w:lvlJc w:val="left"/>
      <w:pPr>
        <w:tabs>
          <w:tab w:val="num" w:pos="5040"/>
        </w:tabs>
        <w:ind w:left="5040" w:hanging="360"/>
      </w:pPr>
      <w:rPr>
        <w:rFonts w:ascii="Wingdings" w:hAnsi="Wingdings" w:hint="default"/>
      </w:rPr>
    </w:lvl>
    <w:lvl w:ilvl="7" w:tplc="B86EDBA6" w:tentative="1">
      <w:start w:val="1"/>
      <w:numFmt w:val="bullet"/>
      <w:lvlText w:val=""/>
      <w:lvlJc w:val="left"/>
      <w:pPr>
        <w:tabs>
          <w:tab w:val="num" w:pos="5760"/>
        </w:tabs>
        <w:ind w:left="5760" w:hanging="360"/>
      </w:pPr>
      <w:rPr>
        <w:rFonts w:ascii="Wingdings" w:hAnsi="Wingdings" w:hint="default"/>
      </w:rPr>
    </w:lvl>
    <w:lvl w:ilvl="8" w:tplc="050271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12701"/>
    <w:multiLevelType w:val="hybridMultilevel"/>
    <w:tmpl w:val="62027AA2"/>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 w15:restartNumberingAfterBreak="0">
    <w:nsid w:val="062D1BF2"/>
    <w:multiLevelType w:val="hybridMultilevel"/>
    <w:tmpl w:val="8B70C56A"/>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E19D7"/>
    <w:multiLevelType w:val="hybridMultilevel"/>
    <w:tmpl w:val="01B0129C"/>
    <w:lvl w:ilvl="0" w:tplc="784C6222">
      <w:start w:val="1"/>
      <w:numFmt w:val="decimal"/>
      <w:lvlText w:val="%1."/>
      <w:lvlJc w:val="left"/>
      <w:pPr>
        <w:ind w:left="720" w:hanging="360"/>
      </w:pPr>
      <w:rPr>
        <w:rFonts w:hint="default"/>
      </w:rPr>
    </w:lvl>
    <w:lvl w:ilvl="1" w:tplc="3834A2E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E9155C"/>
    <w:multiLevelType w:val="hybridMultilevel"/>
    <w:tmpl w:val="5BF0654A"/>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E57C76"/>
    <w:multiLevelType w:val="hybridMultilevel"/>
    <w:tmpl w:val="E08E63D4"/>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6648AB0">
      <w:start w:val="1"/>
      <w:numFmt w:val="bullet"/>
      <w:lvlText w:val=""/>
      <w:lvlJc w:val="left"/>
      <w:pPr>
        <w:tabs>
          <w:tab w:val="num" w:pos="1440"/>
        </w:tabs>
        <w:ind w:left="1440" w:hanging="360"/>
      </w:pPr>
      <w:rPr>
        <w:rFonts w:ascii="Symbol" w:hAnsi="Symbol" w:hint="default"/>
        <w:color w:val="auto"/>
        <w:sz w:val="20"/>
        <w:szCs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42650"/>
    <w:multiLevelType w:val="hybridMultilevel"/>
    <w:tmpl w:val="FA9CFBF4"/>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FA3E98"/>
    <w:multiLevelType w:val="hybridMultilevel"/>
    <w:tmpl w:val="10A87A88"/>
    <w:lvl w:ilvl="0" w:tplc="D3FCE27A">
      <w:start w:val="1"/>
      <w:numFmt w:val="bullet"/>
      <w:lvlText w:val=""/>
      <w:lvlJc w:val="left"/>
      <w:pPr>
        <w:tabs>
          <w:tab w:val="num" w:pos="720"/>
        </w:tabs>
        <w:ind w:left="72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D60180"/>
    <w:multiLevelType w:val="hybridMultilevel"/>
    <w:tmpl w:val="787CA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3B02B4"/>
    <w:multiLevelType w:val="hybridMultilevel"/>
    <w:tmpl w:val="B7B6307C"/>
    <w:lvl w:ilvl="0" w:tplc="826010EE">
      <w:start w:val="1"/>
      <w:numFmt w:val="bullet"/>
      <w:lvlText w:val="-"/>
      <w:lvlJc w:val="left"/>
      <w:pPr>
        <w:ind w:left="720" w:hanging="360"/>
      </w:pPr>
      <w:rPr>
        <w:rFonts w:hint="default"/>
      </w:rPr>
    </w:lvl>
    <w:lvl w:ilvl="1" w:tplc="879CEC58">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4F19B7"/>
    <w:multiLevelType w:val="multilevel"/>
    <w:tmpl w:val="6CE29EC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3AA1066"/>
    <w:multiLevelType w:val="hybridMultilevel"/>
    <w:tmpl w:val="B8C035E8"/>
    <w:lvl w:ilvl="0" w:tplc="6596BD5C">
      <w:start w:val="1"/>
      <w:numFmt w:val="decimal"/>
      <w:lvlText w:val="%1."/>
      <w:lvlJc w:val="left"/>
      <w:pPr>
        <w:ind w:left="720" w:hanging="360"/>
      </w:pPr>
      <w:rPr>
        <w:rFonts w:ascii="Calibri" w:eastAsia="Times New Roman" w:hAnsi="Calibri" w:cs="Calibr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74D0806"/>
    <w:multiLevelType w:val="hybridMultilevel"/>
    <w:tmpl w:val="FB58235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1D393D"/>
    <w:multiLevelType w:val="hybridMultilevel"/>
    <w:tmpl w:val="575A9F0A"/>
    <w:lvl w:ilvl="0" w:tplc="D28AA100">
      <w:start w:val="1"/>
      <w:numFmt w:val="bullet"/>
      <w:lvlText w:val=""/>
      <w:lvlJc w:val="left"/>
      <w:pPr>
        <w:tabs>
          <w:tab w:val="num" w:pos="927"/>
        </w:tabs>
        <w:ind w:left="927" w:hanging="360"/>
      </w:pPr>
      <w:rPr>
        <w:rFonts w:ascii="Wingdings" w:hAnsi="Wingdings" w:hint="default"/>
      </w:rPr>
    </w:lvl>
    <w:lvl w:ilvl="1" w:tplc="04150003">
      <w:start w:val="1"/>
      <w:numFmt w:val="bullet"/>
      <w:lvlText w:val="o"/>
      <w:lvlJc w:val="left"/>
      <w:pPr>
        <w:tabs>
          <w:tab w:val="num" w:pos="2007"/>
        </w:tabs>
        <w:ind w:left="2007" w:hanging="360"/>
      </w:pPr>
      <w:rPr>
        <w:rFonts w:ascii="Courier New" w:hAnsi="Courier New" w:cs="Courier New" w:hint="default"/>
      </w:rPr>
    </w:lvl>
    <w:lvl w:ilvl="2" w:tplc="E506CDE4">
      <w:numFmt w:val="bullet"/>
      <w:lvlText w:val=""/>
      <w:lvlJc w:val="left"/>
      <w:pPr>
        <w:ind w:left="2727" w:hanging="360"/>
      </w:pPr>
      <w:rPr>
        <w:rFonts w:ascii="Symbol" w:eastAsia="MS Mincho" w:hAnsi="Symbol" w:cs="Times New Roman"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AD47CC6"/>
    <w:multiLevelType w:val="hybridMultilevel"/>
    <w:tmpl w:val="3A6C9B1C"/>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B2C1903"/>
    <w:multiLevelType w:val="hybridMultilevel"/>
    <w:tmpl w:val="7E5C02A8"/>
    <w:lvl w:ilvl="0" w:tplc="8C2E3A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150993"/>
    <w:multiLevelType w:val="hybridMultilevel"/>
    <w:tmpl w:val="EF923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4752FA"/>
    <w:multiLevelType w:val="hybridMultilevel"/>
    <w:tmpl w:val="F08CEA34"/>
    <w:lvl w:ilvl="0" w:tplc="826010EE">
      <w:start w:val="1"/>
      <w:numFmt w:val="bullet"/>
      <w:lvlText w:val="-"/>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1EC534B5"/>
    <w:multiLevelType w:val="hybridMultilevel"/>
    <w:tmpl w:val="A53ED2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A044F5"/>
    <w:multiLevelType w:val="hybridMultilevel"/>
    <w:tmpl w:val="623CE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434334"/>
    <w:multiLevelType w:val="hybridMultilevel"/>
    <w:tmpl w:val="C04A8C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B5553F"/>
    <w:multiLevelType w:val="hybridMultilevel"/>
    <w:tmpl w:val="4DDA3E3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29A2DB1"/>
    <w:multiLevelType w:val="hybridMultilevel"/>
    <w:tmpl w:val="56A2ED92"/>
    <w:lvl w:ilvl="0" w:tplc="826010EE">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BD4C49"/>
    <w:multiLevelType w:val="hybridMultilevel"/>
    <w:tmpl w:val="865E4220"/>
    <w:lvl w:ilvl="0" w:tplc="8C2E3A0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15:restartNumberingAfterBreak="0">
    <w:nsid w:val="24477A9F"/>
    <w:multiLevelType w:val="hybridMultilevel"/>
    <w:tmpl w:val="FCB65784"/>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249350DC"/>
    <w:multiLevelType w:val="hybridMultilevel"/>
    <w:tmpl w:val="B7CCBBE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1F79FC"/>
    <w:multiLevelType w:val="hybridMultilevel"/>
    <w:tmpl w:val="04B866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56280E"/>
    <w:multiLevelType w:val="hybridMultilevel"/>
    <w:tmpl w:val="C5B89558"/>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A967DFF"/>
    <w:multiLevelType w:val="hybridMultilevel"/>
    <w:tmpl w:val="061E10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CE80EA1"/>
    <w:multiLevelType w:val="hybridMultilevel"/>
    <w:tmpl w:val="F2DA37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5C5677"/>
    <w:multiLevelType w:val="hybridMultilevel"/>
    <w:tmpl w:val="9BACA3D0"/>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7D3B30"/>
    <w:multiLevelType w:val="hybridMultilevel"/>
    <w:tmpl w:val="A45615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0F032C1"/>
    <w:multiLevelType w:val="hybridMultilevel"/>
    <w:tmpl w:val="1CE042B8"/>
    <w:lvl w:ilvl="0" w:tplc="A996820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34FB379D"/>
    <w:multiLevelType w:val="hybridMultilevel"/>
    <w:tmpl w:val="6206ED24"/>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4" w15:restartNumberingAfterBreak="0">
    <w:nsid w:val="35C45831"/>
    <w:multiLevelType w:val="hybridMultilevel"/>
    <w:tmpl w:val="311C7A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82F3507"/>
    <w:multiLevelType w:val="hybridMultilevel"/>
    <w:tmpl w:val="330CA9D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8844D37"/>
    <w:multiLevelType w:val="hybridMultilevel"/>
    <w:tmpl w:val="163A3598"/>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7" w15:restartNumberingAfterBreak="0">
    <w:nsid w:val="39BD38A2"/>
    <w:multiLevelType w:val="hybridMultilevel"/>
    <w:tmpl w:val="DC8694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B033472"/>
    <w:multiLevelType w:val="hybridMultilevel"/>
    <w:tmpl w:val="FB80F678"/>
    <w:lvl w:ilvl="0" w:tplc="F80C90F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2839AC"/>
    <w:multiLevelType w:val="hybridMultilevel"/>
    <w:tmpl w:val="9988801C"/>
    <w:lvl w:ilvl="0" w:tplc="0415000B">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0" w15:restartNumberingAfterBreak="0">
    <w:nsid w:val="3C8A400A"/>
    <w:multiLevelType w:val="hybridMultilevel"/>
    <w:tmpl w:val="E4B45BF8"/>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996CFC"/>
    <w:multiLevelType w:val="hybridMultilevel"/>
    <w:tmpl w:val="BE94D69C"/>
    <w:lvl w:ilvl="0" w:tplc="9AE27220">
      <w:start w:val="1"/>
      <w:numFmt w:val="bullet"/>
      <w:lvlText w:val=""/>
      <w:lvlJc w:val="left"/>
      <w:pPr>
        <w:tabs>
          <w:tab w:val="num" w:pos="720"/>
        </w:tabs>
        <w:ind w:left="720" w:hanging="360"/>
      </w:pPr>
      <w:rPr>
        <w:rFonts w:ascii="Wingdings" w:hAnsi="Wingdings" w:hint="default"/>
      </w:rPr>
    </w:lvl>
    <w:lvl w:ilvl="1" w:tplc="C9FA2C26" w:tentative="1">
      <w:start w:val="1"/>
      <w:numFmt w:val="bullet"/>
      <w:lvlText w:val=""/>
      <w:lvlJc w:val="left"/>
      <w:pPr>
        <w:tabs>
          <w:tab w:val="num" w:pos="1440"/>
        </w:tabs>
        <w:ind w:left="1440" w:hanging="360"/>
      </w:pPr>
      <w:rPr>
        <w:rFonts w:ascii="Wingdings" w:hAnsi="Wingdings" w:hint="default"/>
      </w:rPr>
    </w:lvl>
    <w:lvl w:ilvl="2" w:tplc="36D2637A" w:tentative="1">
      <w:start w:val="1"/>
      <w:numFmt w:val="bullet"/>
      <w:lvlText w:val=""/>
      <w:lvlJc w:val="left"/>
      <w:pPr>
        <w:tabs>
          <w:tab w:val="num" w:pos="2160"/>
        </w:tabs>
        <w:ind w:left="2160" w:hanging="360"/>
      </w:pPr>
      <w:rPr>
        <w:rFonts w:ascii="Wingdings" w:hAnsi="Wingdings" w:hint="default"/>
      </w:rPr>
    </w:lvl>
    <w:lvl w:ilvl="3" w:tplc="9A425656" w:tentative="1">
      <w:start w:val="1"/>
      <w:numFmt w:val="bullet"/>
      <w:lvlText w:val=""/>
      <w:lvlJc w:val="left"/>
      <w:pPr>
        <w:tabs>
          <w:tab w:val="num" w:pos="2880"/>
        </w:tabs>
        <w:ind w:left="2880" w:hanging="360"/>
      </w:pPr>
      <w:rPr>
        <w:rFonts w:ascii="Wingdings" w:hAnsi="Wingdings" w:hint="default"/>
      </w:rPr>
    </w:lvl>
    <w:lvl w:ilvl="4" w:tplc="A4028DF2" w:tentative="1">
      <w:start w:val="1"/>
      <w:numFmt w:val="bullet"/>
      <w:lvlText w:val=""/>
      <w:lvlJc w:val="left"/>
      <w:pPr>
        <w:tabs>
          <w:tab w:val="num" w:pos="3600"/>
        </w:tabs>
        <w:ind w:left="3600" w:hanging="360"/>
      </w:pPr>
      <w:rPr>
        <w:rFonts w:ascii="Wingdings" w:hAnsi="Wingdings" w:hint="default"/>
      </w:rPr>
    </w:lvl>
    <w:lvl w:ilvl="5" w:tplc="E2487DE8" w:tentative="1">
      <w:start w:val="1"/>
      <w:numFmt w:val="bullet"/>
      <w:lvlText w:val=""/>
      <w:lvlJc w:val="left"/>
      <w:pPr>
        <w:tabs>
          <w:tab w:val="num" w:pos="4320"/>
        </w:tabs>
        <w:ind w:left="4320" w:hanging="360"/>
      </w:pPr>
      <w:rPr>
        <w:rFonts w:ascii="Wingdings" w:hAnsi="Wingdings" w:hint="default"/>
      </w:rPr>
    </w:lvl>
    <w:lvl w:ilvl="6" w:tplc="9AF65572" w:tentative="1">
      <w:start w:val="1"/>
      <w:numFmt w:val="bullet"/>
      <w:lvlText w:val=""/>
      <w:lvlJc w:val="left"/>
      <w:pPr>
        <w:tabs>
          <w:tab w:val="num" w:pos="5040"/>
        </w:tabs>
        <w:ind w:left="5040" w:hanging="360"/>
      </w:pPr>
      <w:rPr>
        <w:rFonts w:ascii="Wingdings" w:hAnsi="Wingdings" w:hint="default"/>
      </w:rPr>
    </w:lvl>
    <w:lvl w:ilvl="7" w:tplc="92C6460C" w:tentative="1">
      <w:start w:val="1"/>
      <w:numFmt w:val="bullet"/>
      <w:lvlText w:val=""/>
      <w:lvlJc w:val="left"/>
      <w:pPr>
        <w:tabs>
          <w:tab w:val="num" w:pos="5760"/>
        </w:tabs>
        <w:ind w:left="5760" w:hanging="360"/>
      </w:pPr>
      <w:rPr>
        <w:rFonts w:ascii="Wingdings" w:hAnsi="Wingdings" w:hint="default"/>
      </w:rPr>
    </w:lvl>
    <w:lvl w:ilvl="8" w:tplc="BFDE536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D8565D"/>
    <w:multiLevelType w:val="hybridMultilevel"/>
    <w:tmpl w:val="02ACB958"/>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AB6B98"/>
    <w:multiLevelType w:val="hybridMultilevel"/>
    <w:tmpl w:val="EAE285EE"/>
    <w:lvl w:ilvl="0" w:tplc="04150003">
      <w:start w:val="1"/>
      <w:numFmt w:val="bullet"/>
      <w:lvlText w:val="o"/>
      <w:lvlJc w:val="left"/>
      <w:pPr>
        <w:ind w:left="99" w:hanging="360"/>
      </w:pPr>
      <w:rPr>
        <w:rFonts w:ascii="Courier New" w:hAnsi="Courier New" w:cs="Courier New" w:hint="default"/>
      </w:rPr>
    </w:lvl>
    <w:lvl w:ilvl="1" w:tplc="04150003" w:tentative="1">
      <w:start w:val="1"/>
      <w:numFmt w:val="bullet"/>
      <w:lvlText w:val="o"/>
      <w:lvlJc w:val="left"/>
      <w:pPr>
        <w:ind w:left="819" w:hanging="360"/>
      </w:pPr>
      <w:rPr>
        <w:rFonts w:ascii="Courier New" w:hAnsi="Courier New" w:cs="Courier New" w:hint="default"/>
      </w:rPr>
    </w:lvl>
    <w:lvl w:ilvl="2" w:tplc="04150005" w:tentative="1">
      <w:start w:val="1"/>
      <w:numFmt w:val="bullet"/>
      <w:lvlText w:val=""/>
      <w:lvlJc w:val="left"/>
      <w:pPr>
        <w:ind w:left="1539" w:hanging="360"/>
      </w:pPr>
      <w:rPr>
        <w:rFonts w:ascii="Wingdings" w:hAnsi="Wingdings" w:hint="default"/>
      </w:rPr>
    </w:lvl>
    <w:lvl w:ilvl="3" w:tplc="04150001" w:tentative="1">
      <w:start w:val="1"/>
      <w:numFmt w:val="bullet"/>
      <w:lvlText w:val=""/>
      <w:lvlJc w:val="left"/>
      <w:pPr>
        <w:ind w:left="2259" w:hanging="360"/>
      </w:pPr>
      <w:rPr>
        <w:rFonts w:ascii="Symbol" w:hAnsi="Symbol" w:hint="default"/>
      </w:rPr>
    </w:lvl>
    <w:lvl w:ilvl="4" w:tplc="04150003" w:tentative="1">
      <w:start w:val="1"/>
      <w:numFmt w:val="bullet"/>
      <w:lvlText w:val="o"/>
      <w:lvlJc w:val="left"/>
      <w:pPr>
        <w:ind w:left="2979" w:hanging="360"/>
      </w:pPr>
      <w:rPr>
        <w:rFonts w:ascii="Courier New" w:hAnsi="Courier New" w:cs="Courier New" w:hint="default"/>
      </w:rPr>
    </w:lvl>
    <w:lvl w:ilvl="5" w:tplc="04150005" w:tentative="1">
      <w:start w:val="1"/>
      <w:numFmt w:val="bullet"/>
      <w:lvlText w:val=""/>
      <w:lvlJc w:val="left"/>
      <w:pPr>
        <w:ind w:left="3699" w:hanging="360"/>
      </w:pPr>
      <w:rPr>
        <w:rFonts w:ascii="Wingdings" w:hAnsi="Wingdings" w:hint="default"/>
      </w:rPr>
    </w:lvl>
    <w:lvl w:ilvl="6" w:tplc="04150001" w:tentative="1">
      <w:start w:val="1"/>
      <w:numFmt w:val="bullet"/>
      <w:lvlText w:val=""/>
      <w:lvlJc w:val="left"/>
      <w:pPr>
        <w:ind w:left="4419" w:hanging="360"/>
      </w:pPr>
      <w:rPr>
        <w:rFonts w:ascii="Symbol" w:hAnsi="Symbol" w:hint="default"/>
      </w:rPr>
    </w:lvl>
    <w:lvl w:ilvl="7" w:tplc="04150003" w:tentative="1">
      <w:start w:val="1"/>
      <w:numFmt w:val="bullet"/>
      <w:lvlText w:val="o"/>
      <w:lvlJc w:val="left"/>
      <w:pPr>
        <w:ind w:left="5139" w:hanging="360"/>
      </w:pPr>
      <w:rPr>
        <w:rFonts w:ascii="Courier New" w:hAnsi="Courier New" w:cs="Courier New" w:hint="default"/>
      </w:rPr>
    </w:lvl>
    <w:lvl w:ilvl="8" w:tplc="04150005" w:tentative="1">
      <w:start w:val="1"/>
      <w:numFmt w:val="bullet"/>
      <w:lvlText w:val=""/>
      <w:lvlJc w:val="left"/>
      <w:pPr>
        <w:ind w:left="5859" w:hanging="360"/>
      </w:pPr>
      <w:rPr>
        <w:rFonts w:ascii="Wingdings" w:hAnsi="Wingdings" w:hint="default"/>
      </w:rPr>
    </w:lvl>
  </w:abstractNum>
  <w:abstractNum w:abstractNumId="44" w15:restartNumberingAfterBreak="0">
    <w:nsid w:val="3FFD0C91"/>
    <w:multiLevelType w:val="hybridMultilevel"/>
    <w:tmpl w:val="AA9C8F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030209A"/>
    <w:multiLevelType w:val="hybridMultilevel"/>
    <w:tmpl w:val="C6985F8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12C6888"/>
    <w:multiLevelType w:val="hybridMultilevel"/>
    <w:tmpl w:val="DAFC729A"/>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D4565E"/>
    <w:multiLevelType w:val="hybridMultilevel"/>
    <w:tmpl w:val="1FB86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6E159AC"/>
    <w:multiLevelType w:val="hybridMultilevel"/>
    <w:tmpl w:val="BA08547C"/>
    <w:lvl w:ilvl="0" w:tplc="D3FCE27A">
      <w:start w:val="1"/>
      <w:numFmt w:val="bullet"/>
      <w:lvlText w:val=""/>
      <w:lvlJc w:val="left"/>
      <w:pPr>
        <w:ind w:left="72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A01435"/>
    <w:multiLevelType w:val="hybridMultilevel"/>
    <w:tmpl w:val="E794B50E"/>
    <w:lvl w:ilvl="0" w:tplc="E5F0BCB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7F53D28"/>
    <w:multiLevelType w:val="hybridMultilevel"/>
    <w:tmpl w:val="C1D823FA"/>
    <w:lvl w:ilvl="0" w:tplc="8C2E3A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49796940"/>
    <w:multiLevelType w:val="hybridMultilevel"/>
    <w:tmpl w:val="271811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A7D5AB1"/>
    <w:multiLevelType w:val="hybridMultilevel"/>
    <w:tmpl w:val="F34AFCEC"/>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B8363B"/>
    <w:multiLevelType w:val="hybridMultilevel"/>
    <w:tmpl w:val="5982305C"/>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54" w15:restartNumberingAfterBreak="0">
    <w:nsid w:val="4B7635EB"/>
    <w:multiLevelType w:val="hybridMultilevel"/>
    <w:tmpl w:val="4DD0B28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C4E11DA"/>
    <w:multiLevelType w:val="hybridMultilevel"/>
    <w:tmpl w:val="0646F300"/>
    <w:lvl w:ilvl="0" w:tplc="818EC2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8E1845"/>
    <w:multiLevelType w:val="hybridMultilevel"/>
    <w:tmpl w:val="7E446A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A0FE1"/>
    <w:multiLevelType w:val="hybridMultilevel"/>
    <w:tmpl w:val="D0CE15C2"/>
    <w:lvl w:ilvl="0" w:tplc="961A001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510D16DB"/>
    <w:multiLevelType w:val="hybridMultilevel"/>
    <w:tmpl w:val="E6060E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1F73CD8"/>
    <w:multiLevelType w:val="hybridMultilevel"/>
    <w:tmpl w:val="F5D6D4B0"/>
    <w:lvl w:ilvl="0" w:tplc="961A0018">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0" w15:restartNumberingAfterBreak="0">
    <w:nsid w:val="54352E8B"/>
    <w:multiLevelType w:val="hybridMultilevel"/>
    <w:tmpl w:val="A5C057C4"/>
    <w:lvl w:ilvl="0" w:tplc="D3FCE27A">
      <w:start w:val="1"/>
      <w:numFmt w:val="bullet"/>
      <w:lvlText w:val=""/>
      <w:lvlJc w:val="left"/>
      <w:pPr>
        <w:tabs>
          <w:tab w:val="num" w:pos="1620"/>
        </w:tabs>
        <w:ind w:left="1620" w:hanging="360"/>
      </w:pPr>
      <w:rPr>
        <w:rFonts w:ascii="Wingdings" w:hAnsi="Wingdings" w:hint="default"/>
        <w:color w:val="auto"/>
      </w:rPr>
    </w:lvl>
    <w:lvl w:ilvl="1" w:tplc="04150003" w:tentative="1">
      <w:start w:val="1"/>
      <w:numFmt w:val="bullet"/>
      <w:lvlText w:val="o"/>
      <w:lvlJc w:val="left"/>
      <w:pPr>
        <w:ind w:left="1664" w:hanging="360"/>
      </w:pPr>
      <w:rPr>
        <w:rFonts w:ascii="Courier New" w:hAnsi="Courier New" w:cs="Courier New" w:hint="default"/>
      </w:rPr>
    </w:lvl>
    <w:lvl w:ilvl="2" w:tplc="04150005" w:tentative="1">
      <w:start w:val="1"/>
      <w:numFmt w:val="bullet"/>
      <w:lvlText w:val=""/>
      <w:lvlJc w:val="left"/>
      <w:pPr>
        <w:ind w:left="2384" w:hanging="360"/>
      </w:pPr>
      <w:rPr>
        <w:rFonts w:ascii="Wingdings" w:hAnsi="Wingdings" w:hint="default"/>
      </w:rPr>
    </w:lvl>
    <w:lvl w:ilvl="3" w:tplc="04150001" w:tentative="1">
      <w:start w:val="1"/>
      <w:numFmt w:val="bullet"/>
      <w:lvlText w:val=""/>
      <w:lvlJc w:val="left"/>
      <w:pPr>
        <w:ind w:left="3104" w:hanging="360"/>
      </w:pPr>
      <w:rPr>
        <w:rFonts w:ascii="Symbol" w:hAnsi="Symbol" w:hint="default"/>
      </w:rPr>
    </w:lvl>
    <w:lvl w:ilvl="4" w:tplc="04150003" w:tentative="1">
      <w:start w:val="1"/>
      <w:numFmt w:val="bullet"/>
      <w:lvlText w:val="o"/>
      <w:lvlJc w:val="left"/>
      <w:pPr>
        <w:ind w:left="3824" w:hanging="360"/>
      </w:pPr>
      <w:rPr>
        <w:rFonts w:ascii="Courier New" w:hAnsi="Courier New" w:cs="Courier New" w:hint="default"/>
      </w:rPr>
    </w:lvl>
    <w:lvl w:ilvl="5" w:tplc="04150005" w:tentative="1">
      <w:start w:val="1"/>
      <w:numFmt w:val="bullet"/>
      <w:lvlText w:val=""/>
      <w:lvlJc w:val="left"/>
      <w:pPr>
        <w:ind w:left="4544" w:hanging="360"/>
      </w:pPr>
      <w:rPr>
        <w:rFonts w:ascii="Wingdings" w:hAnsi="Wingdings" w:hint="default"/>
      </w:rPr>
    </w:lvl>
    <w:lvl w:ilvl="6" w:tplc="04150001" w:tentative="1">
      <w:start w:val="1"/>
      <w:numFmt w:val="bullet"/>
      <w:lvlText w:val=""/>
      <w:lvlJc w:val="left"/>
      <w:pPr>
        <w:ind w:left="5264" w:hanging="360"/>
      </w:pPr>
      <w:rPr>
        <w:rFonts w:ascii="Symbol" w:hAnsi="Symbol" w:hint="default"/>
      </w:rPr>
    </w:lvl>
    <w:lvl w:ilvl="7" w:tplc="04150003" w:tentative="1">
      <w:start w:val="1"/>
      <w:numFmt w:val="bullet"/>
      <w:lvlText w:val="o"/>
      <w:lvlJc w:val="left"/>
      <w:pPr>
        <w:ind w:left="5984" w:hanging="360"/>
      </w:pPr>
      <w:rPr>
        <w:rFonts w:ascii="Courier New" w:hAnsi="Courier New" w:cs="Courier New" w:hint="default"/>
      </w:rPr>
    </w:lvl>
    <w:lvl w:ilvl="8" w:tplc="04150005" w:tentative="1">
      <w:start w:val="1"/>
      <w:numFmt w:val="bullet"/>
      <w:lvlText w:val=""/>
      <w:lvlJc w:val="left"/>
      <w:pPr>
        <w:ind w:left="6704" w:hanging="360"/>
      </w:pPr>
      <w:rPr>
        <w:rFonts w:ascii="Wingdings" w:hAnsi="Wingdings" w:hint="default"/>
      </w:rPr>
    </w:lvl>
  </w:abstractNum>
  <w:abstractNum w:abstractNumId="61" w15:restartNumberingAfterBreak="0">
    <w:nsid w:val="545576DE"/>
    <w:multiLevelType w:val="hybridMultilevel"/>
    <w:tmpl w:val="E110DE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78A15D5"/>
    <w:multiLevelType w:val="hybridMultilevel"/>
    <w:tmpl w:val="698A38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A5F4A5E"/>
    <w:multiLevelType w:val="hybridMultilevel"/>
    <w:tmpl w:val="92100668"/>
    <w:lvl w:ilvl="0" w:tplc="FFFFFFFF">
      <w:start w:val="1"/>
      <w:numFmt w:val="decimal"/>
      <w:lvlText w:val="%1."/>
      <w:lvlJc w:val="left"/>
      <w:pPr>
        <w:ind w:left="360" w:hanging="360"/>
      </w:pPr>
      <w:rPr>
        <w:rFonts w:hint="default"/>
      </w:rPr>
    </w:lvl>
    <w:lvl w:ilvl="1" w:tplc="04150011">
      <w:start w:val="1"/>
      <w:numFmt w:val="decimal"/>
      <w:lvlText w:val="%2)"/>
      <w:lvlJc w:val="left"/>
      <w:pPr>
        <w:ind w:left="644"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B132AA3"/>
    <w:multiLevelType w:val="hybridMultilevel"/>
    <w:tmpl w:val="F73685E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19423F1"/>
    <w:multiLevelType w:val="hybridMultilevel"/>
    <w:tmpl w:val="32FA2B7E"/>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6" w15:restartNumberingAfterBreak="0">
    <w:nsid w:val="6A1A37B1"/>
    <w:multiLevelType w:val="hybridMultilevel"/>
    <w:tmpl w:val="6CDEF6D0"/>
    <w:lvl w:ilvl="0" w:tplc="961A0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CB4D1C"/>
    <w:multiLevelType w:val="hybridMultilevel"/>
    <w:tmpl w:val="E3167540"/>
    <w:lvl w:ilvl="0" w:tplc="961A001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8" w15:restartNumberingAfterBreak="0">
    <w:nsid w:val="6E4D586E"/>
    <w:multiLevelType w:val="hybridMultilevel"/>
    <w:tmpl w:val="771020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FB5420F"/>
    <w:multiLevelType w:val="hybridMultilevel"/>
    <w:tmpl w:val="EB48AAA4"/>
    <w:lvl w:ilvl="0" w:tplc="8C2E3A0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0" w15:restartNumberingAfterBreak="0">
    <w:nsid w:val="720334CD"/>
    <w:multiLevelType w:val="hybridMultilevel"/>
    <w:tmpl w:val="B09CDF86"/>
    <w:lvl w:ilvl="0" w:tplc="C5BA2B9A">
      <w:start w:val="1"/>
      <w:numFmt w:val="bullet"/>
      <w:lvlText w:val=""/>
      <w:lvlJc w:val="left"/>
      <w:pPr>
        <w:tabs>
          <w:tab w:val="num" w:pos="720"/>
        </w:tabs>
        <w:ind w:left="720" w:hanging="360"/>
      </w:pPr>
      <w:rPr>
        <w:rFonts w:ascii="Wingdings" w:hAnsi="Wingdings" w:hint="default"/>
      </w:rPr>
    </w:lvl>
    <w:lvl w:ilvl="1" w:tplc="1C32FF18">
      <w:start w:val="1"/>
      <w:numFmt w:val="bullet"/>
      <w:lvlText w:val=""/>
      <w:lvlJc w:val="left"/>
      <w:pPr>
        <w:tabs>
          <w:tab w:val="num" w:pos="1440"/>
        </w:tabs>
        <w:ind w:left="1440" w:hanging="360"/>
      </w:pPr>
      <w:rPr>
        <w:rFonts w:ascii="Wingdings" w:hAnsi="Wingdings" w:hint="default"/>
      </w:rPr>
    </w:lvl>
    <w:lvl w:ilvl="2" w:tplc="CE1A5228">
      <w:start w:val="1"/>
      <w:numFmt w:val="bullet"/>
      <w:lvlText w:val=""/>
      <w:lvlJc w:val="left"/>
      <w:pPr>
        <w:tabs>
          <w:tab w:val="num" w:pos="2160"/>
        </w:tabs>
        <w:ind w:left="2160" w:hanging="360"/>
      </w:pPr>
      <w:rPr>
        <w:rFonts w:ascii="Wingdings" w:hAnsi="Wingdings" w:hint="default"/>
      </w:rPr>
    </w:lvl>
    <w:lvl w:ilvl="3" w:tplc="53AA26CA">
      <w:start w:val="1"/>
      <w:numFmt w:val="bullet"/>
      <w:lvlText w:val=""/>
      <w:lvlJc w:val="left"/>
      <w:pPr>
        <w:tabs>
          <w:tab w:val="num" w:pos="2880"/>
        </w:tabs>
        <w:ind w:left="2880" w:hanging="360"/>
      </w:pPr>
      <w:rPr>
        <w:rFonts w:ascii="Wingdings" w:hAnsi="Wingdings" w:hint="default"/>
      </w:rPr>
    </w:lvl>
    <w:lvl w:ilvl="4" w:tplc="7FB277B4">
      <w:start w:val="1"/>
      <w:numFmt w:val="bullet"/>
      <w:lvlText w:val=""/>
      <w:lvlJc w:val="left"/>
      <w:pPr>
        <w:tabs>
          <w:tab w:val="num" w:pos="3600"/>
        </w:tabs>
        <w:ind w:left="3600" w:hanging="360"/>
      </w:pPr>
      <w:rPr>
        <w:rFonts w:ascii="Wingdings" w:hAnsi="Wingdings" w:hint="default"/>
      </w:rPr>
    </w:lvl>
    <w:lvl w:ilvl="5" w:tplc="A3822E7C">
      <w:start w:val="1"/>
      <w:numFmt w:val="bullet"/>
      <w:lvlText w:val=""/>
      <w:lvlJc w:val="left"/>
      <w:pPr>
        <w:tabs>
          <w:tab w:val="num" w:pos="4320"/>
        </w:tabs>
        <w:ind w:left="4320" w:hanging="360"/>
      </w:pPr>
      <w:rPr>
        <w:rFonts w:ascii="Wingdings" w:hAnsi="Wingdings" w:hint="default"/>
      </w:rPr>
    </w:lvl>
    <w:lvl w:ilvl="6" w:tplc="C2082D10">
      <w:start w:val="1"/>
      <w:numFmt w:val="bullet"/>
      <w:lvlText w:val=""/>
      <w:lvlJc w:val="left"/>
      <w:pPr>
        <w:tabs>
          <w:tab w:val="num" w:pos="5040"/>
        </w:tabs>
        <w:ind w:left="5040" w:hanging="360"/>
      </w:pPr>
      <w:rPr>
        <w:rFonts w:ascii="Wingdings" w:hAnsi="Wingdings" w:hint="default"/>
      </w:rPr>
    </w:lvl>
    <w:lvl w:ilvl="7" w:tplc="15F80D72">
      <w:start w:val="1"/>
      <w:numFmt w:val="bullet"/>
      <w:lvlText w:val=""/>
      <w:lvlJc w:val="left"/>
      <w:pPr>
        <w:tabs>
          <w:tab w:val="num" w:pos="5760"/>
        </w:tabs>
        <w:ind w:left="5760" w:hanging="360"/>
      </w:pPr>
      <w:rPr>
        <w:rFonts w:ascii="Wingdings" w:hAnsi="Wingdings" w:hint="default"/>
      </w:rPr>
    </w:lvl>
    <w:lvl w:ilvl="8" w:tplc="19B2201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54763BC"/>
    <w:multiLevelType w:val="hybridMultilevel"/>
    <w:tmpl w:val="F6EEC81E"/>
    <w:lvl w:ilvl="0" w:tplc="E92CF94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9CD0341"/>
    <w:multiLevelType w:val="hybridMultilevel"/>
    <w:tmpl w:val="2AD0C632"/>
    <w:lvl w:ilvl="0" w:tplc="04150005">
      <w:start w:val="1"/>
      <w:numFmt w:val="bullet"/>
      <w:lvlText w:val=""/>
      <w:lvlJc w:val="left"/>
      <w:pPr>
        <w:ind w:left="1260" w:hanging="360"/>
      </w:pPr>
      <w:rPr>
        <w:rFonts w:ascii="Wingdings" w:hAnsi="Wingdings"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3" w15:restartNumberingAfterBreak="0">
    <w:nsid w:val="79F44B87"/>
    <w:multiLevelType w:val="hybridMultilevel"/>
    <w:tmpl w:val="72129DE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E731DE"/>
    <w:multiLevelType w:val="hybridMultilevel"/>
    <w:tmpl w:val="7ECA85F4"/>
    <w:lvl w:ilvl="0" w:tplc="D3FCE27A">
      <w:start w:val="1"/>
      <w:numFmt w:val="bullet"/>
      <w:lvlText w:val=""/>
      <w:lvlJc w:val="left"/>
      <w:pPr>
        <w:tabs>
          <w:tab w:val="num" w:pos="1080"/>
        </w:tabs>
        <w:ind w:left="1080" w:hanging="360"/>
      </w:pPr>
      <w:rPr>
        <w:rFonts w:ascii="Wingdings" w:hAnsi="Wingdings"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7C4B2B"/>
    <w:multiLevelType w:val="hybridMultilevel"/>
    <w:tmpl w:val="E4E273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E820EB0"/>
    <w:multiLevelType w:val="hybridMultilevel"/>
    <w:tmpl w:val="E430C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FB17E4B"/>
    <w:multiLevelType w:val="hybridMultilevel"/>
    <w:tmpl w:val="C57486E0"/>
    <w:lvl w:ilvl="0" w:tplc="D3FCE27A">
      <w:start w:val="1"/>
      <w:numFmt w:val="bullet"/>
      <w:lvlText w:val=""/>
      <w:lvlJc w:val="left"/>
      <w:pPr>
        <w:tabs>
          <w:tab w:val="num" w:pos="1080"/>
        </w:tabs>
        <w:ind w:left="1080" w:hanging="360"/>
      </w:pPr>
      <w:rPr>
        <w:rFonts w:ascii="Wingdings" w:hAnsi="Wingdings"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0"/>
  </w:num>
  <w:num w:numId="3">
    <w:abstractNumId w:val="53"/>
  </w:num>
  <w:num w:numId="4">
    <w:abstractNumId w:val="7"/>
  </w:num>
  <w:num w:numId="5">
    <w:abstractNumId w:val="74"/>
  </w:num>
  <w:num w:numId="6">
    <w:abstractNumId w:val="40"/>
  </w:num>
  <w:num w:numId="7">
    <w:abstractNumId w:val="5"/>
  </w:num>
  <w:num w:numId="8">
    <w:abstractNumId w:val="77"/>
  </w:num>
  <w:num w:numId="9">
    <w:abstractNumId w:val="25"/>
  </w:num>
  <w:num w:numId="10">
    <w:abstractNumId w:val="21"/>
  </w:num>
  <w:num w:numId="11">
    <w:abstractNumId w:val="72"/>
  </w:num>
  <w:num w:numId="12">
    <w:abstractNumId w:val="44"/>
  </w:num>
  <w:num w:numId="13">
    <w:abstractNumId w:val="24"/>
  </w:num>
  <w:num w:numId="14">
    <w:abstractNumId w:val="75"/>
  </w:num>
  <w:num w:numId="15">
    <w:abstractNumId w:val="64"/>
  </w:num>
  <w:num w:numId="16">
    <w:abstractNumId w:val="47"/>
  </w:num>
  <w:num w:numId="17">
    <w:abstractNumId w:val="35"/>
  </w:num>
  <w:num w:numId="18">
    <w:abstractNumId w:val="36"/>
  </w:num>
  <w:num w:numId="19">
    <w:abstractNumId w:val="59"/>
  </w:num>
  <w:num w:numId="20">
    <w:abstractNumId w:val="67"/>
  </w:num>
  <w:num w:numId="21">
    <w:abstractNumId w:val="58"/>
  </w:num>
  <w:num w:numId="22">
    <w:abstractNumId w:val="39"/>
  </w:num>
  <w:num w:numId="23">
    <w:abstractNumId w:val="66"/>
  </w:num>
  <w:num w:numId="24">
    <w:abstractNumId w:val="32"/>
  </w:num>
  <w:num w:numId="25">
    <w:abstractNumId w:val="16"/>
  </w:num>
  <w:num w:numId="26">
    <w:abstractNumId w:val="33"/>
  </w:num>
  <w:num w:numId="27">
    <w:abstractNumId w:val="48"/>
  </w:num>
  <w:num w:numId="28">
    <w:abstractNumId w:val="70"/>
  </w:num>
  <w:num w:numId="29">
    <w:abstractNumId w:val="41"/>
  </w:num>
  <w:num w:numId="30">
    <w:abstractNumId w:val="37"/>
  </w:num>
  <w:num w:numId="31">
    <w:abstractNumId w:val="46"/>
  </w:num>
  <w:num w:numId="32">
    <w:abstractNumId w:val="57"/>
  </w:num>
  <w:num w:numId="33">
    <w:abstractNumId w:val="31"/>
  </w:num>
  <w:num w:numId="34">
    <w:abstractNumId w:val="56"/>
  </w:num>
  <w:num w:numId="35">
    <w:abstractNumId w:val="73"/>
  </w:num>
  <w:num w:numId="36">
    <w:abstractNumId w:val="13"/>
  </w:num>
  <w:num w:numId="37">
    <w:abstractNumId w:val="1"/>
  </w:num>
  <w:num w:numId="38">
    <w:abstractNumId w:val="29"/>
  </w:num>
  <w:num w:numId="39">
    <w:abstractNumId w:val="65"/>
  </w:num>
  <w:num w:numId="40">
    <w:abstractNumId w:val="34"/>
  </w:num>
  <w:num w:numId="41">
    <w:abstractNumId w:val="19"/>
  </w:num>
  <w:num w:numId="42">
    <w:abstractNumId w:val="6"/>
  </w:num>
  <w:num w:numId="43">
    <w:abstractNumId w:val="12"/>
  </w:num>
  <w:num w:numId="44">
    <w:abstractNumId w:val="68"/>
  </w:num>
  <w:num w:numId="45">
    <w:abstractNumId w:val="62"/>
  </w:num>
  <w:num w:numId="46">
    <w:abstractNumId w:val="8"/>
  </w:num>
  <w:num w:numId="47">
    <w:abstractNumId w:val="43"/>
  </w:num>
  <w:num w:numId="48">
    <w:abstractNumId w:val="4"/>
  </w:num>
  <w:num w:numId="49">
    <w:abstractNumId w:val="27"/>
  </w:num>
  <w:num w:numId="50">
    <w:abstractNumId w:val="51"/>
  </w:num>
  <w:num w:numId="51">
    <w:abstractNumId w:val="28"/>
  </w:num>
  <w:num w:numId="52">
    <w:abstractNumId w:val="26"/>
  </w:num>
  <w:num w:numId="53">
    <w:abstractNumId w:val="54"/>
  </w:num>
  <w:num w:numId="54">
    <w:abstractNumId w:val="22"/>
  </w:num>
  <w:num w:numId="55">
    <w:abstractNumId w:val="30"/>
  </w:num>
  <w:num w:numId="56">
    <w:abstractNumId w:val="50"/>
  </w:num>
  <w:num w:numId="57">
    <w:abstractNumId w:val="2"/>
  </w:num>
  <w:num w:numId="58">
    <w:abstractNumId w:val="49"/>
  </w:num>
  <w:num w:numId="59">
    <w:abstractNumId w:val="76"/>
  </w:num>
  <w:num w:numId="60">
    <w:abstractNumId w:val="17"/>
  </w:num>
  <w:num w:numId="61">
    <w:abstractNumId w:val="0"/>
  </w:num>
  <w:num w:numId="62">
    <w:abstractNumId w:val="45"/>
  </w:num>
  <w:num w:numId="63">
    <w:abstractNumId w:val="14"/>
  </w:num>
  <w:num w:numId="64">
    <w:abstractNumId w:val="20"/>
  </w:num>
  <w:num w:numId="65">
    <w:abstractNumId w:val="69"/>
  </w:num>
  <w:num w:numId="66">
    <w:abstractNumId w:val="61"/>
  </w:num>
  <w:num w:numId="67">
    <w:abstractNumId w:val="23"/>
  </w:num>
  <w:num w:numId="68">
    <w:abstractNumId w:val="15"/>
  </w:num>
  <w:num w:numId="69">
    <w:abstractNumId w:val="38"/>
  </w:num>
  <w:num w:numId="70">
    <w:abstractNumId w:val="10"/>
  </w:num>
  <w:num w:numId="71">
    <w:abstractNumId w:val="3"/>
  </w:num>
  <w:num w:numId="72">
    <w:abstractNumId w:val="63"/>
  </w:num>
  <w:num w:numId="73">
    <w:abstractNumId w:val="52"/>
  </w:num>
  <w:num w:numId="74">
    <w:abstractNumId w:val="71"/>
  </w:num>
  <w:num w:numId="75">
    <w:abstractNumId w:val="55"/>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2"/>
  </w:num>
  <w:num w:numId="78">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03"/>
    <w:rsid w:val="0000236A"/>
    <w:rsid w:val="00002ADD"/>
    <w:rsid w:val="00004435"/>
    <w:rsid w:val="000047D3"/>
    <w:rsid w:val="000048B7"/>
    <w:rsid w:val="0000494C"/>
    <w:rsid w:val="000053E6"/>
    <w:rsid w:val="000057CA"/>
    <w:rsid w:val="00006828"/>
    <w:rsid w:val="00006CB7"/>
    <w:rsid w:val="000101B8"/>
    <w:rsid w:val="0001433E"/>
    <w:rsid w:val="000148E7"/>
    <w:rsid w:val="00016029"/>
    <w:rsid w:val="00017121"/>
    <w:rsid w:val="00020127"/>
    <w:rsid w:val="00024DB2"/>
    <w:rsid w:val="00030318"/>
    <w:rsid w:val="000316BB"/>
    <w:rsid w:val="00031D05"/>
    <w:rsid w:val="000324DC"/>
    <w:rsid w:val="00032C9C"/>
    <w:rsid w:val="00032FFB"/>
    <w:rsid w:val="000335CD"/>
    <w:rsid w:val="000345E4"/>
    <w:rsid w:val="000347CA"/>
    <w:rsid w:val="00034AB5"/>
    <w:rsid w:val="000354C8"/>
    <w:rsid w:val="00036CCF"/>
    <w:rsid w:val="00040AC7"/>
    <w:rsid w:val="00040AD6"/>
    <w:rsid w:val="00040E52"/>
    <w:rsid w:val="00041FA5"/>
    <w:rsid w:val="00042BDC"/>
    <w:rsid w:val="00042F87"/>
    <w:rsid w:val="00044506"/>
    <w:rsid w:val="000455FC"/>
    <w:rsid w:val="00046151"/>
    <w:rsid w:val="000509F4"/>
    <w:rsid w:val="00050E4D"/>
    <w:rsid w:val="00050E7B"/>
    <w:rsid w:val="000565FC"/>
    <w:rsid w:val="00056C53"/>
    <w:rsid w:val="000573FA"/>
    <w:rsid w:val="00057881"/>
    <w:rsid w:val="00060913"/>
    <w:rsid w:val="00060D16"/>
    <w:rsid w:val="00063333"/>
    <w:rsid w:val="000676D3"/>
    <w:rsid w:val="00067F5A"/>
    <w:rsid w:val="0007016D"/>
    <w:rsid w:val="00071463"/>
    <w:rsid w:val="00077572"/>
    <w:rsid w:val="00077DBC"/>
    <w:rsid w:val="000830B5"/>
    <w:rsid w:val="00084D35"/>
    <w:rsid w:val="00085913"/>
    <w:rsid w:val="00085BC2"/>
    <w:rsid w:val="00086A4F"/>
    <w:rsid w:val="0009055D"/>
    <w:rsid w:val="00090DAC"/>
    <w:rsid w:val="00090F17"/>
    <w:rsid w:val="000940C5"/>
    <w:rsid w:val="00094200"/>
    <w:rsid w:val="00094F31"/>
    <w:rsid w:val="000956C5"/>
    <w:rsid w:val="00095AF4"/>
    <w:rsid w:val="0009618A"/>
    <w:rsid w:val="00097D9C"/>
    <w:rsid w:val="00097E9A"/>
    <w:rsid w:val="000A0228"/>
    <w:rsid w:val="000A0AB3"/>
    <w:rsid w:val="000A4F3B"/>
    <w:rsid w:val="000A532B"/>
    <w:rsid w:val="000A55F5"/>
    <w:rsid w:val="000A58E2"/>
    <w:rsid w:val="000A5DBD"/>
    <w:rsid w:val="000A72F2"/>
    <w:rsid w:val="000A7817"/>
    <w:rsid w:val="000B0769"/>
    <w:rsid w:val="000B0934"/>
    <w:rsid w:val="000B1296"/>
    <w:rsid w:val="000B18BA"/>
    <w:rsid w:val="000B2CBB"/>
    <w:rsid w:val="000B3A85"/>
    <w:rsid w:val="000B4488"/>
    <w:rsid w:val="000B77D5"/>
    <w:rsid w:val="000C1B05"/>
    <w:rsid w:val="000C2DEF"/>
    <w:rsid w:val="000C35B9"/>
    <w:rsid w:val="000C41B4"/>
    <w:rsid w:val="000C6153"/>
    <w:rsid w:val="000C69B3"/>
    <w:rsid w:val="000D0DE4"/>
    <w:rsid w:val="000D1CFB"/>
    <w:rsid w:val="000D2387"/>
    <w:rsid w:val="000D23E0"/>
    <w:rsid w:val="000D3100"/>
    <w:rsid w:val="000D5396"/>
    <w:rsid w:val="000D55A2"/>
    <w:rsid w:val="000D59DE"/>
    <w:rsid w:val="000D69CE"/>
    <w:rsid w:val="000E0EBD"/>
    <w:rsid w:val="000E1B9C"/>
    <w:rsid w:val="000E26D0"/>
    <w:rsid w:val="000E3B46"/>
    <w:rsid w:val="000E4433"/>
    <w:rsid w:val="000E4CDB"/>
    <w:rsid w:val="000E52DA"/>
    <w:rsid w:val="000E55BD"/>
    <w:rsid w:val="000E57BD"/>
    <w:rsid w:val="000E5AB3"/>
    <w:rsid w:val="000E6C01"/>
    <w:rsid w:val="000F1464"/>
    <w:rsid w:val="000F34D6"/>
    <w:rsid w:val="000F3842"/>
    <w:rsid w:val="000F4E81"/>
    <w:rsid w:val="000F60A0"/>
    <w:rsid w:val="000F6D28"/>
    <w:rsid w:val="000F791C"/>
    <w:rsid w:val="00100DE3"/>
    <w:rsid w:val="00102ED1"/>
    <w:rsid w:val="00103413"/>
    <w:rsid w:val="00103A9A"/>
    <w:rsid w:val="001042B4"/>
    <w:rsid w:val="001052B2"/>
    <w:rsid w:val="00105E23"/>
    <w:rsid w:val="00106F76"/>
    <w:rsid w:val="001079E1"/>
    <w:rsid w:val="001112C6"/>
    <w:rsid w:val="00112004"/>
    <w:rsid w:val="0011320C"/>
    <w:rsid w:val="00113502"/>
    <w:rsid w:val="0011429E"/>
    <w:rsid w:val="001148A5"/>
    <w:rsid w:val="0011533E"/>
    <w:rsid w:val="00116496"/>
    <w:rsid w:val="0011687A"/>
    <w:rsid w:val="0011747F"/>
    <w:rsid w:val="00120575"/>
    <w:rsid w:val="00121522"/>
    <w:rsid w:val="00122ADD"/>
    <w:rsid w:val="0012306B"/>
    <w:rsid w:val="00125300"/>
    <w:rsid w:val="00127C28"/>
    <w:rsid w:val="00130B11"/>
    <w:rsid w:val="00131541"/>
    <w:rsid w:val="001318C5"/>
    <w:rsid w:val="00132179"/>
    <w:rsid w:val="00132606"/>
    <w:rsid w:val="00132D23"/>
    <w:rsid w:val="00132F52"/>
    <w:rsid w:val="00134E82"/>
    <w:rsid w:val="0013756E"/>
    <w:rsid w:val="0014148B"/>
    <w:rsid w:val="0014212D"/>
    <w:rsid w:val="00142694"/>
    <w:rsid w:val="00142F93"/>
    <w:rsid w:val="00143888"/>
    <w:rsid w:val="001441C6"/>
    <w:rsid w:val="001463BB"/>
    <w:rsid w:val="00147136"/>
    <w:rsid w:val="00147491"/>
    <w:rsid w:val="0015272C"/>
    <w:rsid w:val="00152D61"/>
    <w:rsid w:val="001536AC"/>
    <w:rsid w:val="00155853"/>
    <w:rsid w:val="00160E62"/>
    <w:rsid w:val="00160F59"/>
    <w:rsid w:val="00162450"/>
    <w:rsid w:val="00162587"/>
    <w:rsid w:val="00164936"/>
    <w:rsid w:val="001668DD"/>
    <w:rsid w:val="00166B92"/>
    <w:rsid w:val="001704C2"/>
    <w:rsid w:val="0017063D"/>
    <w:rsid w:val="0017088A"/>
    <w:rsid w:val="001709C9"/>
    <w:rsid w:val="00170F64"/>
    <w:rsid w:val="001710F7"/>
    <w:rsid w:val="00171276"/>
    <w:rsid w:val="001714F4"/>
    <w:rsid w:val="0017157B"/>
    <w:rsid w:val="00171592"/>
    <w:rsid w:val="00171E30"/>
    <w:rsid w:val="00173298"/>
    <w:rsid w:val="0017446A"/>
    <w:rsid w:val="00175591"/>
    <w:rsid w:val="00176752"/>
    <w:rsid w:val="001802AA"/>
    <w:rsid w:val="001820E9"/>
    <w:rsid w:val="001903EF"/>
    <w:rsid w:val="0019186C"/>
    <w:rsid w:val="001922CE"/>
    <w:rsid w:val="0019335D"/>
    <w:rsid w:val="0019378B"/>
    <w:rsid w:val="00193DA8"/>
    <w:rsid w:val="001948FD"/>
    <w:rsid w:val="00194B32"/>
    <w:rsid w:val="0019516C"/>
    <w:rsid w:val="001958D7"/>
    <w:rsid w:val="0019597A"/>
    <w:rsid w:val="00196326"/>
    <w:rsid w:val="00197FC4"/>
    <w:rsid w:val="001A046A"/>
    <w:rsid w:val="001A09F8"/>
    <w:rsid w:val="001A291D"/>
    <w:rsid w:val="001A378E"/>
    <w:rsid w:val="001A421B"/>
    <w:rsid w:val="001A4658"/>
    <w:rsid w:val="001A46DE"/>
    <w:rsid w:val="001A47C1"/>
    <w:rsid w:val="001A48C7"/>
    <w:rsid w:val="001A4C05"/>
    <w:rsid w:val="001A6789"/>
    <w:rsid w:val="001B0BFD"/>
    <w:rsid w:val="001B1018"/>
    <w:rsid w:val="001B1582"/>
    <w:rsid w:val="001B1AEC"/>
    <w:rsid w:val="001B47E1"/>
    <w:rsid w:val="001B50FC"/>
    <w:rsid w:val="001B5449"/>
    <w:rsid w:val="001B5E7F"/>
    <w:rsid w:val="001B5FEA"/>
    <w:rsid w:val="001B7E08"/>
    <w:rsid w:val="001C1C7E"/>
    <w:rsid w:val="001C210E"/>
    <w:rsid w:val="001C277C"/>
    <w:rsid w:val="001C33FF"/>
    <w:rsid w:val="001C4778"/>
    <w:rsid w:val="001C4A66"/>
    <w:rsid w:val="001C4C98"/>
    <w:rsid w:val="001C6274"/>
    <w:rsid w:val="001C754C"/>
    <w:rsid w:val="001C799C"/>
    <w:rsid w:val="001C7D0A"/>
    <w:rsid w:val="001C7E73"/>
    <w:rsid w:val="001D2A6D"/>
    <w:rsid w:val="001D2E37"/>
    <w:rsid w:val="001D31F7"/>
    <w:rsid w:val="001D3208"/>
    <w:rsid w:val="001D700A"/>
    <w:rsid w:val="001D7E91"/>
    <w:rsid w:val="001E35BA"/>
    <w:rsid w:val="001E4570"/>
    <w:rsid w:val="001E501C"/>
    <w:rsid w:val="001E5D36"/>
    <w:rsid w:val="001E6049"/>
    <w:rsid w:val="001E6A14"/>
    <w:rsid w:val="001F397D"/>
    <w:rsid w:val="001F4996"/>
    <w:rsid w:val="001F539E"/>
    <w:rsid w:val="001F5B14"/>
    <w:rsid w:val="001F5B98"/>
    <w:rsid w:val="0020020C"/>
    <w:rsid w:val="00202AA3"/>
    <w:rsid w:val="002033B6"/>
    <w:rsid w:val="002040AD"/>
    <w:rsid w:val="0020410A"/>
    <w:rsid w:val="00205640"/>
    <w:rsid w:val="00205B69"/>
    <w:rsid w:val="00206C0A"/>
    <w:rsid w:val="00211270"/>
    <w:rsid w:val="00211526"/>
    <w:rsid w:val="002123A6"/>
    <w:rsid w:val="00212733"/>
    <w:rsid w:val="00212992"/>
    <w:rsid w:val="0021370D"/>
    <w:rsid w:val="00213D1D"/>
    <w:rsid w:val="00215038"/>
    <w:rsid w:val="00215568"/>
    <w:rsid w:val="00215AAC"/>
    <w:rsid w:val="00215C4B"/>
    <w:rsid w:val="00216958"/>
    <w:rsid w:val="00217A97"/>
    <w:rsid w:val="00220FAD"/>
    <w:rsid w:val="00221140"/>
    <w:rsid w:val="00221A94"/>
    <w:rsid w:val="00222A91"/>
    <w:rsid w:val="002245AE"/>
    <w:rsid w:val="002245C4"/>
    <w:rsid w:val="00224C50"/>
    <w:rsid w:val="00225359"/>
    <w:rsid w:val="00225612"/>
    <w:rsid w:val="00226657"/>
    <w:rsid w:val="00230855"/>
    <w:rsid w:val="002308B0"/>
    <w:rsid w:val="00231CBE"/>
    <w:rsid w:val="00233E44"/>
    <w:rsid w:val="0023561C"/>
    <w:rsid w:val="00235CBF"/>
    <w:rsid w:val="002360EA"/>
    <w:rsid w:val="00236426"/>
    <w:rsid w:val="002366A2"/>
    <w:rsid w:val="00237079"/>
    <w:rsid w:val="002372CF"/>
    <w:rsid w:val="00240A81"/>
    <w:rsid w:val="00240CA1"/>
    <w:rsid w:val="002412FC"/>
    <w:rsid w:val="00243482"/>
    <w:rsid w:val="00244EF9"/>
    <w:rsid w:val="00245022"/>
    <w:rsid w:val="0024680F"/>
    <w:rsid w:val="00246FF8"/>
    <w:rsid w:val="00247152"/>
    <w:rsid w:val="0024756D"/>
    <w:rsid w:val="002478FA"/>
    <w:rsid w:val="00251AAC"/>
    <w:rsid w:val="0025351E"/>
    <w:rsid w:val="002536BE"/>
    <w:rsid w:val="00254D95"/>
    <w:rsid w:val="0025503C"/>
    <w:rsid w:val="00257F23"/>
    <w:rsid w:val="00260BE7"/>
    <w:rsid w:val="002610FB"/>
    <w:rsid w:val="0026136C"/>
    <w:rsid w:val="00265161"/>
    <w:rsid w:val="00270C7D"/>
    <w:rsid w:val="0027111A"/>
    <w:rsid w:val="002743FC"/>
    <w:rsid w:val="00276451"/>
    <w:rsid w:val="00276A14"/>
    <w:rsid w:val="00277633"/>
    <w:rsid w:val="00281009"/>
    <w:rsid w:val="00281C3B"/>
    <w:rsid w:val="00281D6D"/>
    <w:rsid w:val="002820FE"/>
    <w:rsid w:val="0028296E"/>
    <w:rsid w:val="00282F41"/>
    <w:rsid w:val="00284DAC"/>
    <w:rsid w:val="002851D1"/>
    <w:rsid w:val="00285A4D"/>
    <w:rsid w:val="00285CCD"/>
    <w:rsid w:val="00286A7E"/>
    <w:rsid w:val="00287FE3"/>
    <w:rsid w:val="00290D10"/>
    <w:rsid w:val="00290FF3"/>
    <w:rsid w:val="00291FE8"/>
    <w:rsid w:val="00293197"/>
    <w:rsid w:val="00293534"/>
    <w:rsid w:val="00293954"/>
    <w:rsid w:val="00293ACF"/>
    <w:rsid w:val="0029481B"/>
    <w:rsid w:val="002969D6"/>
    <w:rsid w:val="002A0A3E"/>
    <w:rsid w:val="002A1822"/>
    <w:rsid w:val="002A24C4"/>
    <w:rsid w:val="002A62C3"/>
    <w:rsid w:val="002A6AF8"/>
    <w:rsid w:val="002B002C"/>
    <w:rsid w:val="002B1E6C"/>
    <w:rsid w:val="002B33C4"/>
    <w:rsid w:val="002B3B86"/>
    <w:rsid w:val="002B44CB"/>
    <w:rsid w:val="002B44F7"/>
    <w:rsid w:val="002B5A7F"/>
    <w:rsid w:val="002B5F55"/>
    <w:rsid w:val="002B7B42"/>
    <w:rsid w:val="002C42F5"/>
    <w:rsid w:val="002C501D"/>
    <w:rsid w:val="002C564A"/>
    <w:rsid w:val="002C58D7"/>
    <w:rsid w:val="002C7AF5"/>
    <w:rsid w:val="002D1C18"/>
    <w:rsid w:val="002D27F2"/>
    <w:rsid w:val="002D3A3C"/>
    <w:rsid w:val="002D5791"/>
    <w:rsid w:val="002D6151"/>
    <w:rsid w:val="002D7451"/>
    <w:rsid w:val="002E06D2"/>
    <w:rsid w:val="002E1311"/>
    <w:rsid w:val="002E1573"/>
    <w:rsid w:val="002E711C"/>
    <w:rsid w:val="002E72C9"/>
    <w:rsid w:val="002E7A09"/>
    <w:rsid w:val="002E7FDA"/>
    <w:rsid w:val="002F03BC"/>
    <w:rsid w:val="002F0B41"/>
    <w:rsid w:val="002F4943"/>
    <w:rsid w:val="002F7F78"/>
    <w:rsid w:val="00300064"/>
    <w:rsid w:val="003012AC"/>
    <w:rsid w:val="0030172E"/>
    <w:rsid w:val="00302C18"/>
    <w:rsid w:val="00302EA6"/>
    <w:rsid w:val="00305EC4"/>
    <w:rsid w:val="003067C6"/>
    <w:rsid w:val="00306C9F"/>
    <w:rsid w:val="00306EB5"/>
    <w:rsid w:val="00310E77"/>
    <w:rsid w:val="0031203C"/>
    <w:rsid w:val="00312638"/>
    <w:rsid w:val="00312A10"/>
    <w:rsid w:val="00313DCB"/>
    <w:rsid w:val="00315328"/>
    <w:rsid w:val="00315441"/>
    <w:rsid w:val="003157FC"/>
    <w:rsid w:val="00320EA2"/>
    <w:rsid w:val="003214B2"/>
    <w:rsid w:val="00321A73"/>
    <w:rsid w:val="0032243A"/>
    <w:rsid w:val="003233E6"/>
    <w:rsid w:val="00323600"/>
    <w:rsid w:val="003251F6"/>
    <w:rsid w:val="0032566C"/>
    <w:rsid w:val="003262F5"/>
    <w:rsid w:val="00327717"/>
    <w:rsid w:val="00330F4C"/>
    <w:rsid w:val="00331A6C"/>
    <w:rsid w:val="00332F56"/>
    <w:rsid w:val="00333591"/>
    <w:rsid w:val="00334868"/>
    <w:rsid w:val="00335244"/>
    <w:rsid w:val="00335289"/>
    <w:rsid w:val="00335E19"/>
    <w:rsid w:val="003378CD"/>
    <w:rsid w:val="00341305"/>
    <w:rsid w:val="00341B46"/>
    <w:rsid w:val="003443EB"/>
    <w:rsid w:val="003446B1"/>
    <w:rsid w:val="00344A99"/>
    <w:rsid w:val="00347D37"/>
    <w:rsid w:val="00350C1B"/>
    <w:rsid w:val="00360095"/>
    <w:rsid w:val="0036046F"/>
    <w:rsid w:val="00362735"/>
    <w:rsid w:val="00362E31"/>
    <w:rsid w:val="00362EA8"/>
    <w:rsid w:val="0036310C"/>
    <w:rsid w:val="00364703"/>
    <w:rsid w:val="00365961"/>
    <w:rsid w:val="00366046"/>
    <w:rsid w:val="00371BB0"/>
    <w:rsid w:val="0037228D"/>
    <w:rsid w:val="00373506"/>
    <w:rsid w:val="00373FAD"/>
    <w:rsid w:val="00377429"/>
    <w:rsid w:val="003776B6"/>
    <w:rsid w:val="00377CA9"/>
    <w:rsid w:val="003812A3"/>
    <w:rsid w:val="00382884"/>
    <w:rsid w:val="003837D1"/>
    <w:rsid w:val="003844DA"/>
    <w:rsid w:val="00384CB7"/>
    <w:rsid w:val="00384DDA"/>
    <w:rsid w:val="00385CE1"/>
    <w:rsid w:val="00385FEA"/>
    <w:rsid w:val="00386C8C"/>
    <w:rsid w:val="00387CB5"/>
    <w:rsid w:val="00387F2F"/>
    <w:rsid w:val="00392E0C"/>
    <w:rsid w:val="00393D1B"/>
    <w:rsid w:val="003941BD"/>
    <w:rsid w:val="00394256"/>
    <w:rsid w:val="003950D3"/>
    <w:rsid w:val="003A1B9A"/>
    <w:rsid w:val="003A30B6"/>
    <w:rsid w:val="003A5F18"/>
    <w:rsid w:val="003A7D4E"/>
    <w:rsid w:val="003A7E1D"/>
    <w:rsid w:val="003B1684"/>
    <w:rsid w:val="003B257F"/>
    <w:rsid w:val="003B283D"/>
    <w:rsid w:val="003B334B"/>
    <w:rsid w:val="003B3737"/>
    <w:rsid w:val="003B619C"/>
    <w:rsid w:val="003B61CA"/>
    <w:rsid w:val="003B6254"/>
    <w:rsid w:val="003B6ED1"/>
    <w:rsid w:val="003C0E9E"/>
    <w:rsid w:val="003C151B"/>
    <w:rsid w:val="003C278A"/>
    <w:rsid w:val="003C4C7C"/>
    <w:rsid w:val="003C5952"/>
    <w:rsid w:val="003C6FE5"/>
    <w:rsid w:val="003C7608"/>
    <w:rsid w:val="003D01EE"/>
    <w:rsid w:val="003D17BF"/>
    <w:rsid w:val="003D48EB"/>
    <w:rsid w:val="003D5F90"/>
    <w:rsid w:val="003E0E21"/>
    <w:rsid w:val="003E2162"/>
    <w:rsid w:val="003E2292"/>
    <w:rsid w:val="003E3977"/>
    <w:rsid w:val="003E61A2"/>
    <w:rsid w:val="003E6CCA"/>
    <w:rsid w:val="003E7128"/>
    <w:rsid w:val="003F16F6"/>
    <w:rsid w:val="003F1E7A"/>
    <w:rsid w:val="003F3FE1"/>
    <w:rsid w:val="003F577E"/>
    <w:rsid w:val="003F7110"/>
    <w:rsid w:val="003F7710"/>
    <w:rsid w:val="00400308"/>
    <w:rsid w:val="00400F70"/>
    <w:rsid w:val="00401285"/>
    <w:rsid w:val="00402142"/>
    <w:rsid w:val="00403989"/>
    <w:rsid w:val="00403FB1"/>
    <w:rsid w:val="004043F7"/>
    <w:rsid w:val="00405A17"/>
    <w:rsid w:val="0040787F"/>
    <w:rsid w:val="00410346"/>
    <w:rsid w:val="004103CF"/>
    <w:rsid w:val="00410917"/>
    <w:rsid w:val="00410A4E"/>
    <w:rsid w:val="00411203"/>
    <w:rsid w:val="00411C40"/>
    <w:rsid w:val="00411D08"/>
    <w:rsid w:val="00411D3E"/>
    <w:rsid w:val="00413510"/>
    <w:rsid w:val="00413BCD"/>
    <w:rsid w:val="00414EA6"/>
    <w:rsid w:val="00415553"/>
    <w:rsid w:val="00416E7B"/>
    <w:rsid w:val="00421646"/>
    <w:rsid w:val="004262B4"/>
    <w:rsid w:val="0042630D"/>
    <w:rsid w:val="00426983"/>
    <w:rsid w:val="00427CD3"/>
    <w:rsid w:val="00427E18"/>
    <w:rsid w:val="00432AD1"/>
    <w:rsid w:val="00433756"/>
    <w:rsid w:val="00433B54"/>
    <w:rsid w:val="00436D10"/>
    <w:rsid w:val="00437AD7"/>
    <w:rsid w:val="004403A3"/>
    <w:rsid w:val="00440B31"/>
    <w:rsid w:val="0044156E"/>
    <w:rsid w:val="00442CFC"/>
    <w:rsid w:val="00443BBF"/>
    <w:rsid w:val="004456A8"/>
    <w:rsid w:val="00445CA5"/>
    <w:rsid w:val="00446F6B"/>
    <w:rsid w:val="00447A59"/>
    <w:rsid w:val="00450082"/>
    <w:rsid w:val="00450697"/>
    <w:rsid w:val="00451361"/>
    <w:rsid w:val="004535F5"/>
    <w:rsid w:val="00453BAA"/>
    <w:rsid w:val="00454781"/>
    <w:rsid w:val="00454E67"/>
    <w:rsid w:val="00455241"/>
    <w:rsid w:val="00456A79"/>
    <w:rsid w:val="004616AF"/>
    <w:rsid w:val="00461713"/>
    <w:rsid w:val="004619A9"/>
    <w:rsid w:val="00461B54"/>
    <w:rsid w:val="004627BC"/>
    <w:rsid w:val="0046338F"/>
    <w:rsid w:val="00466C8D"/>
    <w:rsid w:val="004671D0"/>
    <w:rsid w:val="00471432"/>
    <w:rsid w:val="00472BC3"/>
    <w:rsid w:val="004762DC"/>
    <w:rsid w:val="00480268"/>
    <w:rsid w:val="004805A9"/>
    <w:rsid w:val="00481063"/>
    <w:rsid w:val="004812E8"/>
    <w:rsid w:val="004820E9"/>
    <w:rsid w:val="00482EBF"/>
    <w:rsid w:val="00484E26"/>
    <w:rsid w:val="00484F37"/>
    <w:rsid w:val="004859D6"/>
    <w:rsid w:val="0048644D"/>
    <w:rsid w:val="00487BEE"/>
    <w:rsid w:val="00490C6A"/>
    <w:rsid w:val="00490F0D"/>
    <w:rsid w:val="00491791"/>
    <w:rsid w:val="00492B3A"/>
    <w:rsid w:val="004959F9"/>
    <w:rsid w:val="00497B0C"/>
    <w:rsid w:val="004A1162"/>
    <w:rsid w:val="004A392F"/>
    <w:rsid w:val="004A4547"/>
    <w:rsid w:val="004A583D"/>
    <w:rsid w:val="004A750F"/>
    <w:rsid w:val="004B0C29"/>
    <w:rsid w:val="004B19CB"/>
    <w:rsid w:val="004B1E05"/>
    <w:rsid w:val="004B2BAE"/>
    <w:rsid w:val="004B2D29"/>
    <w:rsid w:val="004B5328"/>
    <w:rsid w:val="004B597D"/>
    <w:rsid w:val="004B5CD7"/>
    <w:rsid w:val="004B68EF"/>
    <w:rsid w:val="004B6F23"/>
    <w:rsid w:val="004B79CD"/>
    <w:rsid w:val="004B7C5A"/>
    <w:rsid w:val="004C0DDB"/>
    <w:rsid w:val="004C12BF"/>
    <w:rsid w:val="004C1447"/>
    <w:rsid w:val="004C3D16"/>
    <w:rsid w:val="004C49E2"/>
    <w:rsid w:val="004C7008"/>
    <w:rsid w:val="004D0DC4"/>
    <w:rsid w:val="004D10EE"/>
    <w:rsid w:val="004D26CD"/>
    <w:rsid w:val="004D4C7C"/>
    <w:rsid w:val="004D5BA6"/>
    <w:rsid w:val="004D695B"/>
    <w:rsid w:val="004D6D46"/>
    <w:rsid w:val="004D7701"/>
    <w:rsid w:val="004E027C"/>
    <w:rsid w:val="004E04DB"/>
    <w:rsid w:val="004E0842"/>
    <w:rsid w:val="004E1337"/>
    <w:rsid w:val="004E23E0"/>
    <w:rsid w:val="004E2ABD"/>
    <w:rsid w:val="004E2BB2"/>
    <w:rsid w:val="004E2D35"/>
    <w:rsid w:val="004E3E79"/>
    <w:rsid w:val="004E4837"/>
    <w:rsid w:val="004E4F93"/>
    <w:rsid w:val="004E56C3"/>
    <w:rsid w:val="004E60CE"/>
    <w:rsid w:val="004E65B0"/>
    <w:rsid w:val="004E7529"/>
    <w:rsid w:val="004E7BCE"/>
    <w:rsid w:val="004F1AAE"/>
    <w:rsid w:val="004F3D1A"/>
    <w:rsid w:val="004F3EE5"/>
    <w:rsid w:val="004F40B1"/>
    <w:rsid w:val="004F4DD7"/>
    <w:rsid w:val="004F5239"/>
    <w:rsid w:val="004F5EE6"/>
    <w:rsid w:val="004F63E1"/>
    <w:rsid w:val="004F7721"/>
    <w:rsid w:val="004F777C"/>
    <w:rsid w:val="00500C7D"/>
    <w:rsid w:val="0050192A"/>
    <w:rsid w:val="00501A2A"/>
    <w:rsid w:val="005024B9"/>
    <w:rsid w:val="00502535"/>
    <w:rsid w:val="00503606"/>
    <w:rsid w:val="0050381D"/>
    <w:rsid w:val="0050423B"/>
    <w:rsid w:val="00504783"/>
    <w:rsid w:val="00504F37"/>
    <w:rsid w:val="00510B78"/>
    <w:rsid w:val="005119BB"/>
    <w:rsid w:val="00511B22"/>
    <w:rsid w:val="005137B4"/>
    <w:rsid w:val="00515AF7"/>
    <w:rsid w:val="00516D2B"/>
    <w:rsid w:val="0051757E"/>
    <w:rsid w:val="005177A1"/>
    <w:rsid w:val="005208C8"/>
    <w:rsid w:val="00521367"/>
    <w:rsid w:val="005228C3"/>
    <w:rsid w:val="00523569"/>
    <w:rsid w:val="00524DC2"/>
    <w:rsid w:val="005250FB"/>
    <w:rsid w:val="005251B5"/>
    <w:rsid w:val="005254BE"/>
    <w:rsid w:val="00526874"/>
    <w:rsid w:val="00526A03"/>
    <w:rsid w:val="00532070"/>
    <w:rsid w:val="00534130"/>
    <w:rsid w:val="005348FA"/>
    <w:rsid w:val="005350A8"/>
    <w:rsid w:val="005358AB"/>
    <w:rsid w:val="005374CE"/>
    <w:rsid w:val="00540D83"/>
    <w:rsid w:val="00540E99"/>
    <w:rsid w:val="00541555"/>
    <w:rsid w:val="00541AC1"/>
    <w:rsid w:val="00541B38"/>
    <w:rsid w:val="00542713"/>
    <w:rsid w:val="00546B3A"/>
    <w:rsid w:val="00551404"/>
    <w:rsid w:val="0055223F"/>
    <w:rsid w:val="0055335A"/>
    <w:rsid w:val="00553706"/>
    <w:rsid w:val="00555BBF"/>
    <w:rsid w:val="00555CEF"/>
    <w:rsid w:val="00556241"/>
    <w:rsid w:val="00560612"/>
    <w:rsid w:val="005610CA"/>
    <w:rsid w:val="0056197B"/>
    <w:rsid w:val="00567AFA"/>
    <w:rsid w:val="0057204C"/>
    <w:rsid w:val="00573FE1"/>
    <w:rsid w:val="005743D9"/>
    <w:rsid w:val="00575E82"/>
    <w:rsid w:val="00584809"/>
    <w:rsid w:val="00585C02"/>
    <w:rsid w:val="0059022C"/>
    <w:rsid w:val="00590AD9"/>
    <w:rsid w:val="00591090"/>
    <w:rsid w:val="00594D3A"/>
    <w:rsid w:val="00595CBD"/>
    <w:rsid w:val="00597497"/>
    <w:rsid w:val="005A02C7"/>
    <w:rsid w:val="005A1CFD"/>
    <w:rsid w:val="005A67CB"/>
    <w:rsid w:val="005A6C98"/>
    <w:rsid w:val="005B0179"/>
    <w:rsid w:val="005B1418"/>
    <w:rsid w:val="005B258A"/>
    <w:rsid w:val="005B484F"/>
    <w:rsid w:val="005B59E1"/>
    <w:rsid w:val="005B64AD"/>
    <w:rsid w:val="005B6561"/>
    <w:rsid w:val="005B73F5"/>
    <w:rsid w:val="005B7ADC"/>
    <w:rsid w:val="005C0AF6"/>
    <w:rsid w:val="005C26B6"/>
    <w:rsid w:val="005C3616"/>
    <w:rsid w:val="005C37C9"/>
    <w:rsid w:val="005C3A30"/>
    <w:rsid w:val="005C5A93"/>
    <w:rsid w:val="005C60DD"/>
    <w:rsid w:val="005C7015"/>
    <w:rsid w:val="005C750A"/>
    <w:rsid w:val="005D0007"/>
    <w:rsid w:val="005D1442"/>
    <w:rsid w:val="005D148D"/>
    <w:rsid w:val="005D1EC3"/>
    <w:rsid w:val="005D309F"/>
    <w:rsid w:val="005D4D1B"/>
    <w:rsid w:val="005D55B8"/>
    <w:rsid w:val="005D573C"/>
    <w:rsid w:val="005D628B"/>
    <w:rsid w:val="005D73F6"/>
    <w:rsid w:val="005E024A"/>
    <w:rsid w:val="005E20B7"/>
    <w:rsid w:val="005E3257"/>
    <w:rsid w:val="005E3673"/>
    <w:rsid w:val="005E5299"/>
    <w:rsid w:val="005E7093"/>
    <w:rsid w:val="005E7777"/>
    <w:rsid w:val="005F11D3"/>
    <w:rsid w:val="005F15A1"/>
    <w:rsid w:val="005F1D57"/>
    <w:rsid w:val="005F1E7B"/>
    <w:rsid w:val="005F30E8"/>
    <w:rsid w:val="005F401B"/>
    <w:rsid w:val="005F48AA"/>
    <w:rsid w:val="005F586D"/>
    <w:rsid w:val="005F7647"/>
    <w:rsid w:val="005F770E"/>
    <w:rsid w:val="00600491"/>
    <w:rsid w:val="006012F7"/>
    <w:rsid w:val="00602D50"/>
    <w:rsid w:val="00602FB3"/>
    <w:rsid w:val="0060342A"/>
    <w:rsid w:val="00604280"/>
    <w:rsid w:val="00604CBC"/>
    <w:rsid w:val="00606A90"/>
    <w:rsid w:val="00606C68"/>
    <w:rsid w:val="00607C9B"/>
    <w:rsid w:val="00607F30"/>
    <w:rsid w:val="0061457A"/>
    <w:rsid w:val="00614F3E"/>
    <w:rsid w:val="00614F73"/>
    <w:rsid w:val="00615ADE"/>
    <w:rsid w:val="00616826"/>
    <w:rsid w:val="00617C68"/>
    <w:rsid w:val="00620CEE"/>
    <w:rsid w:val="00621841"/>
    <w:rsid w:val="00622A64"/>
    <w:rsid w:val="00625FD8"/>
    <w:rsid w:val="0063187C"/>
    <w:rsid w:val="00632DFD"/>
    <w:rsid w:val="0063322C"/>
    <w:rsid w:val="0063329F"/>
    <w:rsid w:val="006333E5"/>
    <w:rsid w:val="0063445A"/>
    <w:rsid w:val="00634ED5"/>
    <w:rsid w:val="0063620F"/>
    <w:rsid w:val="00636C28"/>
    <w:rsid w:val="006426F9"/>
    <w:rsid w:val="006438C1"/>
    <w:rsid w:val="00644DCE"/>
    <w:rsid w:val="00645E3D"/>
    <w:rsid w:val="00647CDE"/>
    <w:rsid w:val="006507D7"/>
    <w:rsid w:val="00651643"/>
    <w:rsid w:val="00651D6E"/>
    <w:rsid w:val="006535F6"/>
    <w:rsid w:val="00653CB1"/>
    <w:rsid w:val="00653D80"/>
    <w:rsid w:val="00654694"/>
    <w:rsid w:val="00654D33"/>
    <w:rsid w:val="00657D5D"/>
    <w:rsid w:val="006604FA"/>
    <w:rsid w:val="00662DCF"/>
    <w:rsid w:val="00664203"/>
    <w:rsid w:val="0066605A"/>
    <w:rsid w:val="00667D2F"/>
    <w:rsid w:val="00670C12"/>
    <w:rsid w:val="00670C3A"/>
    <w:rsid w:val="006718AB"/>
    <w:rsid w:val="0067226C"/>
    <w:rsid w:val="006724F9"/>
    <w:rsid w:val="0067382A"/>
    <w:rsid w:val="0067392D"/>
    <w:rsid w:val="0067428C"/>
    <w:rsid w:val="006768EF"/>
    <w:rsid w:val="00676B78"/>
    <w:rsid w:val="00676D6D"/>
    <w:rsid w:val="00676EE6"/>
    <w:rsid w:val="00677A64"/>
    <w:rsid w:val="00677E65"/>
    <w:rsid w:val="00680147"/>
    <w:rsid w:val="00680CC9"/>
    <w:rsid w:val="006811A5"/>
    <w:rsid w:val="00681295"/>
    <w:rsid w:val="006813A8"/>
    <w:rsid w:val="00681C2D"/>
    <w:rsid w:val="00681FF1"/>
    <w:rsid w:val="00682B2C"/>
    <w:rsid w:val="00682B32"/>
    <w:rsid w:val="00682EAB"/>
    <w:rsid w:val="00683907"/>
    <w:rsid w:val="0068680F"/>
    <w:rsid w:val="006868DA"/>
    <w:rsid w:val="00690D78"/>
    <w:rsid w:val="00691B21"/>
    <w:rsid w:val="006931AC"/>
    <w:rsid w:val="00694FFB"/>
    <w:rsid w:val="00696998"/>
    <w:rsid w:val="006A0FDD"/>
    <w:rsid w:val="006A1964"/>
    <w:rsid w:val="006A2F39"/>
    <w:rsid w:val="006A38FC"/>
    <w:rsid w:val="006A407A"/>
    <w:rsid w:val="006A42A5"/>
    <w:rsid w:val="006A4860"/>
    <w:rsid w:val="006A712B"/>
    <w:rsid w:val="006A78F6"/>
    <w:rsid w:val="006B049C"/>
    <w:rsid w:val="006B1763"/>
    <w:rsid w:val="006B191A"/>
    <w:rsid w:val="006B4E6C"/>
    <w:rsid w:val="006B59DF"/>
    <w:rsid w:val="006B5F75"/>
    <w:rsid w:val="006B6A80"/>
    <w:rsid w:val="006B71FD"/>
    <w:rsid w:val="006B7718"/>
    <w:rsid w:val="006C109C"/>
    <w:rsid w:val="006C198D"/>
    <w:rsid w:val="006C26C1"/>
    <w:rsid w:val="006C65CC"/>
    <w:rsid w:val="006C7035"/>
    <w:rsid w:val="006C7E47"/>
    <w:rsid w:val="006D3C53"/>
    <w:rsid w:val="006D4ED7"/>
    <w:rsid w:val="006D5B77"/>
    <w:rsid w:val="006D5CDD"/>
    <w:rsid w:val="006E0023"/>
    <w:rsid w:val="006E02E0"/>
    <w:rsid w:val="006E0BFE"/>
    <w:rsid w:val="006E0C04"/>
    <w:rsid w:val="006E0FDC"/>
    <w:rsid w:val="006E198A"/>
    <w:rsid w:val="006E383E"/>
    <w:rsid w:val="006E3C0F"/>
    <w:rsid w:val="006E4A72"/>
    <w:rsid w:val="006E581B"/>
    <w:rsid w:val="006E6443"/>
    <w:rsid w:val="006F1DB4"/>
    <w:rsid w:val="006F44E4"/>
    <w:rsid w:val="006F719F"/>
    <w:rsid w:val="0070089B"/>
    <w:rsid w:val="00700E9A"/>
    <w:rsid w:val="00702827"/>
    <w:rsid w:val="007036C4"/>
    <w:rsid w:val="00703B6C"/>
    <w:rsid w:val="007041FE"/>
    <w:rsid w:val="007054C7"/>
    <w:rsid w:val="00705874"/>
    <w:rsid w:val="007063D1"/>
    <w:rsid w:val="00707398"/>
    <w:rsid w:val="007073D8"/>
    <w:rsid w:val="007109C2"/>
    <w:rsid w:val="00713461"/>
    <w:rsid w:val="0071401B"/>
    <w:rsid w:val="00714BFF"/>
    <w:rsid w:val="00714C3D"/>
    <w:rsid w:val="00715B48"/>
    <w:rsid w:val="00716290"/>
    <w:rsid w:val="00722B56"/>
    <w:rsid w:val="00722F43"/>
    <w:rsid w:val="007240C2"/>
    <w:rsid w:val="0072501D"/>
    <w:rsid w:val="00725C46"/>
    <w:rsid w:val="007268B4"/>
    <w:rsid w:val="0072772B"/>
    <w:rsid w:val="00731808"/>
    <w:rsid w:val="00732982"/>
    <w:rsid w:val="00733428"/>
    <w:rsid w:val="007379C6"/>
    <w:rsid w:val="0074004B"/>
    <w:rsid w:val="00740FFC"/>
    <w:rsid w:val="00741B29"/>
    <w:rsid w:val="00742BA5"/>
    <w:rsid w:val="00742DC7"/>
    <w:rsid w:val="00745BF9"/>
    <w:rsid w:val="007465EA"/>
    <w:rsid w:val="007466F4"/>
    <w:rsid w:val="00747388"/>
    <w:rsid w:val="0074746E"/>
    <w:rsid w:val="007510A8"/>
    <w:rsid w:val="00752966"/>
    <w:rsid w:val="007538FC"/>
    <w:rsid w:val="0075399C"/>
    <w:rsid w:val="007549E6"/>
    <w:rsid w:val="007558CA"/>
    <w:rsid w:val="00755E58"/>
    <w:rsid w:val="00756F12"/>
    <w:rsid w:val="00760148"/>
    <w:rsid w:val="0076095E"/>
    <w:rsid w:val="0076243C"/>
    <w:rsid w:val="007644D8"/>
    <w:rsid w:val="00764552"/>
    <w:rsid w:val="007649B6"/>
    <w:rsid w:val="00765758"/>
    <w:rsid w:val="00766D4B"/>
    <w:rsid w:val="007671AA"/>
    <w:rsid w:val="00767E54"/>
    <w:rsid w:val="0077085A"/>
    <w:rsid w:val="0077177E"/>
    <w:rsid w:val="0077245C"/>
    <w:rsid w:val="00772BD0"/>
    <w:rsid w:val="00773F05"/>
    <w:rsid w:val="007751A2"/>
    <w:rsid w:val="00776A1D"/>
    <w:rsid w:val="00777B87"/>
    <w:rsid w:val="00777CAA"/>
    <w:rsid w:val="00780267"/>
    <w:rsid w:val="0078173A"/>
    <w:rsid w:val="00781E9D"/>
    <w:rsid w:val="0078204F"/>
    <w:rsid w:val="00782DD1"/>
    <w:rsid w:val="00783C2F"/>
    <w:rsid w:val="00783FD4"/>
    <w:rsid w:val="007847AF"/>
    <w:rsid w:val="00784E56"/>
    <w:rsid w:val="00785285"/>
    <w:rsid w:val="0078617C"/>
    <w:rsid w:val="007872D7"/>
    <w:rsid w:val="0079046D"/>
    <w:rsid w:val="0079153E"/>
    <w:rsid w:val="00791551"/>
    <w:rsid w:val="007926A8"/>
    <w:rsid w:val="00793DBF"/>
    <w:rsid w:val="00794CC5"/>
    <w:rsid w:val="00794FCF"/>
    <w:rsid w:val="00795310"/>
    <w:rsid w:val="00795C62"/>
    <w:rsid w:val="00796BBD"/>
    <w:rsid w:val="00797A40"/>
    <w:rsid w:val="00797FB1"/>
    <w:rsid w:val="007A03A7"/>
    <w:rsid w:val="007A1656"/>
    <w:rsid w:val="007A21A1"/>
    <w:rsid w:val="007A270E"/>
    <w:rsid w:val="007A3A49"/>
    <w:rsid w:val="007A4679"/>
    <w:rsid w:val="007A4B32"/>
    <w:rsid w:val="007A4FE7"/>
    <w:rsid w:val="007A542C"/>
    <w:rsid w:val="007A732B"/>
    <w:rsid w:val="007B0960"/>
    <w:rsid w:val="007B0A07"/>
    <w:rsid w:val="007B140B"/>
    <w:rsid w:val="007B1B92"/>
    <w:rsid w:val="007B40CF"/>
    <w:rsid w:val="007B44FA"/>
    <w:rsid w:val="007B4532"/>
    <w:rsid w:val="007B599A"/>
    <w:rsid w:val="007B5D32"/>
    <w:rsid w:val="007B6D4C"/>
    <w:rsid w:val="007B7031"/>
    <w:rsid w:val="007B7389"/>
    <w:rsid w:val="007C0F4B"/>
    <w:rsid w:val="007C4060"/>
    <w:rsid w:val="007C4B3F"/>
    <w:rsid w:val="007C6375"/>
    <w:rsid w:val="007C6C79"/>
    <w:rsid w:val="007C7366"/>
    <w:rsid w:val="007D0678"/>
    <w:rsid w:val="007D06C2"/>
    <w:rsid w:val="007D2AEC"/>
    <w:rsid w:val="007D34AC"/>
    <w:rsid w:val="007D435C"/>
    <w:rsid w:val="007D5287"/>
    <w:rsid w:val="007D5B56"/>
    <w:rsid w:val="007E1730"/>
    <w:rsid w:val="007E1B40"/>
    <w:rsid w:val="007E4D07"/>
    <w:rsid w:val="007E5D03"/>
    <w:rsid w:val="007E6E03"/>
    <w:rsid w:val="007E7C78"/>
    <w:rsid w:val="007F0831"/>
    <w:rsid w:val="007F0C00"/>
    <w:rsid w:val="007F1924"/>
    <w:rsid w:val="007F19B8"/>
    <w:rsid w:val="007F1FAC"/>
    <w:rsid w:val="007F3F6D"/>
    <w:rsid w:val="007F4110"/>
    <w:rsid w:val="007F51C2"/>
    <w:rsid w:val="007F5FEA"/>
    <w:rsid w:val="007F7941"/>
    <w:rsid w:val="00801AF9"/>
    <w:rsid w:val="0080214F"/>
    <w:rsid w:val="00802EDA"/>
    <w:rsid w:val="00803523"/>
    <w:rsid w:val="008046DE"/>
    <w:rsid w:val="00807902"/>
    <w:rsid w:val="0081068D"/>
    <w:rsid w:val="00813EBB"/>
    <w:rsid w:val="00824ECC"/>
    <w:rsid w:val="008258A3"/>
    <w:rsid w:val="00826133"/>
    <w:rsid w:val="00826987"/>
    <w:rsid w:val="0082792C"/>
    <w:rsid w:val="008300F8"/>
    <w:rsid w:val="0083068C"/>
    <w:rsid w:val="00830AA2"/>
    <w:rsid w:val="008344DB"/>
    <w:rsid w:val="0083543D"/>
    <w:rsid w:val="00836A20"/>
    <w:rsid w:val="00837716"/>
    <w:rsid w:val="00837D24"/>
    <w:rsid w:val="0084061C"/>
    <w:rsid w:val="00841604"/>
    <w:rsid w:val="0084443F"/>
    <w:rsid w:val="00844721"/>
    <w:rsid w:val="00844BE4"/>
    <w:rsid w:val="00845EE9"/>
    <w:rsid w:val="00846183"/>
    <w:rsid w:val="008500EF"/>
    <w:rsid w:val="00851386"/>
    <w:rsid w:val="00851C82"/>
    <w:rsid w:val="00852F3F"/>
    <w:rsid w:val="00852FED"/>
    <w:rsid w:val="008537FE"/>
    <w:rsid w:val="00855716"/>
    <w:rsid w:val="00857C4D"/>
    <w:rsid w:val="008610F5"/>
    <w:rsid w:val="0086156B"/>
    <w:rsid w:val="00861AF2"/>
    <w:rsid w:val="0086234E"/>
    <w:rsid w:val="00863AB2"/>
    <w:rsid w:val="00866929"/>
    <w:rsid w:val="00866B4C"/>
    <w:rsid w:val="0086722C"/>
    <w:rsid w:val="00867EA7"/>
    <w:rsid w:val="00870FF0"/>
    <w:rsid w:val="00871570"/>
    <w:rsid w:val="00871BEC"/>
    <w:rsid w:val="00872B4E"/>
    <w:rsid w:val="0087322F"/>
    <w:rsid w:val="0087422E"/>
    <w:rsid w:val="0087657E"/>
    <w:rsid w:val="0087662B"/>
    <w:rsid w:val="008768B3"/>
    <w:rsid w:val="00877F4E"/>
    <w:rsid w:val="00880A59"/>
    <w:rsid w:val="0088247C"/>
    <w:rsid w:val="008843F7"/>
    <w:rsid w:val="0088604B"/>
    <w:rsid w:val="0088608D"/>
    <w:rsid w:val="008861D9"/>
    <w:rsid w:val="00893F64"/>
    <w:rsid w:val="00894520"/>
    <w:rsid w:val="00895845"/>
    <w:rsid w:val="00896719"/>
    <w:rsid w:val="008969A4"/>
    <w:rsid w:val="00897160"/>
    <w:rsid w:val="008A0B75"/>
    <w:rsid w:val="008A114F"/>
    <w:rsid w:val="008A1A17"/>
    <w:rsid w:val="008A22CC"/>
    <w:rsid w:val="008A3FA6"/>
    <w:rsid w:val="008A4504"/>
    <w:rsid w:val="008A560D"/>
    <w:rsid w:val="008A5A8C"/>
    <w:rsid w:val="008A7271"/>
    <w:rsid w:val="008A7699"/>
    <w:rsid w:val="008B090D"/>
    <w:rsid w:val="008B16CB"/>
    <w:rsid w:val="008B31D3"/>
    <w:rsid w:val="008B4873"/>
    <w:rsid w:val="008B4E11"/>
    <w:rsid w:val="008B57B0"/>
    <w:rsid w:val="008B59C7"/>
    <w:rsid w:val="008B6C19"/>
    <w:rsid w:val="008C0ABB"/>
    <w:rsid w:val="008C18DC"/>
    <w:rsid w:val="008C2B94"/>
    <w:rsid w:val="008C543E"/>
    <w:rsid w:val="008C5F7E"/>
    <w:rsid w:val="008C61D2"/>
    <w:rsid w:val="008C634A"/>
    <w:rsid w:val="008C641A"/>
    <w:rsid w:val="008C666F"/>
    <w:rsid w:val="008C6A0F"/>
    <w:rsid w:val="008C70A4"/>
    <w:rsid w:val="008C7DAC"/>
    <w:rsid w:val="008D1C95"/>
    <w:rsid w:val="008D2758"/>
    <w:rsid w:val="008D2BA7"/>
    <w:rsid w:val="008D3063"/>
    <w:rsid w:val="008D31B9"/>
    <w:rsid w:val="008D3995"/>
    <w:rsid w:val="008D4065"/>
    <w:rsid w:val="008D4CD3"/>
    <w:rsid w:val="008D4CD7"/>
    <w:rsid w:val="008D5540"/>
    <w:rsid w:val="008D6671"/>
    <w:rsid w:val="008D67D0"/>
    <w:rsid w:val="008D6B57"/>
    <w:rsid w:val="008D6D41"/>
    <w:rsid w:val="008E1C29"/>
    <w:rsid w:val="008E399A"/>
    <w:rsid w:val="008E3FCE"/>
    <w:rsid w:val="008E4D8C"/>
    <w:rsid w:val="008E4E80"/>
    <w:rsid w:val="008E6BD0"/>
    <w:rsid w:val="008E7105"/>
    <w:rsid w:val="008E7C03"/>
    <w:rsid w:val="008F04DE"/>
    <w:rsid w:val="008F33A7"/>
    <w:rsid w:val="008F4A9D"/>
    <w:rsid w:val="008F4ACC"/>
    <w:rsid w:val="008F5027"/>
    <w:rsid w:val="008F5043"/>
    <w:rsid w:val="008F53FD"/>
    <w:rsid w:val="008F60A8"/>
    <w:rsid w:val="00901A31"/>
    <w:rsid w:val="0090200C"/>
    <w:rsid w:val="00902DF0"/>
    <w:rsid w:val="00902EC1"/>
    <w:rsid w:val="00904F32"/>
    <w:rsid w:val="00905041"/>
    <w:rsid w:val="009067E1"/>
    <w:rsid w:val="0090693D"/>
    <w:rsid w:val="00907F01"/>
    <w:rsid w:val="009121A3"/>
    <w:rsid w:val="009127E7"/>
    <w:rsid w:val="009156C9"/>
    <w:rsid w:val="00916181"/>
    <w:rsid w:val="009162D0"/>
    <w:rsid w:val="0091674B"/>
    <w:rsid w:val="009168F8"/>
    <w:rsid w:val="00920C9A"/>
    <w:rsid w:val="00920F5B"/>
    <w:rsid w:val="009217E3"/>
    <w:rsid w:val="009235EA"/>
    <w:rsid w:val="00924533"/>
    <w:rsid w:val="009251BD"/>
    <w:rsid w:val="0092691D"/>
    <w:rsid w:val="00930035"/>
    <w:rsid w:val="00932092"/>
    <w:rsid w:val="009324CC"/>
    <w:rsid w:val="00933C97"/>
    <w:rsid w:val="009345F1"/>
    <w:rsid w:val="0094315E"/>
    <w:rsid w:val="00944108"/>
    <w:rsid w:val="00946F9C"/>
    <w:rsid w:val="0095339B"/>
    <w:rsid w:val="009533AF"/>
    <w:rsid w:val="00953A06"/>
    <w:rsid w:val="009550B7"/>
    <w:rsid w:val="00956107"/>
    <w:rsid w:val="0095643F"/>
    <w:rsid w:val="00960291"/>
    <w:rsid w:val="00961F9B"/>
    <w:rsid w:val="009670EC"/>
    <w:rsid w:val="00967307"/>
    <w:rsid w:val="009717B8"/>
    <w:rsid w:val="00971CDD"/>
    <w:rsid w:val="00972A7B"/>
    <w:rsid w:val="00972AAC"/>
    <w:rsid w:val="00972C44"/>
    <w:rsid w:val="00973F18"/>
    <w:rsid w:val="0097458E"/>
    <w:rsid w:val="00974D8A"/>
    <w:rsid w:val="009758CE"/>
    <w:rsid w:val="009767E0"/>
    <w:rsid w:val="00977437"/>
    <w:rsid w:val="00984963"/>
    <w:rsid w:val="009851DC"/>
    <w:rsid w:val="0098533C"/>
    <w:rsid w:val="009872EA"/>
    <w:rsid w:val="00987410"/>
    <w:rsid w:val="00992E81"/>
    <w:rsid w:val="00993230"/>
    <w:rsid w:val="009935B0"/>
    <w:rsid w:val="00993B9F"/>
    <w:rsid w:val="00994D4E"/>
    <w:rsid w:val="009964F4"/>
    <w:rsid w:val="00996638"/>
    <w:rsid w:val="00996A8C"/>
    <w:rsid w:val="00996DFC"/>
    <w:rsid w:val="00997804"/>
    <w:rsid w:val="009A1D3E"/>
    <w:rsid w:val="009A28F1"/>
    <w:rsid w:val="009A3E45"/>
    <w:rsid w:val="009A471E"/>
    <w:rsid w:val="009A56FA"/>
    <w:rsid w:val="009A585C"/>
    <w:rsid w:val="009A772D"/>
    <w:rsid w:val="009B0BD5"/>
    <w:rsid w:val="009B1277"/>
    <w:rsid w:val="009B271C"/>
    <w:rsid w:val="009B5304"/>
    <w:rsid w:val="009B5699"/>
    <w:rsid w:val="009B581B"/>
    <w:rsid w:val="009B7017"/>
    <w:rsid w:val="009B7F30"/>
    <w:rsid w:val="009C25C6"/>
    <w:rsid w:val="009C343B"/>
    <w:rsid w:val="009C438C"/>
    <w:rsid w:val="009C4D2B"/>
    <w:rsid w:val="009C53B4"/>
    <w:rsid w:val="009C5439"/>
    <w:rsid w:val="009C6099"/>
    <w:rsid w:val="009C717C"/>
    <w:rsid w:val="009C74C5"/>
    <w:rsid w:val="009D0388"/>
    <w:rsid w:val="009D042F"/>
    <w:rsid w:val="009D0845"/>
    <w:rsid w:val="009D1A04"/>
    <w:rsid w:val="009D4619"/>
    <w:rsid w:val="009E14AF"/>
    <w:rsid w:val="009E14BA"/>
    <w:rsid w:val="009E183C"/>
    <w:rsid w:val="009E1E3E"/>
    <w:rsid w:val="009E1ED3"/>
    <w:rsid w:val="009E4C03"/>
    <w:rsid w:val="009F1A6D"/>
    <w:rsid w:val="009F3063"/>
    <w:rsid w:val="009F34E0"/>
    <w:rsid w:val="009F4FF5"/>
    <w:rsid w:val="009F5450"/>
    <w:rsid w:val="009F6573"/>
    <w:rsid w:val="009F6C0C"/>
    <w:rsid w:val="009F6FB4"/>
    <w:rsid w:val="00A01A32"/>
    <w:rsid w:val="00A01FFA"/>
    <w:rsid w:val="00A06D91"/>
    <w:rsid w:val="00A07747"/>
    <w:rsid w:val="00A079D6"/>
    <w:rsid w:val="00A07AC1"/>
    <w:rsid w:val="00A07CB4"/>
    <w:rsid w:val="00A101F0"/>
    <w:rsid w:val="00A11002"/>
    <w:rsid w:val="00A118BD"/>
    <w:rsid w:val="00A12301"/>
    <w:rsid w:val="00A14510"/>
    <w:rsid w:val="00A146E2"/>
    <w:rsid w:val="00A15A5B"/>
    <w:rsid w:val="00A1706A"/>
    <w:rsid w:val="00A205F5"/>
    <w:rsid w:val="00A20B3F"/>
    <w:rsid w:val="00A211B4"/>
    <w:rsid w:val="00A213B3"/>
    <w:rsid w:val="00A21A40"/>
    <w:rsid w:val="00A22030"/>
    <w:rsid w:val="00A220CA"/>
    <w:rsid w:val="00A22225"/>
    <w:rsid w:val="00A23052"/>
    <w:rsid w:val="00A23F77"/>
    <w:rsid w:val="00A24757"/>
    <w:rsid w:val="00A24C71"/>
    <w:rsid w:val="00A25F31"/>
    <w:rsid w:val="00A26CDD"/>
    <w:rsid w:val="00A30385"/>
    <w:rsid w:val="00A32429"/>
    <w:rsid w:val="00A32A3F"/>
    <w:rsid w:val="00A32C7B"/>
    <w:rsid w:val="00A353C9"/>
    <w:rsid w:val="00A35831"/>
    <w:rsid w:val="00A402C7"/>
    <w:rsid w:val="00A41712"/>
    <w:rsid w:val="00A44DE1"/>
    <w:rsid w:val="00A45980"/>
    <w:rsid w:val="00A4598C"/>
    <w:rsid w:val="00A469F5"/>
    <w:rsid w:val="00A47272"/>
    <w:rsid w:val="00A474B4"/>
    <w:rsid w:val="00A478E4"/>
    <w:rsid w:val="00A47976"/>
    <w:rsid w:val="00A5363B"/>
    <w:rsid w:val="00A543E0"/>
    <w:rsid w:val="00A54B60"/>
    <w:rsid w:val="00A56C40"/>
    <w:rsid w:val="00A619C8"/>
    <w:rsid w:val="00A61A5A"/>
    <w:rsid w:val="00A65D55"/>
    <w:rsid w:val="00A66876"/>
    <w:rsid w:val="00A7085F"/>
    <w:rsid w:val="00A73551"/>
    <w:rsid w:val="00A74448"/>
    <w:rsid w:val="00A74E36"/>
    <w:rsid w:val="00A776F6"/>
    <w:rsid w:val="00A77DE1"/>
    <w:rsid w:val="00A811F6"/>
    <w:rsid w:val="00A81F63"/>
    <w:rsid w:val="00A82F54"/>
    <w:rsid w:val="00A8383E"/>
    <w:rsid w:val="00A84AAE"/>
    <w:rsid w:val="00A863FB"/>
    <w:rsid w:val="00A87BDA"/>
    <w:rsid w:val="00A9111F"/>
    <w:rsid w:val="00A92D70"/>
    <w:rsid w:val="00A9407A"/>
    <w:rsid w:val="00A94ACD"/>
    <w:rsid w:val="00A94EE3"/>
    <w:rsid w:val="00A951BA"/>
    <w:rsid w:val="00A95DD0"/>
    <w:rsid w:val="00A96FF5"/>
    <w:rsid w:val="00A97588"/>
    <w:rsid w:val="00AA0680"/>
    <w:rsid w:val="00AA1150"/>
    <w:rsid w:val="00AA192D"/>
    <w:rsid w:val="00AA1DCA"/>
    <w:rsid w:val="00AA47EB"/>
    <w:rsid w:val="00AB0AE4"/>
    <w:rsid w:val="00AB0C11"/>
    <w:rsid w:val="00AB162B"/>
    <w:rsid w:val="00AB1E8B"/>
    <w:rsid w:val="00AB2B99"/>
    <w:rsid w:val="00AB2D53"/>
    <w:rsid w:val="00AB371D"/>
    <w:rsid w:val="00AB3A6D"/>
    <w:rsid w:val="00AB4544"/>
    <w:rsid w:val="00AB6109"/>
    <w:rsid w:val="00AB6369"/>
    <w:rsid w:val="00AB733C"/>
    <w:rsid w:val="00AB746E"/>
    <w:rsid w:val="00AC10FE"/>
    <w:rsid w:val="00AC137D"/>
    <w:rsid w:val="00AC176C"/>
    <w:rsid w:val="00AC2379"/>
    <w:rsid w:val="00AC339D"/>
    <w:rsid w:val="00AC5B78"/>
    <w:rsid w:val="00AC618C"/>
    <w:rsid w:val="00AC747B"/>
    <w:rsid w:val="00AC7554"/>
    <w:rsid w:val="00AC7800"/>
    <w:rsid w:val="00AC7C38"/>
    <w:rsid w:val="00AC7E1F"/>
    <w:rsid w:val="00AD0434"/>
    <w:rsid w:val="00AD172C"/>
    <w:rsid w:val="00AD1ABE"/>
    <w:rsid w:val="00AD3141"/>
    <w:rsid w:val="00AD480B"/>
    <w:rsid w:val="00AD4862"/>
    <w:rsid w:val="00AD4B4E"/>
    <w:rsid w:val="00AD4C3F"/>
    <w:rsid w:val="00AD5FB1"/>
    <w:rsid w:val="00AE110E"/>
    <w:rsid w:val="00AE1443"/>
    <w:rsid w:val="00AE15CB"/>
    <w:rsid w:val="00AE2048"/>
    <w:rsid w:val="00AE32B0"/>
    <w:rsid w:val="00AE4AF9"/>
    <w:rsid w:val="00AE755D"/>
    <w:rsid w:val="00AE7769"/>
    <w:rsid w:val="00AF0A91"/>
    <w:rsid w:val="00AF0AC1"/>
    <w:rsid w:val="00AF0B51"/>
    <w:rsid w:val="00AF1BC8"/>
    <w:rsid w:val="00AF2E9C"/>
    <w:rsid w:val="00AF325A"/>
    <w:rsid w:val="00AF3E92"/>
    <w:rsid w:val="00AF4545"/>
    <w:rsid w:val="00AF4A56"/>
    <w:rsid w:val="00AF4E99"/>
    <w:rsid w:val="00AF7D7D"/>
    <w:rsid w:val="00B00942"/>
    <w:rsid w:val="00B0148A"/>
    <w:rsid w:val="00B01B03"/>
    <w:rsid w:val="00B047EE"/>
    <w:rsid w:val="00B05C80"/>
    <w:rsid w:val="00B06954"/>
    <w:rsid w:val="00B07468"/>
    <w:rsid w:val="00B075CD"/>
    <w:rsid w:val="00B106E8"/>
    <w:rsid w:val="00B133F9"/>
    <w:rsid w:val="00B1340D"/>
    <w:rsid w:val="00B13F34"/>
    <w:rsid w:val="00B140E0"/>
    <w:rsid w:val="00B171BA"/>
    <w:rsid w:val="00B20BD9"/>
    <w:rsid w:val="00B22AED"/>
    <w:rsid w:val="00B237A0"/>
    <w:rsid w:val="00B26C25"/>
    <w:rsid w:val="00B27579"/>
    <w:rsid w:val="00B30FC7"/>
    <w:rsid w:val="00B32682"/>
    <w:rsid w:val="00B32D6F"/>
    <w:rsid w:val="00B336EB"/>
    <w:rsid w:val="00B339FD"/>
    <w:rsid w:val="00B35314"/>
    <w:rsid w:val="00B3720F"/>
    <w:rsid w:val="00B4049F"/>
    <w:rsid w:val="00B4147B"/>
    <w:rsid w:val="00B4162D"/>
    <w:rsid w:val="00B42672"/>
    <w:rsid w:val="00B426C6"/>
    <w:rsid w:val="00B42ADA"/>
    <w:rsid w:val="00B42D4C"/>
    <w:rsid w:val="00B42EB6"/>
    <w:rsid w:val="00B43120"/>
    <w:rsid w:val="00B44233"/>
    <w:rsid w:val="00B44442"/>
    <w:rsid w:val="00B45D68"/>
    <w:rsid w:val="00B4614D"/>
    <w:rsid w:val="00B461F1"/>
    <w:rsid w:val="00B51665"/>
    <w:rsid w:val="00B52463"/>
    <w:rsid w:val="00B53346"/>
    <w:rsid w:val="00B5362B"/>
    <w:rsid w:val="00B53F42"/>
    <w:rsid w:val="00B5436D"/>
    <w:rsid w:val="00B54BEB"/>
    <w:rsid w:val="00B54D53"/>
    <w:rsid w:val="00B57445"/>
    <w:rsid w:val="00B6060F"/>
    <w:rsid w:val="00B60F1E"/>
    <w:rsid w:val="00B61269"/>
    <w:rsid w:val="00B6396A"/>
    <w:rsid w:val="00B6579A"/>
    <w:rsid w:val="00B65F87"/>
    <w:rsid w:val="00B66329"/>
    <w:rsid w:val="00B66820"/>
    <w:rsid w:val="00B70BD5"/>
    <w:rsid w:val="00B70CAC"/>
    <w:rsid w:val="00B71B06"/>
    <w:rsid w:val="00B748EF"/>
    <w:rsid w:val="00B76531"/>
    <w:rsid w:val="00B77257"/>
    <w:rsid w:val="00B777AF"/>
    <w:rsid w:val="00B80773"/>
    <w:rsid w:val="00B82D68"/>
    <w:rsid w:val="00B83DD7"/>
    <w:rsid w:val="00B8475D"/>
    <w:rsid w:val="00B84AC2"/>
    <w:rsid w:val="00B84FB5"/>
    <w:rsid w:val="00B86743"/>
    <w:rsid w:val="00B8713E"/>
    <w:rsid w:val="00B90424"/>
    <w:rsid w:val="00B927DE"/>
    <w:rsid w:val="00B92D1A"/>
    <w:rsid w:val="00B92E1B"/>
    <w:rsid w:val="00B932CE"/>
    <w:rsid w:val="00B972E1"/>
    <w:rsid w:val="00B97F95"/>
    <w:rsid w:val="00BA023C"/>
    <w:rsid w:val="00BA117A"/>
    <w:rsid w:val="00BA18DD"/>
    <w:rsid w:val="00BA22F4"/>
    <w:rsid w:val="00BA30DB"/>
    <w:rsid w:val="00BA335B"/>
    <w:rsid w:val="00BA441A"/>
    <w:rsid w:val="00BA46D2"/>
    <w:rsid w:val="00BA5890"/>
    <w:rsid w:val="00BA5C99"/>
    <w:rsid w:val="00BA61D2"/>
    <w:rsid w:val="00BA6C63"/>
    <w:rsid w:val="00BA773C"/>
    <w:rsid w:val="00BB0610"/>
    <w:rsid w:val="00BB0DC8"/>
    <w:rsid w:val="00BB1B69"/>
    <w:rsid w:val="00BB2003"/>
    <w:rsid w:val="00BB4D3D"/>
    <w:rsid w:val="00BB726E"/>
    <w:rsid w:val="00BC1F08"/>
    <w:rsid w:val="00BC2390"/>
    <w:rsid w:val="00BC27BE"/>
    <w:rsid w:val="00BC295F"/>
    <w:rsid w:val="00BC3D0D"/>
    <w:rsid w:val="00BC4C44"/>
    <w:rsid w:val="00BD03F1"/>
    <w:rsid w:val="00BD3C50"/>
    <w:rsid w:val="00BD4812"/>
    <w:rsid w:val="00BD528A"/>
    <w:rsid w:val="00BD5FE9"/>
    <w:rsid w:val="00BD65E7"/>
    <w:rsid w:val="00BD6B82"/>
    <w:rsid w:val="00BD7DC4"/>
    <w:rsid w:val="00BE04C0"/>
    <w:rsid w:val="00BE1032"/>
    <w:rsid w:val="00BE1133"/>
    <w:rsid w:val="00BE141D"/>
    <w:rsid w:val="00BE3188"/>
    <w:rsid w:val="00BE3B32"/>
    <w:rsid w:val="00BE681C"/>
    <w:rsid w:val="00BE7993"/>
    <w:rsid w:val="00BF01A8"/>
    <w:rsid w:val="00BF1F40"/>
    <w:rsid w:val="00BF2278"/>
    <w:rsid w:val="00BF2659"/>
    <w:rsid w:val="00BF2EE9"/>
    <w:rsid w:val="00BF30AD"/>
    <w:rsid w:val="00BF3A8B"/>
    <w:rsid w:val="00BF497C"/>
    <w:rsid w:val="00BF56AF"/>
    <w:rsid w:val="00BF6458"/>
    <w:rsid w:val="00BF66A5"/>
    <w:rsid w:val="00BF785D"/>
    <w:rsid w:val="00C02FCC"/>
    <w:rsid w:val="00C03684"/>
    <w:rsid w:val="00C03865"/>
    <w:rsid w:val="00C0775D"/>
    <w:rsid w:val="00C1141D"/>
    <w:rsid w:val="00C12A0C"/>
    <w:rsid w:val="00C12CC6"/>
    <w:rsid w:val="00C1483D"/>
    <w:rsid w:val="00C16F0B"/>
    <w:rsid w:val="00C17FCA"/>
    <w:rsid w:val="00C22EEB"/>
    <w:rsid w:val="00C2383D"/>
    <w:rsid w:val="00C308F0"/>
    <w:rsid w:val="00C30E57"/>
    <w:rsid w:val="00C336B5"/>
    <w:rsid w:val="00C33E4F"/>
    <w:rsid w:val="00C367D9"/>
    <w:rsid w:val="00C36D51"/>
    <w:rsid w:val="00C37477"/>
    <w:rsid w:val="00C374BC"/>
    <w:rsid w:val="00C4021F"/>
    <w:rsid w:val="00C4185C"/>
    <w:rsid w:val="00C41E87"/>
    <w:rsid w:val="00C42125"/>
    <w:rsid w:val="00C42565"/>
    <w:rsid w:val="00C43CF8"/>
    <w:rsid w:val="00C43FE9"/>
    <w:rsid w:val="00C461D1"/>
    <w:rsid w:val="00C47559"/>
    <w:rsid w:val="00C50314"/>
    <w:rsid w:val="00C50786"/>
    <w:rsid w:val="00C52CC0"/>
    <w:rsid w:val="00C53BBE"/>
    <w:rsid w:val="00C575F7"/>
    <w:rsid w:val="00C609CE"/>
    <w:rsid w:val="00C611A0"/>
    <w:rsid w:val="00C65638"/>
    <w:rsid w:val="00C65650"/>
    <w:rsid w:val="00C67EAD"/>
    <w:rsid w:val="00C67F99"/>
    <w:rsid w:val="00C717F5"/>
    <w:rsid w:val="00C71822"/>
    <w:rsid w:val="00C74583"/>
    <w:rsid w:val="00C75192"/>
    <w:rsid w:val="00C76A15"/>
    <w:rsid w:val="00C76C16"/>
    <w:rsid w:val="00C76E5B"/>
    <w:rsid w:val="00C775A6"/>
    <w:rsid w:val="00C800FE"/>
    <w:rsid w:val="00C8103B"/>
    <w:rsid w:val="00C812E9"/>
    <w:rsid w:val="00C816D7"/>
    <w:rsid w:val="00C81B19"/>
    <w:rsid w:val="00C852FE"/>
    <w:rsid w:val="00C863F0"/>
    <w:rsid w:val="00C87719"/>
    <w:rsid w:val="00C91730"/>
    <w:rsid w:val="00C92152"/>
    <w:rsid w:val="00C92477"/>
    <w:rsid w:val="00C9272C"/>
    <w:rsid w:val="00C93262"/>
    <w:rsid w:val="00C933A1"/>
    <w:rsid w:val="00C938E9"/>
    <w:rsid w:val="00C943D2"/>
    <w:rsid w:val="00C950A8"/>
    <w:rsid w:val="00C95BD7"/>
    <w:rsid w:val="00C97672"/>
    <w:rsid w:val="00CA0532"/>
    <w:rsid w:val="00CA0793"/>
    <w:rsid w:val="00CA0BB9"/>
    <w:rsid w:val="00CA281E"/>
    <w:rsid w:val="00CA292F"/>
    <w:rsid w:val="00CA2A0C"/>
    <w:rsid w:val="00CA3331"/>
    <w:rsid w:val="00CA374E"/>
    <w:rsid w:val="00CA38ED"/>
    <w:rsid w:val="00CA4C24"/>
    <w:rsid w:val="00CA4EE4"/>
    <w:rsid w:val="00CA6130"/>
    <w:rsid w:val="00CA6967"/>
    <w:rsid w:val="00CA6D83"/>
    <w:rsid w:val="00CB3A71"/>
    <w:rsid w:val="00CB4197"/>
    <w:rsid w:val="00CB43FA"/>
    <w:rsid w:val="00CB513F"/>
    <w:rsid w:val="00CB66E7"/>
    <w:rsid w:val="00CC1208"/>
    <w:rsid w:val="00CC1C9F"/>
    <w:rsid w:val="00CC2425"/>
    <w:rsid w:val="00CC30A1"/>
    <w:rsid w:val="00CC3774"/>
    <w:rsid w:val="00CC4909"/>
    <w:rsid w:val="00CC491B"/>
    <w:rsid w:val="00CC69CE"/>
    <w:rsid w:val="00CC77D0"/>
    <w:rsid w:val="00CD0515"/>
    <w:rsid w:val="00CD342C"/>
    <w:rsid w:val="00CD3594"/>
    <w:rsid w:val="00CD4791"/>
    <w:rsid w:val="00CD48A8"/>
    <w:rsid w:val="00CE0C2D"/>
    <w:rsid w:val="00CE0E14"/>
    <w:rsid w:val="00CE1CE1"/>
    <w:rsid w:val="00CE224E"/>
    <w:rsid w:val="00CE3B1A"/>
    <w:rsid w:val="00CE3BDA"/>
    <w:rsid w:val="00CE4AAC"/>
    <w:rsid w:val="00CF10CE"/>
    <w:rsid w:val="00CF3508"/>
    <w:rsid w:val="00CF3AC6"/>
    <w:rsid w:val="00CF3C6C"/>
    <w:rsid w:val="00CF4AF0"/>
    <w:rsid w:val="00CF5457"/>
    <w:rsid w:val="00CF5DD0"/>
    <w:rsid w:val="00CF64DD"/>
    <w:rsid w:val="00CF7B00"/>
    <w:rsid w:val="00D008D4"/>
    <w:rsid w:val="00D0140C"/>
    <w:rsid w:val="00D03FC5"/>
    <w:rsid w:val="00D04ACC"/>
    <w:rsid w:val="00D04D79"/>
    <w:rsid w:val="00D04D91"/>
    <w:rsid w:val="00D05125"/>
    <w:rsid w:val="00D06D73"/>
    <w:rsid w:val="00D0705A"/>
    <w:rsid w:val="00D07096"/>
    <w:rsid w:val="00D10133"/>
    <w:rsid w:val="00D105F2"/>
    <w:rsid w:val="00D11D9A"/>
    <w:rsid w:val="00D11E45"/>
    <w:rsid w:val="00D11F13"/>
    <w:rsid w:val="00D1204B"/>
    <w:rsid w:val="00D12F63"/>
    <w:rsid w:val="00D14A8F"/>
    <w:rsid w:val="00D16E01"/>
    <w:rsid w:val="00D20016"/>
    <w:rsid w:val="00D2027E"/>
    <w:rsid w:val="00D22BC7"/>
    <w:rsid w:val="00D23485"/>
    <w:rsid w:val="00D23D98"/>
    <w:rsid w:val="00D24E62"/>
    <w:rsid w:val="00D25146"/>
    <w:rsid w:val="00D260EF"/>
    <w:rsid w:val="00D302D5"/>
    <w:rsid w:val="00D30F3F"/>
    <w:rsid w:val="00D32695"/>
    <w:rsid w:val="00D332ED"/>
    <w:rsid w:val="00D34D93"/>
    <w:rsid w:val="00D35602"/>
    <w:rsid w:val="00D42BEF"/>
    <w:rsid w:val="00D43033"/>
    <w:rsid w:val="00D43D32"/>
    <w:rsid w:val="00D469A9"/>
    <w:rsid w:val="00D46DB1"/>
    <w:rsid w:val="00D46F07"/>
    <w:rsid w:val="00D50C87"/>
    <w:rsid w:val="00D50F3C"/>
    <w:rsid w:val="00D524C4"/>
    <w:rsid w:val="00D537E8"/>
    <w:rsid w:val="00D55414"/>
    <w:rsid w:val="00D56F54"/>
    <w:rsid w:val="00D5723F"/>
    <w:rsid w:val="00D574EA"/>
    <w:rsid w:val="00D619FB"/>
    <w:rsid w:val="00D61CBD"/>
    <w:rsid w:val="00D65B16"/>
    <w:rsid w:val="00D67561"/>
    <w:rsid w:val="00D67694"/>
    <w:rsid w:val="00D7297C"/>
    <w:rsid w:val="00D72B60"/>
    <w:rsid w:val="00D75EC9"/>
    <w:rsid w:val="00D805E1"/>
    <w:rsid w:val="00D805E7"/>
    <w:rsid w:val="00D806AF"/>
    <w:rsid w:val="00D81000"/>
    <w:rsid w:val="00D83650"/>
    <w:rsid w:val="00D85B61"/>
    <w:rsid w:val="00D85DC8"/>
    <w:rsid w:val="00D86FB5"/>
    <w:rsid w:val="00D921B0"/>
    <w:rsid w:val="00D96855"/>
    <w:rsid w:val="00D97CD8"/>
    <w:rsid w:val="00DA0F82"/>
    <w:rsid w:val="00DA18A2"/>
    <w:rsid w:val="00DA226B"/>
    <w:rsid w:val="00DA296C"/>
    <w:rsid w:val="00DA44C6"/>
    <w:rsid w:val="00DB00D1"/>
    <w:rsid w:val="00DB098A"/>
    <w:rsid w:val="00DB1996"/>
    <w:rsid w:val="00DB27AB"/>
    <w:rsid w:val="00DB2DFE"/>
    <w:rsid w:val="00DB2F75"/>
    <w:rsid w:val="00DB47F5"/>
    <w:rsid w:val="00DB7667"/>
    <w:rsid w:val="00DB7A98"/>
    <w:rsid w:val="00DB7FA1"/>
    <w:rsid w:val="00DC069B"/>
    <w:rsid w:val="00DC31DB"/>
    <w:rsid w:val="00DC3C2B"/>
    <w:rsid w:val="00DC5B3E"/>
    <w:rsid w:val="00DC750D"/>
    <w:rsid w:val="00DC77EC"/>
    <w:rsid w:val="00DD06AE"/>
    <w:rsid w:val="00DD1929"/>
    <w:rsid w:val="00DD278E"/>
    <w:rsid w:val="00DD4F11"/>
    <w:rsid w:val="00DD53C2"/>
    <w:rsid w:val="00DD7ECE"/>
    <w:rsid w:val="00DE1772"/>
    <w:rsid w:val="00DE454A"/>
    <w:rsid w:val="00DE527B"/>
    <w:rsid w:val="00DE5718"/>
    <w:rsid w:val="00DE6214"/>
    <w:rsid w:val="00DE6888"/>
    <w:rsid w:val="00DE79EA"/>
    <w:rsid w:val="00DE7A80"/>
    <w:rsid w:val="00DF071C"/>
    <w:rsid w:val="00DF2DEA"/>
    <w:rsid w:val="00DF2F4F"/>
    <w:rsid w:val="00DF34C1"/>
    <w:rsid w:val="00DF565A"/>
    <w:rsid w:val="00DF760D"/>
    <w:rsid w:val="00DF7CEA"/>
    <w:rsid w:val="00DF7D5A"/>
    <w:rsid w:val="00E02498"/>
    <w:rsid w:val="00E02813"/>
    <w:rsid w:val="00E03928"/>
    <w:rsid w:val="00E04065"/>
    <w:rsid w:val="00E053C4"/>
    <w:rsid w:val="00E05FFE"/>
    <w:rsid w:val="00E101D6"/>
    <w:rsid w:val="00E103CE"/>
    <w:rsid w:val="00E1068B"/>
    <w:rsid w:val="00E10DCA"/>
    <w:rsid w:val="00E11129"/>
    <w:rsid w:val="00E13ABD"/>
    <w:rsid w:val="00E14283"/>
    <w:rsid w:val="00E1564E"/>
    <w:rsid w:val="00E15EE6"/>
    <w:rsid w:val="00E17D5A"/>
    <w:rsid w:val="00E20627"/>
    <w:rsid w:val="00E21DAB"/>
    <w:rsid w:val="00E22BF7"/>
    <w:rsid w:val="00E24B23"/>
    <w:rsid w:val="00E272D5"/>
    <w:rsid w:val="00E27EC8"/>
    <w:rsid w:val="00E308F8"/>
    <w:rsid w:val="00E329B0"/>
    <w:rsid w:val="00E3408F"/>
    <w:rsid w:val="00E34238"/>
    <w:rsid w:val="00E35B17"/>
    <w:rsid w:val="00E4028E"/>
    <w:rsid w:val="00E407E7"/>
    <w:rsid w:val="00E424B1"/>
    <w:rsid w:val="00E424E6"/>
    <w:rsid w:val="00E428F1"/>
    <w:rsid w:val="00E4387E"/>
    <w:rsid w:val="00E43B70"/>
    <w:rsid w:val="00E47049"/>
    <w:rsid w:val="00E4712C"/>
    <w:rsid w:val="00E50D6F"/>
    <w:rsid w:val="00E50F5F"/>
    <w:rsid w:val="00E5296F"/>
    <w:rsid w:val="00E52B37"/>
    <w:rsid w:val="00E53AD4"/>
    <w:rsid w:val="00E53AEF"/>
    <w:rsid w:val="00E53C47"/>
    <w:rsid w:val="00E54F45"/>
    <w:rsid w:val="00E55029"/>
    <w:rsid w:val="00E55595"/>
    <w:rsid w:val="00E609F5"/>
    <w:rsid w:val="00E6209D"/>
    <w:rsid w:val="00E63AFF"/>
    <w:rsid w:val="00E64936"/>
    <w:rsid w:val="00E65340"/>
    <w:rsid w:val="00E666E0"/>
    <w:rsid w:val="00E67D60"/>
    <w:rsid w:val="00E7166C"/>
    <w:rsid w:val="00E717BB"/>
    <w:rsid w:val="00E728C3"/>
    <w:rsid w:val="00E73B45"/>
    <w:rsid w:val="00E73C30"/>
    <w:rsid w:val="00E7552B"/>
    <w:rsid w:val="00E80207"/>
    <w:rsid w:val="00E80EDC"/>
    <w:rsid w:val="00E8105C"/>
    <w:rsid w:val="00E8424A"/>
    <w:rsid w:val="00E84BB9"/>
    <w:rsid w:val="00E85211"/>
    <w:rsid w:val="00E85DBA"/>
    <w:rsid w:val="00E87B6D"/>
    <w:rsid w:val="00E914B1"/>
    <w:rsid w:val="00E9188C"/>
    <w:rsid w:val="00E91898"/>
    <w:rsid w:val="00E91D28"/>
    <w:rsid w:val="00E91E8C"/>
    <w:rsid w:val="00E91EBF"/>
    <w:rsid w:val="00E944B8"/>
    <w:rsid w:val="00E9580A"/>
    <w:rsid w:val="00E95DCB"/>
    <w:rsid w:val="00E964DD"/>
    <w:rsid w:val="00E96E1F"/>
    <w:rsid w:val="00EA1A85"/>
    <w:rsid w:val="00EA1FAD"/>
    <w:rsid w:val="00EA450D"/>
    <w:rsid w:val="00EA5126"/>
    <w:rsid w:val="00EA7A01"/>
    <w:rsid w:val="00EA7BF3"/>
    <w:rsid w:val="00EB0CF3"/>
    <w:rsid w:val="00EB2975"/>
    <w:rsid w:val="00EB29F1"/>
    <w:rsid w:val="00EB35CF"/>
    <w:rsid w:val="00EB3A1E"/>
    <w:rsid w:val="00EB4D22"/>
    <w:rsid w:val="00EB559A"/>
    <w:rsid w:val="00EB619A"/>
    <w:rsid w:val="00EB78EF"/>
    <w:rsid w:val="00EB7F63"/>
    <w:rsid w:val="00EC1727"/>
    <w:rsid w:val="00EC2056"/>
    <w:rsid w:val="00EC252F"/>
    <w:rsid w:val="00EC282D"/>
    <w:rsid w:val="00EC3055"/>
    <w:rsid w:val="00EC4D05"/>
    <w:rsid w:val="00EC5C1B"/>
    <w:rsid w:val="00EC5DEE"/>
    <w:rsid w:val="00EC6103"/>
    <w:rsid w:val="00EC7F3E"/>
    <w:rsid w:val="00ED066A"/>
    <w:rsid w:val="00ED111D"/>
    <w:rsid w:val="00ED1E9F"/>
    <w:rsid w:val="00ED279A"/>
    <w:rsid w:val="00ED2ACA"/>
    <w:rsid w:val="00ED5C2B"/>
    <w:rsid w:val="00ED6BFA"/>
    <w:rsid w:val="00ED7EC0"/>
    <w:rsid w:val="00EE03D0"/>
    <w:rsid w:val="00EE16BC"/>
    <w:rsid w:val="00EE2119"/>
    <w:rsid w:val="00EE2808"/>
    <w:rsid w:val="00EE321E"/>
    <w:rsid w:val="00EE38D3"/>
    <w:rsid w:val="00EE657C"/>
    <w:rsid w:val="00EF08DC"/>
    <w:rsid w:val="00EF1379"/>
    <w:rsid w:val="00EF1D33"/>
    <w:rsid w:val="00EF2280"/>
    <w:rsid w:val="00EF43F9"/>
    <w:rsid w:val="00EF52DE"/>
    <w:rsid w:val="00EF56D0"/>
    <w:rsid w:val="00EF5A2B"/>
    <w:rsid w:val="00EF5D8B"/>
    <w:rsid w:val="00EF5FFA"/>
    <w:rsid w:val="00EF7293"/>
    <w:rsid w:val="00EF7599"/>
    <w:rsid w:val="00EF7C34"/>
    <w:rsid w:val="00F00D6F"/>
    <w:rsid w:val="00F01078"/>
    <w:rsid w:val="00F02090"/>
    <w:rsid w:val="00F0306F"/>
    <w:rsid w:val="00F10B72"/>
    <w:rsid w:val="00F11651"/>
    <w:rsid w:val="00F126C7"/>
    <w:rsid w:val="00F143FD"/>
    <w:rsid w:val="00F14AA5"/>
    <w:rsid w:val="00F14BB6"/>
    <w:rsid w:val="00F14C16"/>
    <w:rsid w:val="00F1604F"/>
    <w:rsid w:val="00F164C9"/>
    <w:rsid w:val="00F16A23"/>
    <w:rsid w:val="00F17A74"/>
    <w:rsid w:val="00F204FE"/>
    <w:rsid w:val="00F2050C"/>
    <w:rsid w:val="00F21170"/>
    <w:rsid w:val="00F213E2"/>
    <w:rsid w:val="00F217DF"/>
    <w:rsid w:val="00F2275F"/>
    <w:rsid w:val="00F22FAF"/>
    <w:rsid w:val="00F240E2"/>
    <w:rsid w:val="00F249F7"/>
    <w:rsid w:val="00F25C28"/>
    <w:rsid w:val="00F306BE"/>
    <w:rsid w:val="00F323FC"/>
    <w:rsid w:val="00F351C0"/>
    <w:rsid w:val="00F414EF"/>
    <w:rsid w:val="00F428B8"/>
    <w:rsid w:val="00F47898"/>
    <w:rsid w:val="00F47A36"/>
    <w:rsid w:val="00F50717"/>
    <w:rsid w:val="00F51129"/>
    <w:rsid w:val="00F51620"/>
    <w:rsid w:val="00F539EF"/>
    <w:rsid w:val="00F53AF9"/>
    <w:rsid w:val="00F54C5B"/>
    <w:rsid w:val="00F55053"/>
    <w:rsid w:val="00F551FE"/>
    <w:rsid w:val="00F56B91"/>
    <w:rsid w:val="00F56D5C"/>
    <w:rsid w:val="00F56E41"/>
    <w:rsid w:val="00F56EC7"/>
    <w:rsid w:val="00F57686"/>
    <w:rsid w:val="00F6190F"/>
    <w:rsid w:val="00F628F8"/>
    <w:rsid w:val="00F62B32"/>
    <w:rsid w:val="00F633EA"/>
    <w:rsid w:val="00F63E84"/>
    <w:rsid w:val="00F65B24"/>
    <w:rsid w:val="00F66808"/>
    <w:rsid w:val="00F673AA"/>
    <w:rsid w:val="00F67BA6"/>
    <w:rsid w:val="00F67E3E"/>
    <w:rsid w:val="00F711B2"/>
    <w:rsid w:val="00F71A9C"/>
    <w:rsid w:val="00F74633"/>
    <w:rsid w:val="00F75BAA"/>
    <w:rsid w:val="00F77664"/>
    <w:rsid w:val="00F77953"/>
    <w:rsid w:val="00F80B4E"/>
    <w:rsid w:val="00F8162D"/>
    <w:rsid w:val="00F82BA7"/>
    <w:rsid w:val="00F846FE"/>
    <w:rsid w:val="00F84B6B"/>
    <w:rsid w:val="00F8778F"/>
    <w:rsid w:val="00F90109"/>
    <w:rsid w:val="00F90769"/>
    <w:rsid w:val="00F90D3A"/>
    <w:rsid w:val="00F95352"/>
    <w:rsid w:val="00F9691B"/>
    <w:rsid w:val="00F96A3A"/>
    <w:rsid w:val="00FA024E"/>
    <w:rsid w:val="00FA329B"/>
    <w:rsid w:val="00FA3411"/>
    <w:rsid w:val="00FA36B1"/>
    <w:rsid w:val="00FA3941"/>
    <w:rsid w:val="00FA3AA4"/>
    <w:rsid w:val="00FA51BD"/>
    <w:rsid w:val="00FA56BB"/>
    <w:rsid w:val="00FA66F5"/>
    <w:rsid w:val="00FB1356"/>
    <w:rsid w:val="00FB22F0"/>
    <w:rsid w:val="00FB287F"/>
    <w:rsid w:val="00FB40C9"/>
    <w:rsid w:val="00FB439C"/>
    <w:rsid w:val="00FB6999"/>
    <w:rsid w:val="00FC194D"/>
    <w:rsid w:val="00FC1D3F"/>
    <w:rsid w:val="00FC2D89"/>
    <w:rsid w:val="00FC4C54"/>
    <w:rsid w:val="00FC5895"/>
    <w:rsid w:val="00FC5C0B"/>
    <w:rsid w:val="00FD093B"/>
    <w:rsid w:val="00FD09A2"/>
    <w:rsid w:val="00FD0B60"/>
    <w:rsid w:val="00FD1ED8"/>
    <w:rsid w:val="00FD3A15"/>
    <w:rsid w:val="00FD3E7B"/>
    <w:rsid w:val="00FD431F"/>
    <w:rsid w:val="00FD60B4"/>
    <w:rsid w:val="00FE1D28"/>
    <w:rsid w:val="00FE1D36"/>
    <w:rsid w:val="00FE40F9"/>
    <w:rsid w:val="00FE5B1C"/>
    <w:rsid w:val="00FE7915"/>
    <w:rsid w:val="00FF01D9"/>
    <w:rsid w:val="00FF2DEB"/>
    <w:rsid w:val="00FF3F85"/>
    <w:rsid w:val="00FF4941"/>
    <w:rsid w:val="00FF4EAF"/>
    <w:rsid w:val="00FF4F50"/>
    <w:rsid w:val="00FF6138"/>
    <w:rsid w:val="00FF7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3ADDB8"/>
  <w15:chartTrackingRefBased/>
  <w15:docId w15:val="{4DF9BB0D-0663-4FC5-AE27-601B1F07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F3AC6"/>
    <w:pPr>
      <w:spacing w:line="360" w:lineRule="auto"/>
    </w:pPr>
    <w:rPr>
      <w:rFonts w:ascii="Arial" w:hAnsi="Arial"/>
      <w:sz w:val="24"/>
      <w:szCs w:val="24"/>
    </w:rPr>
  </w:style>
  <w:style w:type="paragraph" w:styleId="Nagwek1">
    <w:name w:val="heading 1"/>
    <w:aliases w:val="podrozdział"/>
    <w:basedOn w:val="Normalny"/>
    <w:next w:val="Normalny"/>
    <w:link w:val="Nagwek1Znak"/>
    <w:qFormat/>
    <w:rsid w:val="008E7C03"/>
    <w:pPr>
      <w:keepNext/>
      <w:jc w:val="right"/>
      <w:outlineLvl w:val="0"/>
    </w:pPr>
    <w:rPr>
      <w:rFonts w:cs="Arial"/>
      <w:b/>
      <w:bCs/>
      <w:kern w:val="32"/>
      <w:sz w:val="40"/>
      <w:szCs w:val="32"/>
    </w:rPr>
  </w:style>
  <w:style w:type="paragraph" w:styleId="Nagwek2">
    <w:name w:val="heading 2"/>
    <w:aliases w:val=" Znak"/>
    <w:basedOn w:val="Normalny"/>
    <w:next w:val="Normalny"/>
    <w:link w:val="Nagwek2Znak"/>
    <w:qFormat/>
    <w:rsid w:val="008E7C03"/>
    <w:pPr>
      <w:keepNext/>
      <w:jc w:val="center"/>
      <w:outlineLvl w:val="1"/>
    </w:pPr>
    <w:rPr>
      <w:rFonts w:cs="Arial"/>
      <w:b/>
      <w:bCs/>
      <w:iCs/>
      <w:sz w:val="36"/>
      <w:szCs w:val="28"/>
    </w:rPr>
  </w:style>
  <w:style w:type="paragraph" w:styleId="Nagwek3">
    <w:name w:val="heading 3"/>
    <w:basedOn w:val="Normalny"/>
    <w:next w:val="Normalny"/>
    <w:qFormat/>
    <w:rsid w:val="008E7C03"/>
    <w:pPr>
      <w:keepNext/>
      <w:spacing w:before="240" w:after="60"/>
      <w:outlineLvl w:val="2"/>
    </w:pPr>
    <w:rPr>
      <w:rFonts w:cs="Arial"/>
      <w:bCs/>
      <w:i/>
      <w:sz w:val="20"/>
      <w:szCs w:val="26"/>
    </w:rPr>
  </w:style>
  <w:style w:type="paragraph" w:styleId="Nagwek4">
    <w:name w:val="heading 4"/>
    <w:basedOn w:val="Normalny"/>
    <w:next w:val="Normalny"/>
    <w:qFormat/>
    <w:rsid w:val="00C71822"/>
    <w:pPr>
      <w:keepNext/>
      <w:jc w:val="right"/>
      <w:outlineLvl w:val="3"/>
    </w:pPr>
    <w:rPr>
      <w:bCs/>
      <w:sz w:val="30"/>
      <w:szCs w:val="20"/>
    </w:rPr>
  </w:style>
  <w:style w:type="paragraph" w:styleId="Nagwek5">
    <w:name w:val="heading 5"/>
    <w:basedOn w:val="Normalny"/>
    <w:next w:val="Normalny"/>
    <w:qFormat/>
    <w:rsid w:val="00A20B3F"/>
    <w:pPr>
      <w:outlineLvl w:val="4"/>
    </w:pPr>
    <w:rPr>
      <w:bCs/>
      <w:i/>
      <w:iCs/>
      <w:sz w:val="20"/>
      <w:szCs w:val="26"/>
    </w:rPr>
  </w:style>
  <w:style w:type="paragraph" w:styleId="Nagwek6">
    <w:name w:val="heading 6"/>
    <w:basedOn w:val="Normalny"/>
    <w:next w:val="Normalny"/>
    <w:link w:val="Nagwek6Znak"/>
    <w:qFormat/>
    <w:rsid w:val="008E7C03"/>
    <w:pPr>
      <w:ind w:left="709" w:hanging="709"/>
      <w:outlineLvl w:val="5"/>
    </w:pPr>
    <w:rPr>
      <w:bCs/>
      <w:i/>
      <w:sz w:val="20"/>
      <w:szCs w:val="22"/>
    </w:rPr>
  </w:style>
  <w:style w:type="paragraph" w:styleId="Nagwek7">
    <w:name w:val="heading 7"/>
    <w:basedOn w:val="Nagwek6"/>
    <w:next w:val="Normalny"/>
    <w:link w:val="Nagwek7Znak"/>
    <w:qFormat/>
    <w:rsid w:val="002A62C3"/>
    <w:pPr>
      <w:ind w:left="0" w:firstLine="0"/>
      <w:outlineLvl w:val="6"/>
    </w:pPr>
    <w:rPr>
      <w:lang w:val="x-none" w:eastAsia="x-none"/>
    </w:rPr>
  </w:style>
  <w:style w:type="paragraph" w:styleId="Nagwek8">
    <w:name w:val="heading 8"/>
    <w:basedOn w:val="Normalny"/>
    <w:next w:val="Normalny"/>
    <w:link w:val="Nagwek8Znak"/>
    <w:qFormat/>
    <w:rsid w:val="00142694"/>
    <w:pPr>
      <w:spacing w:before="240" w:after="60"/>
      <w:outlineLvl w:val="7"/>
    </w:pPr>
    <w:rPr>
      <w:i/>
      <w:iCs/>
      <w:sz w:val="20"/>
      <w:lang w:val="x-none" w:eastAsia="x-none"/>
    </w:rPr>
  </w:style>
  <w:style w:type="paragraph" w:styleId="Nagwek9">
    <w:name w:val="heading 9"/>
    <w:basedOn w:val="Normalny"/>
    <w:next w:val="Normalny"/>
    <w:link w:val="Nagwek9Znak"/>
    <w:qFormat/>
    <w:rsid w:val="00142694"/>
    <w:pPr>
      <w:keepNext/>
      <w:spacing w:before="120" w:after="120"/>
      <w:jc w:val="center"/>
      <w:outlineLvl w:val="8"/>
    </w:pPr>
    <w:rPr>
      <w:rFonts w:ascii="Times New Roman" w:hAnsi="Times New Roman"/>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 Znak Znak"/>
    <w:link w:val="Nagwek2"/>
    <w:rsid w:val="008E7C03"/>
    <w:rPr>
      <w:rFonts w:ascii="Arial" w:hAnsi="Arial" w:cs="Arial"/>
      <w:b/>
      <w:bCs/>
      <w:iCs/>
      <w:sz w:val="36"/>
      <w:szCs w:val="28"/>
      <w:lang w:val="pl-PL" w:eastAsia="pl-PL" w:bidi="ar-SA"/>
    </w:rPr>
  </w:style>
  <w:style w:type="character" w:customStyle="1" w:styleId="Nagwek6Znak">
    <w:name w:val="Nagłówek 6 Znak"/>
    <w:link w:val="Nagwek6"/>
    <w:rsid w:val="00C71822"/>
    <w:rPr>
      <w:rFonts w:ascii="Arial" w:hAnsi="Arial"/>
      <w:bCs/>
      <w:i/>
      <w:szCs w:val="22"/>
      <w:lang w:val="pl-PL" w:eastAsia="pl-PL" w:bidi="ar-SA"/>
    </w:rPr>
  </w:style>
  <w:style w:type="character" w:customStyle="1" w:styleId="Nagwek7Znak">
    <w:name w:val="Nagłówek 7 Znak"/>
    <w:link w:val="Nagwek7"/>
    <w:rsid w:val="002A62C3"/>
    <w:rPr>
      <w:rFonts w:ascii="Arial" w:hAnsi="Arial"/>
      <w:bCs/>
      <w:i/>
      <w:szCs w:val="22"/>
    </w:rPr>
  </w:style>
  <w:style w:type="character" w:customStyle="1" w:styleId="Nagwek8Znak">
    <w:name w:val="Nagłówek 8 Znak"/>
    <w:link w:val="Nagwek8"/>
    <w:rsid w:val="00142694"/>
    <w:rPr>
      <w:rFonts w:ascii="Arial" w:hAnsi="Arial"/>
      <w:i/>
      <w:iCs/>
      <w:szCs w:val="24"/>
    </w:rPr>
  </w:style>
  <w:style w:type="character" w:customStyle="1" w:styleId="Nagwek9Znak">
    <w:name w:val="Nagłówek 9 Znak"/>
    <w:link w:val="Nagwek9"/>
    <w:rsid w:val="00142694"/>
    <w:rPr>
      <w:sz w:val="24"/>
    </w:rPr>
  </w:style>
  <w:style w:type="paragraph" w:styleId="Spistreci5">
    <w:name w:val="toc 5"/>
    <w:basedOn w:val="Normalny"/>
    <w:next w:val="Normalny"/>
    <w:autoRedefine/>
    <w:uiPriority w:val="39"/>
    <w:rsid w:val="002A62C3"/>
    <w:pPr>
      <w:tabs>
        <w:tab w:val="right" w:leader="dot" w:pos="9062"/>
      </w:tabs>
      <w:ind w:left="567" w:hanging="283"/>
    </w:pPr>
    <w:rPr>
      <w:noProof/>
      <w:sz w:val="16"/>
    </w:rPr>
  </w:style>
  <w:style w:type="character" w:styleId="Hipercze">
    <w:name w:val="Hyperlink"/>
    <w:uiPriority w:val="99"/>
    <w:rsid w:val="008E7C03"/>
    <w:rPr>
      <w:color w:val="0000FF"/>
      <w:u w:val="single"/>
    </w:rPr>
  </w:style>
  <w:style w:type="paragraph" w:styleId="Spistreci1">
    <w:name w:val="toc 1"/>
    <w:basedOn w:val="Normalny"/>
    <w:next w:val="Normalny"/>
    <w:autoRedefine/>
    <w:uiPriority w:val="39"/>
    <w:rsid w:val="00CF5457"/>
    <w:pPr>
      <w:tabs>
        <w:tab w:val="right" w:leader="dot" w:pos="9062"/>
      </w:tabs>
      <w:spacing w:before="120" w:line="480" w:lineRule="auto"/>
      <w:ind w:left="142" w:hanging="218"/>
    </w:pPr>
    <w:rPr>
      <w:b/>
      <w:noProof/>
      <w:sz w:val="16"/>
    </w:rPr>
  </w:style>
  <w:style w:type="paragraph" w:styleId="Spistreci4">
    <w:name w:val="toc 4"/>
    <w:basedOn w:val="Normalny"/>
    <w:next w:val="Normalny"/>
    <w:autoRedefine/>
    <w:uiPriority w:val="39"/>
    <w:rsid w:val="00E67D60"/>
    <w:pPr>
      <w:tabs>
        <w:tab w:val="right" w:leader="dot" w:pos="9062"/>
      </w:tabs>
      <w:ind w:left="568" w:hanging="284"/>
    </w:pPr>
    <w:rPr>
      <w:noProof/>
      <w:sz w:val="16"/>
    </w:rPr>
  </w:style>
  <w:style w:type="paragraph" w:styleId="Spistreci2">
    <w:name w:val="toc 2"/>
    <w:basedOn w:val="Normalny"/>
    <w:next w:val="Normalny"/>
    <w:autoRedefine/>
    <w:uiPriority w:val="39"/>
    <w:rsid w:val="00DE6214"/>
    <w:pPr>
      <w:tabs>
        <w:tab w:val="left" w:pos="1134"/>
        <w:tab w:val="right" w:leader="dot" w:pos="9062"/>
      </w:tabs>
      <w:spacing w:line="480" w:lineRule="auto"/>
      <w:ind w:left="1134" w:hanging="454"/>
    </w:pPr>
    <w:rPr>
      <w:caps/>
      <w:noProof/>
      <w:sz w:val="18"/>
      <w:szCs w:val="16"/>
    </w:rPr>
  </w:style>
  <w:style w:type="paragraph" w:styleId="Spistreci3">
    <w:name w:val="toc 3"/>
    <w:basedOn w:val="Normalny"/>
    <w:next w:val="Normalny"/>
    <w:autoRedefine/>
    <w:uiPriority w:val="39"/>
    <w:rsid w:val="00E63AFF"/>
    <w:pPr>
      <w:tabs>
        <w:tab w:val="left" w:pos="1928"/>
        <w:tab w:val="right" w:leader="dot" w:pos="9062"/>
      </w:tabs>
      <w:spacing w:line="480" w:lineRule="auto"/>
      <w:ind w:left="2041" w:hanging="737"/>
    </w:pPr>
    <w:rPr>
      <w:noProof/>
      <w:sz w:val="18"/>
    </w:rPr>
  </w:style>
  <w:style w:type="paragraph" w:styleId="Spistreci6">
    <w:name w:val="toc 6"/>
    <w:basedOn w:val="Normalny"/>
    <w:next w:val="Normalny"/>
    <w:autoRedefine/>
    <w:uiPriority w:val="39"/>
    <w:rsid w:val="00501A2A"/>
    <w:pPr>
      <w:tabs>
        <w:tab w:val="left" w:pos="1701"/>
        <w:tab w:val="right" w:leader="dot" w:pos="9062"/>
      </w:tabs>
      <w:ind w:left="1701" w:hanging="425"/>
    </w:pPr>
    <w:rPr>
      <w:i/>
      <w:noProof/>
      <w:sz w:val="16"/>
    </w:rPr>
  </w:style>
  <w:style w:type="paragraph" w:styleId="Stopka">
    <w:name w:val="footer"/>
    <w:basedOn w:val="Normalny"/>
    <w:rsid w:val="008E7C03"/>
    <w:pPr>
      <w:tabs>
        <w:tab w:val="center" w:pos="4536"/>
        <w:tab w:val="right" w:pos="9072"/>
      </w:tabs>
    </w:pPr>
  </w:style>
  <w:style w:type="table" w:styleId="Tabela-Siatka">
    <w:name w:val="Table Grid"/>
    <w:basedOn w:val="Standardowy"/>
    <w:rsid w:val="008E7C0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8E7C03"/>
  </w:style>
  <w:style w:type="paragraph" w:styleId="Nagwek">
    <w:name w:val="header"/>
    <w:aliases w:val="Nagłówek Znak Znak Znak Znak Znak,Nagłówek strony"/>
    <w:basedOn w:val="Normalny"/>
    <w:link w:val="NagwekZnak"/>
    <w:rsid w:val="00394256"/>
    <w:pPr>
      <w:tabs>
        <w:tab w:val="center" w:pos="4536"/>
        <w:tab w:val="right" w:pos="9072"/>
      </w:tabs>
    </w:pPr>
    <w:rPr>
      <w:lang w:val="x-none" w:eastAsia="x-none"/>
    </w:rPr>
  </w:style>
  <w:style w:type="character" w:customStyle="1" w:styleId="NagwekZnak">
    <w:name w:val="Nagłówek Znak"/>
    <w:aliases w:val="Nagłówek Znak Znak Znak Znak Znak Znak1,Nagłówek strony Znak"/>
    <w:link w:val="Nagwek"/>
    <w:rsid w:val="00142694"/>
    <w:rPr>
      <w:rFonts w:ascii="Arial" w:hAnsi="Arial"/>
      <w:sz w:val="24"/>
      <w:szCs w:val="24"/>
    </w:rPr>
  </w:style>
  <w:style w:type="paragraph" w:styleId="Tekstprzypisudolnego">
    <w:name w:val="footnote text"/>
    <w:basedOn w:val="Normalny"/>
    <w:link w:val="TekstprzypisudolnegoZnak"/>
    <w:uiPriority w:val="99"/>
    <w:rsid w:val="00CA4C24"/>
    <w:pPr>
      <w:tabs>
        <w:tab w:val="left" w:pos="851"/>
      </w:tabs>
      <w:spacing w:line="200" w:lineRule="exact"/>
      <w:ind w:firstLine="567"/>
      <w:jc w:val="both"/>
    </w:pPr>
    <w:rPr>
      <w:i/>
      <w:sz w:val="20"/>
      <w:szCs w:val="20"/>
      <w:lang w:val="x-none" w:eastAsia="x-none"/>
    </w:rPr>
  </w:style>
  <w:style w:type="character" w:customStyle="1" w:styleId="TekstprzypisudolnegoZnak">
    <w:name w:val="Tekst przypisu dolnego Znak"/>
    <w:link w:val="Tekstprzypisudolnego"/>
    <w:uiPriority w:val="99"/>
    <w:rsid w:val="00142694"/>
    <w:rPr>
      <w:rFonts w:ascii="Arial" w:hAnsi="Arial"/>
      <w:i/>
    </w:rPr>
  </w:style>
  <w:style w:type="character" w:styleId="Odwoanieprzypisudolnego">
    <w:name w:val="footnote reference"/>
    <w:rsid w:val="00CA4C24"/>
    <w:rPr>
      <w:vertAlign w:val="superscript"/>
    </w:rPr>
  </w:style>
  <w:style w:type="paragraph" w:styleId="Tekstpodstawowywcity">
    <w:name w:val="Body Text Indent"/>
    <w:basedOn w:val="Normalny"/>
    <w:rsid w:val="007240C2"/>
    <w:pPr>
      <w:ind w:firstLine="357"/>
      <w:jc w:val="both"/>
    </w:pPr>
    <w:rPr>
      <w:rFonts w:ascii="Verdana" w:hAnsi="Verdana"/>
      <w:sz w:val="20"/>
      <w:szCs w:val="20"/>
    </w:rPr>
  </w:style>
  <w:style w:type="character" w:styleId="Odwoaniedokomentarza">
    <w:name w:val="annotation reference"/>
    <w:semiHidden/>
    <w:rsid w:val="0087657E"/>
    <w:rPr>
      <w:sz w:val="16"/>
      <w:szCs w:val="16"/>
    </w:rPr>
  </w:style>
  <w:style w:type="paragraph" w:styleId="Indeks2">
    <w:name w:val="index 2"/>
    <w:basedOn w:val="Normalny"/>
    <w:next w:val="Normalny"/>
    <w:autoRedefine/>
    <w:semiHidden/>
    <w:rsid w:val="00060D16"/>
    <w:pPr>
      <w:ind w:left="480" w:hanging="240"/>
    </w:pPr>
  </w:style>
  <w:style w:type="paragraph" w:styleId="Tekstkomentarza">
    <w:name w:val="annotation text"/>
    <w:basedOn w:val="Normalny"/>
    <w:semiHidden/>
    <w:rsid w:val="0087657E"/>
    <w:rPr>
      <w:sz w:val="20"/>
      <w:szCs w:val="20"/>
    </w:rPr>
  </w:style>
  <w:style w:type="paragraph" w:styleId="Tematkomentarza">
    <w:name w:val="annotation subject"/>
    <w:basedOn w:val="Tekstkomentarza"/>
    <w:next w:val="Tekstkomentarza"/>
    <w:semiHidden/>
    <w:rsid w:val="0087657E"/>
    <w:rPr>
      <w:b/>
      <w:bCs/>
    </w:rPr>
  </w:style>
  <w:style w:type="paragraph" w:styleId="Tekstdymka">
    <w:name w:val="Balloon Text"/>
    <w:basedOn w:val="Normalny"/>
    <w:semiHidden/>
    <w:rsid w:val="0087657E"/>
    <w:rPr>
      <w:rFonts w:ascii="Tahoma" w:hAnsi="Tahoma" w:cs="Tahoma"/>
      <w:sz w:val="16"/>
      <w:szCs w:val="16"/>
    </w:rPr>
  </w:style>
  <w:style w:type="paragraph" w:styleId="Mapadokumentu">
    <w:name w:val="Document Map"/>
    <w:basedOn w:val="Normalny"/>
    <w:semiHidden/>
    <w:rsid w:val="000F3842"/>
    <w:pPr>
      <w:shd w:val="clear" w:color="auto" w:fill="000080"/>
    </w:pPr>
    <w:rPr>
      <w:rFonts w:ascii="Tahoma" w:hAnsi="Tahoma" w:cs="Tahoma"/>
      <w:sz w:val="20"/>
      <w:szCs w:val="20"/>
    </w:rPr>
  </w:style>
  <w:style w:type="character" w:styleId="UyteHipercze">
    <w:name w:val="FollowedHyperlink"/>
    <w:rsid w:val="005C37C9"/>
    <w:rPr>
      <w:color w:val="800080"/>
      <w:u w:val="single"/>
    </w:rPr>
  </w:style>
  <w:style w:type="paragraph" w:customStyle="1" w:styleId="xl155">
    <w:name w:val="xl155"/>
    <w:basedOn w:val="Normalny"/>
    <w:rsid w:val="005C37C9"/>
    <w:pPr>
      <w:shd w:val="clear" w:color="auto" w:fill="B6D9E6"/>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6">
    <w:name w:val="xl156"/>
    <w:basedOn w:val="Normalny"/>
    <w:rsid w:val="005C37C9"/>
    <w:pPr>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57">
    <w:name w:val="xl157"/>
    <w:basedOn w:val="Normalny"/>
    <w:rsid w:val="005C37C9"/>
    <w:pPr>
      <w:spacing w:before="100" w:beforeAutospacing="1" w:after="100" w:afterAutospacing="1" w:line="240" w:lineRule="auto"/>
      <w:jc w:val="center"/>
      <w:textAlignment w:val="center"/>
    </w:pPr>
    <w:rPr>
      <w:rFonts w:ascii="Arial Narrow" w:hAnsi="Arial Narrow"/>
      <w:sz w:val="10"/>
      <w:szCs w:val="10"/>
    </w:rPr>
  </w:style>
  <w:style w:type="paragraph" w:customStyle="1" w:styleId="xl158">
    <w:name w:val="xl158"/>
    <w:basedOn w:val="Normalny"/>
    <w:rsid w:val="005C37C9"/>
    <w:pPr>
      <w:spacing w:before="100" w:beforeAutospacing="1" w:after="100" w:afterAutospacing="1" w:line="240" w:lineRule="auto"/>
      <w:jc w:val="right"/>
      <w:textAlignment w:val="center"/>
    </w:pPr>
    <w:rPr>
      <w:rFonts w:ascii="Arial Narrow" w:hAnsi="Arial Narrow"/>
      <w:sz w:val="10"/>
      <w:szCs w:val="10"/>
    </w:rPr>
  </w:style>
  <w:style w:type="paragraph" w:customStyle="1" w:styleId="xl159">
    <w:name w:val="xl159"/>
    <w:basedOn w:val="Normalny"/>
    <w:rsid w:val="005C37C9"/>
    <w:pPr>
      <w:spacing w:before="100" w:beforeAutospacing="1" w:after="100" w:afterAutospacing="1" w:line="240" w:lineRule="auto"/>
    </w:pPr>
    <w:rPr>
      <w:rFonts w:ascii="Arial Narrow" w:hAnsi="Arial Narrow"/>
      <w:sz w:val="10"/>
      <w:szCs w:val="10"/>
    </w:rPr>
  </w:style>
  <w:style w:type="paragraph" w:customStyle="1" w:styleId="xl160">
    <w:name w:val="xl160"/>
    <w:basedOn w:val="Normalny"/>
    <w:rsid w:val="005C37C9"/>
    <w:pPr>
      <w:spacing w:before="100" w:beforeAutospacing="1" w:after="100" w:afterAutospacing="1" w:line="240" w:lineRule="auto"/>
      <w:jc w:val="center"/>
    </w:pPr>
    <w:rPr>
      <w:rFonts w:ascii="Arial Narrow" w:hAnsi="Arial Narrow"/>
      <w:b/>
      <w:bCs/>
      <w:sz w:val="10"/>
      <w:szCs w:val="10"/>
    </w:rPr>
  </w:style>
  <w:style w:type="paragraph" w:customStyle="1" w:styleId="xl161">
    <w:name w:val="xl161"/>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2">
    <w:name w:val="xl162"/>
    <w:basedOn w:val="Normalny"/>
    <w:rsid w:val="005C37C9"/>
    <w:pPr>
      <w:spacing w:before="100" w:beforeAutospacing="1" w:after="100" w:afterAutospacing="1" w:line="240" w:lineRule="auto"/>
      <w:jc w:val="center"/>
    </w:pPr>
    <w:rPr>
      <w:rFonts w:ascii="Arial Narrow" w:hAnsi="Arial Narrow"/>
      <w:sz w:val="10"/>
      <w:szCs w:val="10"/>
    </w:rPr>
  </w:style>
  <w:style w:type="paragraph" w:customStyle="1" w:styleId="xl163">
    <w:name w:val="xl163"/>
    <w:basedOn w:val="Normalny"/>
    <w:rsid w:val="005C37C9"/>
    <w:pPr>
      <w:shd w:val="clear" w:color="auto" w:fill="EFF6FB"/>
      <w:spacing w:before="100" w:beforeAutospacing="1" w:after="100" w:afterAutospacing="1" w:line="240" w:lineRule="auto"/>
      <w:ind w:firstLineChars="100" w:firstLine="100"/>
      <w:textAlignment w:val="center"/>
    </w:pPr>
    <w:rPr>
      <w:rFonts w:ascii="Arial Narrow" w:hAnsi="Arial Narrow"/>
      <w:sz w:val="10"/>
      <w:szCs w:val="10"/>
    </w:rPr>
  </w:style>
  <w:style w:type="paragraph" w:customStyle="1" w:styleId="xl164">
    <w:name w:val="xl164"/>
    <w:basedOn w:val="Normalny"/>
    <w:rsid w:val="005C37C9"/>
    <w:pPr>
      <w:spacing w:before="100" w:beforeAutospacing="1" w:after="100" w:afterAutospacing="1" w:line="240" w:lineRule="auto"/>
    </w:pPr>
    <w:rPr>
      <w:rFonts w:ascii="Arial Narrow" w:hAnsi="Arial Narrow"/>
      <w:b/>
      <w:bCs/>
      <w:sz w:val="10"/>
      <w:szCs w:val="10"/>
    </w:rPr>
  </w:style>
  <w:style w:type="paragraph" w:customStyle="1" w:styleId="xl165">
    <w:name w:val="xl165"/>
    <w:basedOn w:val="Normalny"/>
    <w:rsid w:val="005C37C9"/>
    <w:pPr>
      <w:pBdr>
        <w:bottom w:val="single" w:sz="4" w:space="0" w:color="848484"/>
      </w:pBdr>
      <w:spacing w:before="100" w:beforeAutospacing="1" w:after="100" w:afterAutospacing="1" w:line="240" w:lineRule="auto"/>
    </w:pPr>
    <w:rPr>
      <w:rFonts w:ascii="Arial Narrow" w:hAnsi="Arial Narrow"/>
      <w:b/>
      <w:bCs/>
      <w:sz w:val="10"/>
      <w:szCs w:val="10"/>
    </w:rPr>
  </w:style>
  <w:style w:type="paragraph" w:customStyle="1" w:styleId="xl166">
    <w:name w:val="xl166"/>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7">
    <w:name w:val="xl167"/>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8">
    <w:name w:val="xl168"/>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69">
    <w:name w:val="xl169"/>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170">
    <w:name w:val="xl170"/>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10"/>
      <w:szCs w:val="10"/>
    </w:rPr>
  </w:style>
  <w:style w:type="paragraph" w:customStyle="1" w:styleId="xl171">
    <w:name w:val="xl171"/>
    <w:basedOn w:val="Normalny"/>
    <w:rsid w:val="005C37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172">
    <w:name w:val="xl172"/>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textAlignment w:val="center"/>
    </w:pPr>
    <w:rPr>
      <w:rFonts w:ascii="Arial Narrow" w:hAnsi="Arial Narrow"/>
      <w:sz w:val="10"/>
      <w:szCs w:val="10"/>
    </w:rPr>
  </w:style>
  <w:style w:type="paragraph" w:customStyle="1" w:styleId="xl173">
    <w:name w:val="xl173"/>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4">
    <w:name w:val="xl174"/>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175">
    <w:name w:val="xl175"/>
    <w:basedOn w:val="Normalny"/>
    <w:rsid w:val="005C37C9"/>
    <w:pPr>
      <w:pBdr>
        <w:top w:val="single" w:sz="4" w:space="0" w:color="auto"/>
        <w:left w:val="single" w:sz="4" w:space="0" w:color="auto"/>
        <w:bottom w:val="single" w:sz="4" w:space="0" w:color="auto"/>
        <w:right w:val="single" w:sz="4" w:space="0" w:color="auto"/>
      </w:pBdr>
      <w:shd w:val="clear" w:color="auto" w:fill="EFF6FB"/>
      <w:spacing w:before="100" w:beforeAutospacing="1" w:after="100" w:afterAutospacing="1" w:line="240" w:lineRule="auto"/>
      <w:jc w:val="right"/>
      <w:textAlignment w:val="center"/>
    </w:pPr>
    <w:rPr>
      <w:rFonts w:ascii="Arial Narrow" w:hAnsi="Arial Narrow"/>
      <w:sz w:val="10"/>
      <w:szCs w:val="10"/>
    </w:rPr>
  </w:style>
  <w:style w:type="paragraph" w:styleId="Spistreci7">
    <w:name w:val="toc 7"/>
    <w:basedOn w:val="Normalny"/>
    <w:next w:val="Normalny"/>
    <w:autoRedefine/>
    <w:uiPriority w:val="39"/>
    <w:rsid w:val="00E67D60"/>
    <w:pPr>
      <w:tabs>
        <w:tab w:val="right" w:leader="dot" w:pos="9061"/>
      </w:tabs>
      <w:ind w:left="1304" w:hanging="397"/>
    </w:pPr>
    <w:rPr>
      <w:noProof/>
      <w:sz w:val="16"/>
    </w:rPr>
  </w:style>
  <w:style w:type="paragraph" w:styleId="Spistreci8">
    <w:name w:val="toc 8"/>
    <w:basedOn w:val="Normalny"/>
    <w:next w:val="Normalny"/>
    <w:autoRedefine/>
    <w:uiPriority w:val="39"/>
    <w:rsid w:val="00BF66A5"/>
    <w:pPr>
      <w:spacing w:line="240" w:lineRule="auto"/>
      <w:ind w:left="1680"/>
    </w:pPr>
    <w:rPr>
      <w:rFonts w:ascii="Times New Roman" w:hAnsi="Times New Roman"/>
    </w:rPr>
  </w:style>
  <w:style w:type="paragraph" w:styleId="Spistreci9">
    <w:name w:val="toc 9"/>
    <w:basedOn w:val="Normalny"/>
    <w:next w:val="Normalny"/>
    <w:autoRedefine/>
    <w:uiPriority w:val="39"/>
    <w:rsid w:val="00BF66A5"/>
    <w:pPr>
      <w:spacing w:line="240" w:lineRule="auto"/>
      <w:ind w:left="1920"/>
    </w:pPr>
    <w:rPr>
      <w:rFonts w:ascii="Times New Roman" w:hAnsi="Times New Roman"/>
    </w:rPr>
  </w:style>
  <w:style w:type="paragraph" w:styleId="Legenda">
    <w:name w:val="caption"/>
    <w:basedOn w:val="Normalny"/>
    <w:next w:val="Normalny"/>
    <w:qFormat/>
    <w:rsid w:val="00F71A9C"/>
    <w:pPr>
      <w:spacing w:line="240" w:lineRule="auto"/>
    </w:pPr>
    <w:rPr>
      <w:rFonts w:ascii="Times New Roman" w:hAnsi="Times New Roman"/>
      <w:b/>
      <w:bCs/>
      <w:sz w:val="20"/>
      <w:szCs w:val="20"/>
    </w:rPr>
  </w:style>
  <w:style w:type="character" w:styleId="Pogrubienie">
    <w:name w:val="Strong"/>
    <w:qFormat/>
    <w:rsid w:val="00F71A9C"/>
    <w:rPr>
      <w:b/>
      <w:bCs/>
    </w:rPr>
  </w:style>
  <w:style w:type="paragraph" w:customStyle="1" w:styleId="xl153">
    <w:name w:val="xl153"/>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paragraph" w:customStyle="1" w:styleId="xl154">
    <w:name w:val="xl154"/>
    <w:basedOn w:val="Normalny"/>
    <w:rsid w:val="00B71B06"/>
    <w:pPr>
      <w:pBdr>
        <w:top w:val="single" w:sz="4" w:space="0" w:color="auto"/>
        <w:left w:val="single" w:sz="4" w:space="0" w:color="auto"/>
        <w:bottom w:val="single" w:sz="4" w:space="0" w:color="auto"/>
        <w:right w:val="single" w:sz="4" w:space="0" w:color="auto"/>
      </w:pBdr>
      <w:shd w:val="clear" w:color="auto" w:fill="B7CFE8"/>
      <w:spacing w:before="100" w:beforeAutospacing="1" w:after="100" w:afterAutospacing="1" w:line="240" w:lineRule="auto"/>
      <w:jc w:val="right"/>
      <w:textAlignment w:val="center"/>
    </w:pPr>
    <w:rPr>
      <w:rFonts w:ascii="Arial Narrow" w:hAnsi="Arial Narrow"/>
      <w:b/>
      <w:bCs/>
      <w:sz w:val="12"/>
      <w:szCs w:val="12"/>
    </w:rPr>
  </w:style>
  <w:style w:type="character" w:customStyle="1" w:styleId="NagwekZnakZnakZnakZnakZnakZnak">
    <w:name w:val="Nagłówek Znak Znak Znak Znak Znak Znak"/>
    <w:aliases w:val="Nagłówek strony Znak Znak"/>
    <w:rsid w:val="00142694"/>
    <w:rPr>
      <w:sz w:val="24"/>
      <w:szCs w:val="24"/>
      <w:lang w:val="pl-PL" w:eastAsia="pl-PL" w:bidi="ar-SA"/>
    </w:rPr>
  </w:style>
  <w:style w:type="paragraph" w:styleId="Tekstpodstawowywcity3">
    <w:name w:val="Body Text Indent 3"/>
    <w:basedOn w:val="Normalny"/>
    <w:link w:val="Tekstpodstawowywcity3Znak"/>
    <w:rsid w:val="00142694"/>
    <w:pPr>
      <w:widowControl w:val="0"/>
      <w:tabs>
        <w:tab w:val="left" w:pos="0"/>
      </w:tabs>
      <w:spacing w:before="120" w:after="120" w:line="240" w:lineRule="auto"/>
      <w:ind w:firstLine="567"/>
      <w:jc w:val="both"/>
    </w:pPr>
    <w:rPr>
      <w:rFonts w:ascii="Times New Roman" w:hAnsi="Times New Roman"/>
      <w:b/>
      <w:bCs/>
      <w:iCs/>
      <w:lang w:val="x-none" w:eastAsia="x-none"/>
    </w:rPr>
  </w:style>
  <w:style w:type="character" w:customStyle="1" w:styleId="Tekstpodstawowywcity3Znak">
    <w:name w:val="Tekst podstawowy wcięty 3 Znak"/>
    <w:link w:val="Tekstpodstawowywcity3"/>
    <w:rsid w:val="00142694"/>
    <w:rPr>
      <w:b/>
      <w:bCs/>
      <w:iCs/>
      <w:sz w:val="24"/>
      <w:szCs w:val="24"/>
    </w:rPr>
  </w:style>
  <w:style w:type="paragraph" w:customStyle="1" w:styleId="Styl1">
    <w:name w:val="Styl1"/>
    <w:basedOn w:val="Nagwek7"/>
    <w:rsid w:val="00142694"/>
  </w:style>
  <w:style w:type="paragraph" w:customStyle="1" w:styleId="Styl2">
    <w:name w:val="Styl2"/>
    <w:basedOn w:val="Nagwek8"/>
    <w:rsid w:val="00142694"/>
  </w:style>
  <w:style w:type="paragraph" w:styleId="Tekstpodstawowy">
    <w:name w:val="Body Text"/>
    <w:basedOn w:val="Normalny"/>
    <w:link w:val="TekstpodstawowyZnak"/>
    <w:rsid w:val="00142694"/>
    <w:pPr>
      <w:tabs>
        <w:tab w:val="left" w:pos="851"/>
      </w:tabs>
      <w:spacing w:after="120" w:line="200" w:lineRule="exact"/>
      <w:ind w:firstLine="567"/>
      <w:jc w:val="both"/>
    </w:pPr>
    <w:rPr>
      <w:i/>
      <w:sz w:val="14"/>
      <w:szCs w:val="20"/>
      <w:lang w:val="x-none" w:eastAsia="x-none"/>
    </w:rPr>
  </w:style>
  <w:style w:type="character" w:customStyle="1" w:styleId="TekstpodstawowyZnak">
    <w:name w:val="Tekst podstawowy Znak"/>
    <w:link w:val="Tekstpodstawowy"/>
    <w:rsid w:val="00142694"/>
    <w:rPr>
      <w:rFonts w:ascii="Arial" w:hAnsi="Arial"/>
      <w:i/>
      <w:sz w:val="14"/>
    </w:rPr>
  </w:style>
  <w:style w:type="paragraph" w:customStyle="1" w:styleId="tekst">
    <w:name w:val="tekst"/>
    <w:basedOn w:val="Normalny"/>
    <w:autoRedefine/>
    <w:rsid w:val="00142694"/>
    <w:pPr>
      <w:tabs>
        <w:tab w:val="left" w:pos="851"/>
      </w:tabs>
      <w:spacing w:line="270" w:lineRule="exact"/>
      <w:ind w:firstLine="340"/>
      <w:jc w:val="both"/>
    </w:pPr>
    <w:rPr>
      <w:rFonts w:ascii="NewBrunswick" w:hAnsi="NewBrunswick"/>
      <w:i/>
      <w:sz w:val="22"/>
      <w:szCs w:val="20"/>
    </w:rPr>
  </w:style>
  <w:style w:type="paragraph" w:customStyle="1" w:styleId="akapitakapit">
    <w:name w:val="akapitakapit"/>
    <w:basedOn w:val="tekst"/>
    <w:autoRedefine/>
    <w:rsid w:val="00142694"/>
    <w:pPr>
      <w:spacing w:line="80" w:lineRule="exact"/>
      <w:ind w:firstLine="0"/>
    </w:pPr>
  </w:style>
  <w:style w:type="paragraph" w:customStyle="1" w:styleId="xl149">
    <w:name w:val="xl149"/>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0">
    <w:name w:val="xl150"/>
    <w:basedOn w:val="Normalny"/>
    <w:rsid w:val="00142694"/>
    <w:pPr>
      <w:pBdr>
        <w:top w:val="single" w:sz="4" w:space="0" w:color="auto"/>
        <w:left w:val="single" w:sz="4" w:space="0" w:color="auto"/>
        <w:bottom w:val="single" w:sz="4" w:space="0" w:color="auto"/>
        <w:right w:val="single" w:sz="4" w:space="0" w:color="auto"/>
      </w:pBdr>
      <w:shd w:val="clear" w:color="auto" w:fill="8DB0DB"/>
      <w:spacing w:before="100" w:beforeAutospacing="1" w:after="100" w:afterAutospacing="1" w:line="240" w:lineRule="auto"/>
      <w:jc w:val="center"/>
      <w:textAlignment w:val="center"/>
    </w:pPr>
    <w:rPr>
      <w:rFonts w:cs="Arial"/>
      <w:b/>
      <w:bCs/>
      <w:sz w:val="14"/>
      <w:szCs w:val="14"/>
    </w:rPr>
  </w:style>
  <w:style w:type="paragraph" w:customStyle="1" w:styleId="xl151">
    <w:name w:val="xl15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52">
    <w:name w:val="xl15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176">
    <w:name w:val="xl176"/>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7">
    <w:name w:val="xl177"/>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8">
    <w:name w:val="xl178"/>
    <w:basedOn w:val="Normalny"/>
    <w:rsid w:val="0014269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179">
    <w:name w:val="xl179"/>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0">
    <w:name w:val="xl180"/>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center"/>
      <w:textAlignment w:val="center"/>
    </w:pPr>
    <w:rPr>
      <w:rFonts w:cs="Arial"/>
      <w:b/>
      <w:bCs/>
      <w:sz w:val="12"/>
      <w:szCs w:val="12"/>
    </w:rPr>
  </w:style>
  <w:style w:type="paragraph" w:customStyle="1" w:styleId="xl181">
    <w:name w:val="xl181"/>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2">
    <w:name w:val="xl182"/>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3">
    <w:name w:val="xl183"/>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4">
    <w:name w:val="xl184"/>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5">
    <w:name w:val="xl185"/>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textAlignment w:val="center"/>
    </w:pPr>
    <w:rPr>
      <w:rFonts w:cs="Arial"/>
      <w:b/>
      <w:bCs/>
      <w:sz w:val="12"/>
      <w:szCs w:val="12"/>
    </w:rPr>
  </w:style>
  <w:style w:type="paragraph" w:customStyle="1" w:styleId="xl186">
    <w:name w:val="xl186"/>
    <w:basedOn w:val="Normalny"/>
    <w:rsid w:val="00142694"/>
    <w:pPr>
      <w:pBdr>
        <w:top w:val="single" w:sz="4" w:space="0" w:color="auto"/>
        <w:left w:val="single" w:sz="4" w:space="0" w:color="auto"/>
        <w:bottom w:val="single" w:sz="4" w:space="0" w:color="auto"/>
        <w:right w:val="single" w:sz="4" w:space="0" w:color="auto"/>
      </w:pBdr>
      <w:shd w:val="clear" w:color="auto" w:fill="D5E3F2"/>
      <w:spacing w:before="100" w:beforeAutospacing="1" w:after="100" w:afterAutospacing="1" w:line="240" w:lineRule="auto"/>
      <w:jc w:val="right"/>
      <w:textAlignment w:val="center"/>
    </w:pPr>
    <w:rPr>
      <w:rFonts w:cs="Arial"/>
      <w:b/>
      <w:bCs/>
      <w:color w:val="FF1818"/>
      <w:sz w:val="12"/>
      <w:szCs w:val="12"/>
    </w:rPr>
  </w:style>
  <w:style w:type="paragraph" w:customStyle="1" w:styleId="xl187">
    <w:name w:val="xl187"/>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88">
    <w:name w:val="xl188"/>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89">
    <w:name w:val="xl189"/>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center"/>
      <w:textAlignment w:val="center"/>
    </w:pPr>
    <w:rPr>
      <w:rFonts w:cs="Arial"/>
      <w:b/>
      <w:bCs/>
      <w:sz w:val="12"/>
      <w:szCs w:val="12"/>
    </w:rPr>
  </w:style>
  <w:style w:type="paragraph" w:customStyle="1" w:styleId="xl190">
    <w:name w:val="xl190"/>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1">
    <w:name w:val="xl191"/>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2">
    <w:name w:val="xl192"/>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sz w:val="12"/>
      <w:szCs w:val="12"/>
    </w:rPr>
  </w:style>
  <w:style w:type="paragraph" w:customStyle="1" w:styleId="xl193">
    <w:name w:val="xl193"/>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4">
    <w:name w:val="xl194"/>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textAlignment w:val="center"/>
    </w:pPr>
    <w:rPr>
      <w:rFonts w:cs="Arial"/>
      <w:b/>
      <w:bCs/>
      <w:sz w:val="12"/>
      <w:szCs w:val="12"/>
    </w:rPr>
  </w:style>
  <w:style w:type="paragraph" w:customStyle="1" w:styleId="xl195">
    <w:name w:val="xl195"/>
    <w:basedOn w:val="Normalny"/>
    <w:rsid w:val="00142694"/>
    <w:pPr>
      <w:pBdr>
        <w:top w:val="single" w:sz="4" w:space="0" w:color="auto"/>
        <w:left w:val="single" w:sz="4" w:space="0" w:color="auto"/>
        <w:bottom w:val="single" w:sz="4" w:space="0" w:color="auto"/>
        <w:right w:val="single" w:sz="4" w:space="0" w:color="auto"/>
      </w:pBdr>
      <w:shd w:val="clear" w:color="auto" w:fill="FFFDC1"/>
      <w:spacing w:before="100" w:beforeAutospacing="1" w:after="100" w:afterAutospacing="1" w:line="240" w:lineRule="auto"/>
      <w:jc w:val="right"/>
      <w:textAlignment w:val="center"/>
    </w:pPr>
    <w:rPr>
      <w:rFonts w:cs="Arial"/>
      <w:b/>
      <w:bCs/>
      <w:color w:val="FF1818"/>
      <w:sz w:val="12"/>
      <w:szCs w:val="12"/>
    </w:rPr>
  </w:style>
  <w:style w:type="paragraph" w:customStyle="1" w:styleId="przerwaakapit">
    <w:name w:val="przerwaakapit"/>
    <w:basedOn w:val="tekst"/>
    <w:rsid w:val="00142694"/>
    <w:pPr>
      <w:spacing w:line="80" w:lineRule="exact"/>
      <w:ind w:firstLine="0"/>
    </w:pPr>
  </w:style>
  <w:style w:type="paragraph" w:customStyle="1" w:styleId="cz">
    <w:name w:val="część"/>
    <w:basedOn w:val="Nagwek1"/>
    <w:autoRedefine/>
    <w:rsid w:val="00142694"/>
    <w:pPr>
      <w:keepNext w:val="0"/>
      <w:tabs>
        <w:tab w:val="left" w:pos="851"/>
      </w:tabs>
      <w:spacing w:line="400" w:lineRule="exact"/>
      <w:ind w:firstLine="567"/>
      <w:jc w:val="center"/>
    </w:pPr>
    <w:rPr>
      <w:rFonts w:ascii="NewBrunswick" w:hAnsi="NewBrunswick" w:cs="Times New Roman"/>
      <w:bCs w:val="0"/>
      <w:i/>
      <w:kern w:val="0"/>
      <w:sz w:val="34"/>
      <w:szCs w:val="20"/>
    </w:rPr>
  </w:style>
  <w:style w:type="paragraph" w:customStyle="1" w:styleId="rozdzia">
    <w:name w:val="rozdział"/>
    <w:basedOn w:val="Nagwek1"/>
    <w:autoRedefine/>
    <w:rsid w:val="00142694"/>
    <w:pPr>
      <w:keepNext w:val="0"/>
      <w:tabs>
        <w:tab w:val="left" w:pos="851"/>
      </w:tabs>
      <w:spacing w:line="270" w:lineRule="exact"/>
      <w:ind w:firstLine="567"/>
      <w:jc w:val="center"/>
    </w:pPr>
    <w:rPr>
      <w:rFonts w:ascii="NewBrunswick" w:hAnsi="NewBrunswick" w:cs="Times New Roman"/>
      <w:bCs w:val="0"/>
      <w:i/>
      <w:kern w:val="0"/>
      <w:sz w:val="30"/>
      <w:szCs w:val="20"/>
    </w:rPr>
  </w:style>
  <w:style w:type="paragraph" w:customStyle="1" w:styleId="cytatatekst">
    <w:name w:val="cytatatekst"/>
    <w:basedOn w:val="tekst"/>
    <w:autoRedefine/>
    <w:rsid w:val="00142694"/>
    <w:pPr>
      <w:spacing w:line="140" w:lineRule="exact"/>
      <w:ind w:firstLine="0"/>
    </w:pPr>
  </w:style>
  <w:style w:type="paragraph" w:customStyle="1" w:styleId="cytat">
    <w:name w:val="cytat"/>
    <w:basedOn w:val="Tekstpodstawowy"/>
    <w:autoRedefine/>
    <w:rsid w:val="00142694"/>
    <w:pPr>
      <w:spacing w:after="0" w:line="270" w:lineRule="exact"/>
      <w:ind w:left="340" w:right="340" w:firstLine="227"/>
    </w:pPr>
    <w:rPr>
      <w:rFonts w:ascii="NewBrunswick" w:hAnsi="NewBrunswick"/>
      <w:b/>
    </w:rPr>
  </w:style>
  <w:style w:type="paragraph" w:customStyle="1" w:styleId="podpiscytatu">
    <w:name w:val="podpiscytatu"/>
    <w:basedOn w:val="Nagwek1"/>
    <w:autoRedefine/>
    <w:rsid w:val="00142694"/>
    <w:pPr>
      <w:keepNext w:val="0"/>
      <w:tabs>
        <w:tab w:val="left" w:pos="851"/>
      </w:tabs>
      <w:spacing w:line="270" w:lineRule="exact"/>
      <w:ind w:right="340" w:firstLine="567"/>
    </w:pPr>
    <w:rPr>
      <w:rFonts w:ascii="NewBrunswick" w:hAnsi="NewBrunswick" w:cs="Times New Roman"/>
      <w:bCs w:val="0"/>
      <w:i/>
      <w:kern w:val="0"/>
      <w:sz w:val="22"/>
      <w:szCs w:val="20"/>
    </w:rPr>
  </w:style>
  <w:style w:type="paragraph" w:customStyle="1" w:styleId="podpiscytat">
    <w:name w:val="podpiscytat"/>
    <w:basedOn w:val="Tekstpodstawowy"/>
    <w:autoRedefine/>
    <w:rsid w:val="00142694"/>
    <w:pPr>
      <w:spacing w:after="0" w:line="270" w:lineRule="exact"/>
      <w:ind w:right="340"/>
      <w:jc w:val="right"/>
    </w:pPr>
    <w:rPr>
      <w:rFonts w:ascii="NewBrunswick" w:hAnsi="NewBrunswick"/>
      <w:b/>
    </w:rPr>
  </w:style>
  <w:style w:type="paragraph" w:customStyle="1" w:styleId="podracytat">
    <w:name w:val="podracytat"/>
    <w:basedOn w:val="Nagwek1"/>
    <w:autoRedefine/>
    <w:rsid w:val="00142694"/>
    <w:pPr>
      <w:keepNext w:val="0"/>
      <w:tabs>
        <w:tab w:val="left" w:pos="851"/>
      </w:tabs>
      <w:spacing w:line="120" w:lineRule="exact"/>
      <w:ind w:firstLine="567"/>
      <w:jc w:val="center"/>
      <w:outlineLvl w:val="9"/>
    </w:pPr>
    <w:rPr>
      <w:rFonts w:ascii="NewBrunswick" w:hAnsi="NewBrunswick" w:cs="Times New Roman"/>
      <w:b w:val="0"/>
      <w:bCs w:val="0"/>
      <w:i/>
      <w:kern w:val="0"/>
      <w:sz w:val="22"/>
      <w:szCs w:val="20"/>
    </w:rPr>
  </w:style>
  <w:style w:type="paragraph" w:styleId="Tytu">
    <w:name w:val="Title"/>
    <w:basedOn w:val="Normalny"/>
    <w:link w:val="TytuZnak"/>
    <w:qFormat/>
    <w:rsid w:val="00142694"/>
    <w:pPr>
      <w:spacing w:line="240" w:lineRule="auto"/>
      <w:jc w:val="center"/>
    </w:pPr>
    <w:rPr>
      <w:b/>
      <w:sz w:val="32"/>
      <w:szCs w:val="20"/>
      <w:lang w:val="x-none" w:eastAsia="x-none"/>
    </w:rPr>
  </w:style>
  <w:style w:type="character" w:customStyle="1" w:styleId="TytuZnak">
    <w:name w:val="Tytuł Znak"/>
    <w:link w:val="Tytu"/>
    <w:rsid w:val="00142694"/>
    <w:rPr>
      <w:rFonts w:ascii="Arial" w:hAnsi="Arial"/>
      <w:b/>
      <w:sz w:val="32"/>
    </w:rPr>
  </w:style>
  <w:style w:type="paragraph" w:styleId="NormalnyWeb">
    <w:name w:val="Normal (Web)"/>
    <w:basedOn w:val="Normalny"/>
    <w:rsid w:val="00142694"/>
    <w:pPr>
      <w:spacing w:before="100" w:after="100" w:line="240" w:lineRule="auto"/>
    </w:pPr>
    <w:rPr>
      <w:rFonts w:ascii="Arial Unicode MS" w:eastAsia="Arial Unicode MS" w:hAnsi="Arial Unicode MS"/>
      <w:szCs w:val="20"/>
    </w:rPr>
  </w:style>
  <w:style w:type="paragraph" w:styleId="Tekstpodstawowy2">
    <w:name w:val="Body Text 2"/>
    <w:basedOn w:val="Normalny"/>
    <w:link w:val="Tekstpodstawowy2Znak"/>
    <w:rsid w:val="00142694"/>
    <w:pPr>
      <w:tabs>
        <w:tab w:val="num" w:pos="426"/>
      </w:tabs>
      <w:spacing w:before="120" w:after="120"/>
      <w:jc w:val="both"/>
    </w:pPr>
    <w:rPr>
      <w:rFonts w:ascii="Times New Roman" w:hAnsi="Times New Roman"/>
      <w:szCs w:val="20"/>
      <w:lang w:val="x-none" w:eastAsia="x-none"/>
    </w:rPr>
  </w:style>
  <w:style w:type="character" w:customStyle="1" w:styleId="Tekstpodstawowy2Znak">
    <w:name w:val="Tekst podstawowy 2 Znak"/>
    <w:link w:val="Tekstpodstawowy2"/>
    <w:rsid w:val="00142694"/>
    <w:rPr>
      <w:sz w:val="24"/>
    </w:rPr>
  </w:style>
  <w:style w:type="paragraph" w:customStyle="1" w:styleId="tyt">
    <w:name w:val="tyt"/>
    <w:basedOn w:val="Normalny"/>
    <w:rsid w:val="00142694"/>
    <w:pPr>
      <w:keepNext/>
      <w:overflowPunct w:val="0"/>
      <w:autoSpaceDE w:val="0"/>
      <w:autoSpaceDN w:val="0"/>
      <w:adjustRightInd w:val="0"/>
      <w:spacing w:before="60" w:after="60" w:line="240" w:lineRule="auto"/>
      <w:jc w:val="center"/>
      <w:textAlignment w:val="baseline"/>
    </w:pPr>
    <w:rPr>
      <w:rFonts w:ascii="Times New Roman" w:hAnsi="Times New Roman"/>
      <w:b/>
      <w:szCs w:val="20"/>
    </w:rPr>
  </w:style>
  <w:style w:type="paragraph" w:customStyle="1" w:styleId="ust">
    <w:name w:val="ust"/>
    <w:rsid w:val="00142694"/>
    <w:pPr>
      <w:overflowPunct w:val="0"/>
      <w:autoSpaceDE w:val="0"/>
      <w:autoSpaceDN w:val="0"/>
      <w:adjustRightInd w:val="0"/>
      <w:spacing w:before="60" w:after="60"/>
      <w:ind w:left="426" w:hanging="284"/>
      <w:jc w:val="both"/>
      <w:textAlignment w:val="baseline"/>
    </w:pPr>
    <w:rPr>
      <w:sz w:val="24"/>
    </w:rPr>
  </w:style>
  <w:style w:type="paragraph" w:customStyle="1" w:styleId="pkt">
    <w:name w:val="pkt"/>
    <w:basedOn w:val="Normalny"/>
    <w:rsid w:val="00142694"/>
    <w:pPr>
      <w:overflowPunct w:val="0"/>
      <w:autoSpaceDE w:val="0"/>
      <w:autoSpaceDN w:val="0"/>
      <w:adjustRightInd w:val="0"/>
      <w:spacing w:before="60" w:after="60" w:line="240" w:lineRule="auto"/>
      <w:ind w:left="851" w:hanging="295"/>
      <w:jc w:val="both"/>
      <w:textAlignment w:val="baseline"/>
    </w:pPr>
    <w:rPr>
      <w:rFonts w:ascii="Times New Roman" w:hAnsi="Times New Roman"/>
      <w:szCs w:val="20"/>
    </w:rPr>
  </w:style>
  <w:style w:type="paragraph" w:customStyle="1" w:styleId="pkt1">
    <w:name w:val="pkt1"/>
    <w:basedOn w:val="pkt"/>
    <w:rsid w:val="00142694"/>
    <w:pPr>
      <w:ind w:left="850" w:hanging="425"/>
    </w:pPr>
  </w:style>
  <w:style w:type="paragraph" w:styleId="Tekstpodstawowywcity2">
    <w:name w:val="Body Text Indent 2"/>
    <w:basedOn w:val="Normalny"/>
    <w:link w:val="Tekstpodstawowywcity2Znak"/>
    <w:rsid w:val="00142694"/>
    <w:pPr>
      <w:tabs>
        <w:tab w:val="left" w:pos="851"/>
      </w:tabs>
      <w:spacing w:line="200" w:lineRule="exact"/>
      <w:ind w:firstLine="708"/>
      <w:jc w:val="both"/>
    </w:pPr>
    <w:rPr>
      <w:rFonts w:ascii="Times New Roman" w:hAnsi="Times New Roman"/>
      <w:iCs/>
      <w:szCs w:val="20"/>
      <w:lang w:val="x-none" w:eastAsia="x-none"/>
    </w:rPr>
  </w:style>
  <w:style w:type="character" w:customStyle="1" w:styleId="Tekstpodstawowywcity2Znak">
    <w:name w:val="Tekst podstawowy wcięty 2 Znak"/>
    <w:link w:val="Tekstpodstawowywcity2"/>
    <w:rsid w:val="00142694"/>
    <w:rPr>
      <w:iCs/>
      <w:sz w:val="24"/>
    </w:rPr>
  </w:style>
  <w:style w:type="paragraph" w:styleId="Tekstpodstawowy3">
    <w:name w:val="Body Text 3"/>
    <w:basedOn w:val="Normalny"/>
    <w:link w:val="Tekstpodstawowy3Znak"/>
    <w:rsid w:val="00142694"/>
    <w:pPr>
      <w:widowControl w:val="0"/>
      <w:tabs>
        <w:tab w:val="left" w:pos="-720"/>
      </w:tabs>
      <w:suppressAutoHyphens/>
      <w:autoSpaceDE w:val="0"/>
      <w:autoSpaceDN w:val="0"/>
      <w:spacing w:line="240" w:lineRule="auto"/>
      <w:jc w:val="both"/>
      <w:outlineLvl w:val="0"/>
    </w:pPr>
    <w:rPr>
      <w:rFonts w:ascii="Arial Narrow" w:hAnsi="Arial Narrow"/>
      <w:b/>
      <w:bCs/>
      <w:spacing w:val="-3"/>
      <w:sz w:val="32"/>
      <w:szCs w:val="32"/>
      <w:lang w:val="en-US" w:eastAsia="x-none"/>
    </w:rPr>
  </w:style>
  <w:style w:type="character" w:customStyle="1" w:styleId="Tekstpodstawowy3Znak">
    <w:name w:val="Tekst podstawowy 3 Znak"/>
    <w:link w:val="Tekstpodstawowy3"/>
    <w:rsid w:val="00142694"/>
    <w:rPr>
      <w:rFonts w:ascii="Arial Narrow" w:hAnsi="Arial Narrow"/>
      <w:b/>
      <w:bCs/>
      <w:spacing w:val="-3"/>
      <w:sz w:val="32"/>
      <w:szCs w:val="32"/>
      <w:lang w:val="en-US"/>
    </w:rPr>
  </w:style>
  <w:style w:type="paragraph" w:styleId="Lista">
    <w:name w:val="List"/>
    <w:basedOn w:val="Normalny"/>
    <w:rsid w:val="00142694"/>
    <w:pPr>
      <w:spacing w:line="240" w:lineRule="auto"/>
      <w:ind w:left="283" w:hanging="283"/>
    </w:pPr>
    <w:rPr>
      <w:rFonts w:ascii="Times New Roman" w:hAnsi="Times New Roman"/>
      <w:sz w:val="20"/>
      <w:szCs w:val="20"/>
    </w:rPr>
  </w:style>
  <w:style w:type="paragraph" w:styleId="Listapunktowana2">
    <w:name w:val="List Bullet 2"/>
    <w:basedOn w:val="Normalny"/>
    <w:autoRedefine/>
    <w:rsid w:val="00142694"/>
    <w:pPr>
      <w:tabs>
        <w:tab w:val="num" w:pos="1854"/>
      </w:tabs>
      <w:ind w:left="1854" w:hanging="360"/>
      <w:jc w:val="both"/>
    </w:pPr>
    <w:rPr>
      <w:rFonts w:ascii="Times New Roman" w:hAnsi="Times New Roman"/>
      <w:snapToGrid w:val="0"/>
      <w:szCs w:val="20"/>
    </w:rPr>
  </w:style>
  <w:style w:type="paragraph" w:styleId="Lista2">
    <w:name w:val="List 2"/>
    <w:basedOn w:val="Normalny"/>
    <w:rsid w:val="00142694"/>
    <w:pPr>
      <w:spacing w:line="240" w:lineRule="auto"/>
      <w:ind w:left="566" w:hanging="283"/>
    </w:pPr>
    <w:rPr>
      <w:rFonts w:ascii="Times New Roman" w:hAnsi="Times New Roman"/>
      <w:sz w:val="20"/>
      <w:szCs w:val="20"/>
    </w:rPr>
  </w:style>
  <w:style w:type="paragraph" w:customStyle="1" w:styleId="Etykietadokumentu">
    <w:name w:val="Etykieta dokumentu"/>
    <w:next w:val="Normalny"/>
    <w:rsid w:val="00142694"/>
    <w:pPr>
      <w:pBdr>
        <w:top w:val="double" w:sz="6" w:space="8" w:color="808080"/>
        <w:bottom w:val="double" w:sz="6" w:space="8" w:color="808080"/>
      </w:pBdr>
      <w:spacing w:after="40" w:line="240" w:lineRule="atLeast"/>
      <w:jc w:val="center"/>
    </w:pPr>
    <w:rPr>
      <w:rFonts w:ascii="Garamond" w:hAnsi="Garamond"/>
      <w:b/>
      <w:caps/>
      <w:spacing w:val="20"/>
      <w:sz w:val="18"/>
      <w:lang w:val="en-US"/>
    </w:rPr>
  </w:style>
  <w:style w:type="character" w:customStyle="1" w:styleId="fcon-text1">
    <w:name w:val="fcon-text1"/>
    <w:rsid w:val="00142694"/>
    <w:rPr>
      <w:rFonts w:ascii="Tahoma" w:hAnsi="Tahoma" w:cs="Tahoma" w:hint="default"/>
      <w:b w:val="0"/>
      <w:bCs w:val="0"/>
      <w:color w:val="625E52"/>
      <w:sz w:val="17"/>
      <w:szCs w:val="17"/>
    </w:rPr>
  </w:style>
  <w:style w:type="paragraph" w:customStyle="1" w:styleId="Tekstpodstawowy21">
    <w:name w:val="Tekst podstawowy 21"/>
    <w:basedOn w:val="Normalny"/>
    <w:rsid w:val="00142694"/>
    <w:pPr>
      <w:jc w:val="both"/>
    </w:pPr>
    <w:rPr>
      <w:rFonts w:ascii="Times New Roman" w:hAnsi="Times New Roman"/>
      <w:szCs w:val="20"/>
    </w:rPr>
  </w:style>
  <w:style w:type="paragraph" w:customStyle="1" w:styleId="font5">
    <w:name w:val="font5"/>
    <w:basedOn w:val="Normalny"/>
    <w:rsid w:val="00142694"/>
    <w:pPr>
      <w:spacing w:before="100" w:beforeAutospacing="1" w:after="100" w:afterAutospacing="1" w:line="240" w:lineRule="auto"/>
    </w:pPr>
    <w:rPr>
      <w:rFonts w:cs="Arial"/>
      <w:sz w:val="18"/>
      <w:szCs w:val="18"/>
    </w:rPr>
  </w:style>
  <w:style w:type="paragraph" w:customStyle="1" w:styleId="font6">
    <w:name w:val="font6"/>
    <w:basedOn w:val="Normalny"/>
    <w:rsid w:val="00142694"/>
    <w:pPr>
      <w:spacing w:before="100" w:beforeAutospacing="1" w:after="100" w:afterAutospacing="1" w:line="240" w:lineRule="auto"/>
    </w:pPr>
    <w:rPr>
      <w:rFonts w:ascii="Tahoma" w:hAnsi="Tahoma" w:cs="Tahoma"/>
      <w:color w:val="000000"/>
      <w:sz w:val="16"/>
      <w:szCs w:val="16"/>
    </w:rPr>
  </w:style>
  <w:style w:type="paragraph" w:customStyle="1" w:styleId="font7">
    <w:name w:val="font7"/>
    <w:basedOn w:val="Normalny"/>
    <w:rsid w:val="00142694"/>
    <w:pPr>
      <w:spacing w:before="100" w:beforeAutospacing="1" w:after="100" w:afterAutospacing="1" w:line="240" w:lineRule="auto"/>
    </w:pPr>
    <w:rPr>
      <w:rFonts w:ascii="Tahoma" w:hAnsi="Tahoma" w:cs="Tahoma"/>
      <w:b/>
      <w:bCs/>
      <w:color w:val="000000"/>
      <w:sz w:val="16"/>
      <w:szCs w:val="16"/>
    </w:rPr>
  </w:style>
  <w:style w:type="paragraph" w:customStyle="1" w:styleId="font8">
    <w:name w:val="font8"/>
    <w:basedOn w:val="Normalny"/>
    <w:rsid w:val="00142694"/>
    <w:pPr>
      <w:spacing w:before="100" w:beforeAutospacing="1" w:after="100" w:afterAutospacing="1" w:line="240" w:lineRule="auto"/>
    </w:pPr>
    <w:rPr>
      <w:rFonts w:cs="Arial"/>
      <w:sz w:val="12"/>
      <w:szCs w:val="12"/>
    </w:rPr>
  </w:style>
  <w:style w:type="paragraph" w:customStyle="1" w:styleId="xl24">
    <w:name w:val="xl2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rPr>
  </w:style>
  <w:style w:type="paragraph" w:customStyle="1" w:styleId="xl25">
    <w:name w:val="xl2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4"/>
      <w:szCs w:val="14"/>
    </w:rPr>
  </w:style>
  <w:style w:type="paragraph" w:customStyle="1" w:styleId="xl26">
    <w:name w:val="xl2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27">
    <w:name w:val="xl2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28">
    <w:name w:val="xl2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29">
    <w:name w:val="xl2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0">
    <w:name w:val="xl3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u w:val="single"/>
    </w:rPr>
  </w:style>
  <w:style w:type="paragraph" w:customStyle="1" w:styleId="xl31">
    <w:name w:val="xl3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32">
    <w:name w:val="xl32"/>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33">
    <w:name w:val="xl3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color w:val="008000"/>
      <w:sz w:val="14"/>
      <w:szCs w:val="14"/>
    </w:rPr>
  </w:style>
  <w:style w:type="paragraph" w:customStyle="1" w:styleId="xl34">
    <w:name w:val="xl3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5">
    <w:name w:val="xl3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36">
    <w:name w:val="xl3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37">
    <w:name w:val="xl3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38">
    <w:name w:val="xl38"/>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cs="Arial"/>
      <w:sz w:val="12"/>
      <w:szCs w:val="12"/>
    </w:rPr>
  </w:style>
  <w:style w:type="paragraph" w:customStyle="1" w:styleId="xl39">
    <w:name w:val="xl3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0">
    <w:name w:val="xl40"/>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2"/>
      <w:szCs w:val="12"/>
    </w:rPr>
  </w:style>
  <w:style w:type="paragraph" w:customStyle="1" w:styleId="xl41">
    <w:name w:val="xl4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2"/>
      <w:szCs w:val="12"/>
      <w:u w:val="single"/>
    </w:rPr>
  </w:style>
  <w:style w:type="paragraph" w:customStyle="1" w:styleId="xl42">
    <w:name w:val="xl42"/>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3">
    <w:name w:val="xl43"/>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2"/>
      <w:szCs w:val="12"/>
    </w:rPr>
  </w:style>
  <w:style w:type="paragraph" w:customStyle="1" w:styleId="xl44">
    <w:name w:val="xl4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45">
    <w:name w:val="xl45"/>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b/>
      <w:bCs/>
      <w:color w:val="008000"/>
      <w:sz w:val="14"/>
      <w:szCs w:val="14"/>
    </w:rPr>
  </w:style>
  <w:style w:type="paragraph" w:customStyle="1" w:styleId="xl46">
    <w:name w:val="xl4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47">
    <w:name w:val="xl4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rPr>
  </w:style>
  <w:style w:type="paragraph" w:customStyle="1" w:styleId="xl48">
    <w:name w:val="xl4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u w:val="single"/>
    </w:rPr>
  </w:style>
  <w:style w:type="paragraph" w:customStyle="1" w:styleId="xl49">
    <w:name w:val="xl4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0">
    <w:name w:val="xl50"/>
    <w:basedOn w:val="Normalny"/>
    <w:rsid w:val="0014269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color w:val="CCFFCC"/>
      <w:sz w:val="14"/>
      <w:szCs w:val="14"/>
      <w:u w:val="single"/>
    </w:rPr>
  </w:style>
  <w:style w:type="paragraph" w:customStyle="1" w:styleId="xl51">
    <w:name w:val="xl51"/>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2"/>
      <w:szCs w:val="12"/>
      <w:u w:val="single"/>
    </w:rPr>
  </w:style>
  <w:style w:type="paragraph" w:customStyle="1" w:styleId="xl52">
    <w:name w:val="xl5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cs="Arial"/>
      <w:sz w:val="12"/>
      <w:szCs w:val="12"/>
    </w:rPr>
  </w:style>
  <w:style w:type="paragraph" w:customStyle="1" w:styleId="xl53">
    <w:name w:val="xl53"/>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cs="Arial"/>
      <w:b/>
      <w:bCs/>
      <w:sz w:val="14"/>
      <w:szCs w:val="14"/>
      <w:u w:val="single"/>
    </w:rPr>
  </w:style>
  <w:style w:type="paragraph" w:customStyle="1" w:styleId="xl54">
    <w:name w:val="xl54"/>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55">
    <w:name w:val="xl5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2"/>
      <w:szCs w:val="12"/>
    </w:rPr>
  </w:style>
  <w:style w:type="paragraph" w:customStyle="1" w:styleId="xl56">
    <w:name w:val="xl5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57">
    <w:name w:val="xl5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2"/>
      <w:szCs w:val="12"/>
    </w:rPr>
  </w:style>
  <w:style w:type="paragraph" w:customStyle="1" w:styleId="xl58">
    <w:name w:val="xl5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2"/>
      <w:szCs w:val="12"/>
    </w:rPr>
  </w:style>
  <w:style w:type="paragraph" w:customStyle="1" w:styleId="xl59">
    <w:name w:val="xl59"/>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rPr>
  </w:style>
  <w:style w:type="paragraph" w:customStyle="1" w:styleId="xl60">
    <w:name w:val="xl60"/>
    <w:basedOn w:val="Normalny"/>
    <w:rsid w:val="00142694"/>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4"/>
      <w:szCs w:val="14"/>
      <w:u w:val="single"/>
    </w:rPr>
  </w:style>
  <w:style w:type="paragraph" w:customStyle="1" w:styleId="xl61">
    <w:name w:val="xl61"/>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4"/>
      <w:szCs w:val="14"/>
      <w:u w:val="single"/>
    </w:rPr>
  </w:style>
  <w:style w:type="paragraph" w:customStyle="1" w:styleId="xl62">
    <w:name w:val="xl62"/>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3">
    <w:name w:val="xl6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2"/>
      <w:szCs w:val="12"/>
    </w:rPr>
  </w:style>
  <w:style w:type="paragraph" w:customStyle="1" w:styleId="xl64">
    <w:name w:val="xl64"/>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2"/>
      <w:szCs w:val="12"/>
    </w:rPr>
  </w:style>
  <w:style w:type="paragraph" w:customStyle="1" w:styleId="xl65">
    <w:name w:val="xl65"/>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pPr>
    <w:rPr>
      <w:rFonts w:cs="Arial"/>
      <w:sz w:val="12"/>
      <w:szCs w:val="12"/>
    </w:rPr>
  </w:style>
  <w:style w:type="paragraph" w:customStyle="1" w:styleId="xl66">
    <w:name w:val="xl66"/>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4"/>
      <w:szCs w:val="14"/>
    </w:rPr>
  </w:style>
  <w:style w:type="paragraph" w:customStyle="1" w:styleId="xl67">
    <w:name w:val="xl67"/>
    <w:basedOn w:val="Normalny"/>
    <w:rsid w:val="00142694"/>
    <w:pPr>
      <w:pBdr>
        <w:top w:val="single" w:sz="4" w:space="0" w:color="auto"/>
        <w:bottom w:val="single" w:sz="4" w:space="0" w:color="auto"/>
      </w:pBdr>
      <w:spacing w:before="100" w:beforeAutospacing="1" w:after="100" w:afterAutospacing="1" w:line="240" w:lineRule="auto"/>
      <w:textAlignment w:val="center"/>
    </w:pPr>
    <w:rPr>
      <w:rFonts w:cs="Arial"/>
      <w:b/>
      <w:bCs/>
      <w:sz w:val="14"/>
      <w:szCs w:val="14"/>
    </w:rPr>
  </w:style>
  <w:style w:type="paragraph" w:customStyle="1" w:styleId="xl68">
    <w:name w:val="xl68"/>
    <w:basedOn w:val="Normalny"/>
    <w:rsid w:val="0014269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69">
    <w:name w:val="xl69"/>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0">
    <w:name w:val="xl70"/>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1">
    <w:name w:val="xl71"/>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2">
    <w:name w:val="xl72"/>
    <w:basedOn w:val="Normalny"/>
    <w:rsid w:val="0014269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cs="Arial"/>
      <w:sz w:val="14"/>
      <w:szCs w:val="14"/>
    </w:rPr>
  </w:style>
  <w:style w:type="paragraph" w:customStyle="1" w:styleId="xl73">
    <w:name w:val="xl73"/>
    <w:basedOn w:val="Normalny"/>
    <w:rsid w:val="0014269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4"/>
      <w:szCs w:val="14"/>
    </w:rPr>
  </w:style>
  <w:style w:type="paragraph" w:customStyle="1" w:styleId="xl74">
    <w:name w:val="xl74"/>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Times New Roman" w:hAnsi="Times New Roman"/>
      <w:b/>
      <w:bCs/>
      <w:sz w:val="14"/>
      <w:szCs w:val="14"/>
    </w:rPr>
  </w:style>
  <w:style w:type="paragraph" w:customStyle="1" w:styleId="xl75">
    <w:name w:val="xl75"/>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6">
    <w:name w:val="xl76"/>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77">
    <w:name w:val="xl7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8">
    <w:name w:val="xl78"/>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2"/>
      <w:szCs w:val="12"/>
    </w:rPr>
  </w:style>
  <w:style w:type="paragraph" w:customStyle="1" w:styleId="xl79">
    <w:name w:val="xl79"/>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0">
    <w:name w:val="xl80"/>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cs="Arial"/>
      <w:b/>
      <w:bCs/>
      <w:sz w:val="14"/>
      <w:szCs w:val="14"/>
    </w:rPr>
  </w:style>
  <w:style w:type="paragraph" w:customStyle="1" w:styleId="xl81">
    <w:name w:val="xl81"/>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cs="Arial"/>
      <w:b/>
      <w:bCs/>
      <w:sz w:val="14"/>
      <w:szCs w:val="14"/>
    </w:rPr>
  </w:style>
  <w:style w:type="paragraph" w:customStyle="1" w:styleId="xl82">
    <w:name w:val="xl82"/>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3">
    <w:name w:val="xl8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84">
    <w:name w:val="xl84"/>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5">
    <w:name w:val="xl85"/>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ascii="Times New Roman" w:hAnsi="Times New Roman"/>
      <w:b/>
      <w:bCs/>
      <w:sz w:val="12"/>
      <w:szCs w:val="12"/>
    </w:rPr>
  </w:style>
  <w:style w:type="paragraph" w:customStyle="1" w:styleId="xl86">
    <w:name w:val="xl86"/>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7">
    <w:name w:val="xl87"/>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88">
    <w:name w:val="xl88"/>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89">
    <w:name w:val="xl89"/>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14"/>
      <w:szCs w:val="14"/>
    </w:rPr>
  </w:style>
  <w:style w:type="paragraph" w:customStyle="1" w:styleId="xl90">
    <w:name w:val="xl90"/>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1">
    <w:name w:val="xl91"/>
    <w:basedOn w:val="Normalny"/>
    <w:rsid w:val="00142694"/>
    <w:pPr>
      <w:pBdr>
        <w:top w:val="single" w:sz="4" w:space="0" w:color="auto"/>
        <w:left w:val="single" w:sz="4" w:space="0" w:color="auto"/>
        <w:bottom w:val="single" w:sz="4" w:space="0" w:color="auto"/>
      </w:pBdr>
      <w:shd w:val="clear" w:color="auto" w:fill="CCFFFF"/>
      <w:spacing w:before="100" w:beforeAutospacing="1" w:after="100" w:afterAutospacing="1" w:line="240" w:lineRule="auto"/>
      <w:textAlignment w:val="center"/>
    </w:pPr>
    <w:rPr>
      <w:rFonts w:cs="Arial"/>
      <w:b/>
      <w:bCs/>
      <w:sz w:val="14"/>
      <w:szCs w:val="14"/>
    </w:rPr>
  </w:style>
  <w:style w:type="paragraph" w:customStyle="1" w:styleId="xl92">
    <w:name w:val="xl92"/>
    <w:basedOn w:val="Normalny"/>
    <w:rsid w:val="00142694"/>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textAlignment w:val="center"/>
    </w:pPr>
    <w:rPr>
      <w:rFonts w:cs="Arial"/>
      <w:b/>
      <w:bCs/>
      <w:sz w:val="12"/>
      <w:szCs w:val="12"/>
    </w:rPr>
  </w:style>
  <w:style w:type="paragraph" w:customStyle="1" w:styleId="xl93">
    <w:name w:val="xl93"/>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4">
    <w:name w:val="xl94"/>
    <w:basedOn w:val="Normalny"/>
    <w:rsid w:val="0014269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95">
    <w:name w:val="xl95"/>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12"/>
      <w:szCs w:val="12"/>
    </w:rPr>
  </w:style>
  <w:style w:type="paragraph" w:customStyle="1" w:styleId="xl96">
    <w:name w:val="xl96"/>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cs="Arial"/>
      <w:sz w:val="12"/>
      <w:szCs w:val="12"/>
    </w:rPr>
  </w:style>
  <w:style w:type="paragraph" w:customStyle="1" w:styleId="xl97">
    <w:name w:val="xl97"/>
    <w:basedOn w:val="Normalny"/>
    <w:rsid w:val="00142694"/>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cs="Arial"/>
      <w:sz w:val="12"/>
      <w:szCs w:val="12"/>
    </w:rPr>
  </w:style>
  <w:style w:type="paragraph" w:customStyle="1" w:styleId="xl98">
    <w:name w:val="xl98"/>
    <w:basedOn w:val="Normalny"/>
    <w:rsid w:val="00142694"/>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99">
    <w:name w:val="xl99"/>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00">
    <w:name w:val="xl100"/>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cs="Arial"/>
      <w:sz w:val="14"/>
      <w:szCs w:val="14"/>
    </w:rPr>
  </w:style>
  <w:style w:type="paragraph" w:customStyle="1" w:styleId="xl101">
    <w:name w:val="xl101"/>
    <w:basedOn w:val="Normalny"/>
    <w:rsid w:val="00142694"/>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cs="Arial"/>
      <w:sz w:val="14"/>
      <w:szCs w:val="14"/>
    </w:rPr>
  </w:style>
  <w:style w:type="paragraph" w:customStyle="1" w:styleId="xl102">
    <w:name w:val="xl102"/>
    <w:basedOn w:val="Normalny"/>
    <w:rsid w:val="00142694"/>
    <w:pPr>
      <w:spacing w:before="100" w:beforeAutospacing="1" w:after="100" w:afterAutospacing="1" w:line="240" w:lineRule="auto"/>
      <w:textAlignment w:val="center"/>
    </w:pPr>
    <w:rPr>
      <w:rFonts w:cs="Arial"/>
      <w:b/>
      <w:bCs/>
      <w:color w:val="FFFFFF"/>
      <w:sz w:val="14"/>
      <w:szCs w:val="14"/>
    </w:rPr>
  </w:style>
  <w:style w:type="paragraph" w:customStyle="1" w:styleId="xl103">
    <w:name w:val="xl103"/>
    <w:basedOn w:val="Normalny"/>
    <w:rsid w:val="00142694"/>
    <w:pPr>
      <w:spacing w:before="100" w:beforeAutospacing="1" w:after="100" w:afterAutospacing="1" w:line="240" w:lineRule="auto"/>
      <w:textAlignment w:val="center"/>
    </w:pPr>
    <w:rPr>
      <w:rFonts w:ascii="Times New Roman" w:hAnsi="Times New Roman"/>
      <w:b/>
      <w:bCs/>
      <w:sz w:val="14"/>
      <w:szCs w:val="14"/>
    </w:rPr>
  </w:style>
  <w:style w:type="paragraph" w:customStyle="1" w:styleId="xl104">
    <w:name w:val="xl104"/>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05">
    <w:name w:val="xl105"/>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6">
    <w:name w:val="xl106"/>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7">
    <w:name w:val="xl107"/>
    <w:basedOn w:val="Normalny"/>
    <w:rsid w:val="001426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8">
    <w:name w:val="xl108"/>
    <w:basedOn w:val="Normalny"/>
    <w:rsid w:val="00142694"/>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09">
    <w:name w:val="xl109"/>
    <w:basedOn w:val="Normalny"/>
    <w:rsid w:val="0014269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2"/>
      <w:szCs w:val="12"/>
    </w:rPr>
  </w:style>
  <w:style w:type="paragraph" w:customStyle="1" w:styleId="xl110">
    <w:name w:val="xl110"/>
    <w:basedOn w:val="Normalny"/>
    <w:rsid w:val="00142694"/>
    <w:pPr>
      <w:spacing w:before="100" w:beforeAutospacing="1" w:after="100" w:afterAutospacing="1" w:line="240" w:lineRule="auto"/>
      <w:textAlignment w:val="center"/>
    </w:pPr>
    <w:rPr>
      <w:rFonts w:cs="Arial"/>
      <w:b/>
      <w:bCs/>
      <w:sz w:val="14"/>
      <w:szCs w:val="14"/>
    </w:rPr>
  </w:style>
  <w:style w:type="paragraph" w:customStyle="1" w:styleId="xl111">
    <w:name w:val="xl111"/>
    <w:basedOn w:val="Normalny"/>
    <w:rsid w:val="0014269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textAlignment w:val="center"/>
    </w:pPr>
    <w:rPr>
      <w:rFonts w:cs="Arial"/>
      <w:b/>
      <w:bCs/>
      <w:sz w:val="14"/>
      <w:szCs w:val="14"/>
    </w:rPr>
  </w:style>
  <w:style w:type="paragraph" w:customStyle="1" w:styleId="xl112">
    <w:name w:val="xl112"/>
    <w:basedOn w:val="Normalny"/>
    <w:rsid w:val="00142694"/>
    <w:pPr>
      <w:pBdr>
        <w:top w:val="single" w:sz="4" w:space="0" w:color="auto"/>
        <w:right w:val="single" w:sz="4" w:space="0" w:color="auto"/>
      </w:pBdr>
      <w:spacing w:before="100" w:beforeAutospacing="1" w:after="100" w:afterAutospacing="1" w:line="240" w:lineRule="auto"/>
      <w:textAlignment w:val="center"/>
    </w:pPr>
    <w:rPr>
      <w:rFonts w:cs="Arial"/>
      <w:b/>
      <w:bCs/>
      <w:sz w:val="14"/>
      <w:szCs w:val="14"/>
    </w:rPr>
  </w:style>
  <w:style w:type="paragraph" w:customStyle="1" w:styleId="xl113">
    <w:name w:val="xl113"/>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center"/>
    </w:pPr>
    <w:rPr>
      <w:rFonts w:ascii="Times New Roman" w:hAnsi="Times New Roman"/>
      <w:b/>
      <w:bCs/>
      <w:sz w:val="14"/>
      <w:szCs w:val="14"/>
    </w:rPr>
  </w:style>
  <w:style w:type="paragraph" w:customStyle="1" w:styleId="xl114">
    <w:name w:val="xl114"/>
    <w:basedOn w:val="Normalny"/>
    <w:rsid w:val="00142694"/>
    <w:pPr>
      <w:pBdr>
        <w:top w:val="single" w:sz="4" w:space="0" w:color="auto"/>
        <w:bottom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customStyle="1" w:styleId="xl115">
    <w:name w:val="xl115"/>
    <w:basedOn w:val="Normalny"/>
    <w:rsid w:val="00142694"/>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4"/>
      <w:szCs w:val="14"/>
    </w:rPr>
  </w:style>
  <w:style w:type="paragraph" w:styleId="Tekstprzypisukocowego">
    <w:name w:val="endnote text"/>
    <w:basedOn w:val="Normalny"/>
    <w:link w:val="TekstprzypisukocowegoZnak"/>
    <w:uiPriority w:val="99"/>
    <w:rsid w:val="00142694"/>
    <w:pPr>
      <w:spacing w:line="240" w:lineRule="auto"/>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142694"/>
  </w:style>
  <w:style w:type="paragraph" w:styleId="Indeks1">
    <w:name w:val="index 1"/>
    <w:basedOn w:val="Normalny"/>
    <w:next w:val="Normalny"/>
    <w:autoRedefine/>
    <w:rsid w:val="00142694"/>
    <w:pPr>
      <w:spacing w:line="720" w:lineRule="auto"/>
      <w:ind w:left="238" w:hanging="238"/>
    </w:pPr>
    <w:rPr>
      <w:rFonts w:ascii="Times New Roman" w:hAnsi="Times New Roman"/>
    </w:rPr>
  </w:style>
  <w:style w:type="paragraph" w:styleId="Spisilustracji">
    <w:name w:val="table of figures"/>
    <w:basedOn w:val="Normalny"/>
    <w:next w:val="Normalny"/>
    <w:rsid w:val="00142694"/>
    <w:pPr>
      <w:spacing w:after="120" w:line="240" w:lineRule="auto"/>
    </w:pPr>
    <w:rPr>
      <w:rFonts w:ascii="Verdana" w:hAnsi="Verdana"/>
      <w:sz w:val="18"/>
    </w:rPr>
  </w:style>
  <w:style w:type="paragraph" w:customStyle="1" w:styleId="Default">
    <w:name w:val="Default"/>
    <w:rsid w:val="00142694"/>
    <w:pPr>
      <w:autoSpaceDE w:val="0"/>
      <w:autoSpaceDN w:val="0"/>
      <w:adjustRightInd w:val="0"/>
    </w:pPr>
    <w:rPr>
      <w:rFonts w:ascii="Swis721LtEU" w:hAnsi="Swis721LtEU" w:cs="Swis721LtEU"/>
      <w:color w:val="000000"/>
      <w:sz w:val="24"/>
      <w:szCs w:val="24"/>
    </w:rPr>
  </w:style>
  <w:style w:type="paragraph" w:styleId="Akapitzlist">
    <w:name w:val="List Paragraph"/>
    <w:aliases w:val="Numerowanie,List Paragraph,Akapit z listą BS,Kolorowa lista — akcent 11,A_wyliczenie,K-P_odwolanie,Akapit z listą5,maz_wyliczenie,opis dzialania,Signature"/>
    <w:basedOn w:val="Normalny"/>
    <w:link w:val="AkapitzlistZnak"/>
    <w:uiPriority w:val="34"/>
    <w:qFormat/>
    <w:rsid w:val="00142694"/>
    <w:pPr>
      <w:ind w:left="720"/>
      <w:contextualSpacing/>
    </w:pPr>
  </w:style>
  <w:style w:type="paragraph" w:customStyle="1" w:styleId="xl214">
    <w:name w:val="xl214"/>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215">
    <w:name w:val="xl215"/>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216">
    <w:name w:val="xl216"/>
    <w:basedOn w:val="Normalny"/>
    <w:rsid w:val="00740FFC"/>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17">
    <w:name w:val="xl217"/>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218">
    <w:name w:val="xl218"/>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19">
    <w:name w:val="xl219"/>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220">
    <w:name w:val="xl220"/>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221">
    <w:name w:val="xl221"/>
    <w:basedOn w:val="Normalny"/>
    <w:rsid w:val="00740FFC"/>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2">
    <w:name w:val="xl222"/>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23">
    <w:name w:val="xl223"/>
    <w:basedOn w:val="Normalny"/>
    <w:rsid w:val="00740FFC"/>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224">
    <w:name w:val="xl224"/>
    <w:basedOn w:val="Normalny"/>
    <w:rsid w:val="00740FFC"/>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225">
    <w:name w:val="xl225"/>
    <w:basedOn w:val="Normalny"/>
    <w:rsid w:val="00740FFC"/>
    <w:pPr>
      <w:spacing w:before="100" w:beforeAutospacing="1" w:after="100" w:afterAutospacing="1" w:line="240" w:lineRule="auto"/>
    </w:pPr>
    <w:rPr>
      <w:rFonts w:cs="Arial"/>
      <w:sz w:val="16"/>
      <w:szCs w:val="16"/>
    </w:rPr>
  </w:style>
  <w:style w:type="paragraph" w:customStyle="1" w:styleId="xl226">
    <w:name w:val="xl226"/>
    <w:basedOn w:val="Normalny"/>
    <w:rsid w:val="00740FFC"/>
    <w:pPr>
      <w:spacing w:before="100" w:beforeAutospacing="1" w:after="100" w:afterAutospacing="1" w:line="240" w:lineRule="auto"/>
    </w:pPr>
    <w:rPr>
      <w:rFonts w:cs="Arial"/>
      <w:sz w:val="16"/>
      <w:szCs w:val="16"/>
    </w:rPr>
  </w:style>
  <w:style w:type="paragraph" w:customStyle="1" w:styleId="xl227">
    <w:name w:val="xl227"/>
    <w:basedOn w:val="Normalny"/>
    <w:rsid w:val="00740FFC"/>
    <w:pPr>
      <w:spacing w:before="100" w:beforeAutospacing="1" w:after="100" w:afterAutospacing="1" w:line="240" w:lineRule="auto"/>
    </w:pPr>
    <w:rPr>
      <w:rFonts w:cs="Arial"/>
      <w:b/>
      <w:bCs/>
      <w:sz w:val="16"/>
      <w:szCs w:val="16"/>
    </w:rPr>
  </w:style>
  <w:style w:type="paragraph" w:customStyle="1" w:styleId="xl228">
    <w:name w:val="xl228"/>
    <w:basedOn w:val="Normalny"/>
    <w:rsid w:val="00740FFC"/>
    <w:pPr>
      <w:spacing w:before="100" w:beforeAutospacing="1" w:after="100" w:afterAutospacing="1" w:line="240" w:lineRule="auto"/>
    </w:pPr>
    <w:rPr>
      <w:rFonts w:ascii="Arial Narrow" w:hAnsi="Arial Narrow"/>
      <w:sz w:val="10"/>
      <w:szCs w:val="10"/>
    </w:rPr>
  </w:style>
  <w:style w:type="paragraph" w:customStyle="1" w:styleId="xl229">
    <w:name w:val="xl229"/>
    <w:basedOn w:val="Normalny"/>
    <w:rsid w:val="00740FFC"/>
    <w:pPr>
      <w:spacing w:before="100" w:beforeAutospacing="1" w:after="100" w:afterAutospacing="1" w:line="240" w:lineRule="auto"/>
      <w:jc w:val="center"/>
    </w:pPr>
    <w:rPr>
      <w:rFonts w:ascii="Arial Narrow" w:hAnsi="Arial Narrow"/>
      <w:sz w:val="10"/>
      <w:szCs w:val="10"/>
    </w:rPr>
  </w:style>
  <w:style w:type="paragraph" w:customStyle="1" w:styleId="xl230">
    <w:name w:val="xl230"/>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1">
    <w:name w:val="xl231"/>
    <w:basedOn w:val="Normalny"/>
    <w:rsid w:val="00740FFC"/>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2">
    <w:name w:val="xl232"/>
    <w:basedOn w:val="Normalny"/>
    <w:rsid w:val="00740FFC"/>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3">
    <w:name w:val="xl233"/>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4">
    <w:name w:val="xl234"/>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5">
    <w:name w:val="xl235"/>
    <w:basedOn w:val="Normalny"/>
    <w:rsid w:val="00740FFC"/>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6">
    <w:name w:val="xl236"/>
    <w:basedOn w:val="Normalny"/>
    <w:rsid w:val="00740FFC"/>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37">
    <w:name w:val="xl237"/>
    <w:basedOn w:val="Normalny"/>
    <w:rsid w:val="00740FFC"/>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208">
    <w:name w:val="xl208"/>
    <w:basedOn w:val="Normalny"/>
    <w:rsid w:val="00427E18"/>
    <w:pPr>
      <w:spacing w:before="100" w:beforeAutospacing="1" w:after="100" w:afterAutospacing="1" w:line="240" w:lineRule="auto"/>
    </w:pPr>
    <w:rPr>
      <w:rFonts w:cs="Arial"/>
      <w:sz w:val="16"/>
      <w:szCs w:val="16"/>
    </w:rPr>
  </w:style>
  <w:style w:type="paragraph" w:customStyle="1" w:styleId="xl209">
    <w:name w:val="xl209"/>
    <w:basedOn w:val="Normalny"/>
    <w:rsid w:val="00427E18"/>
    <w:pPr>
      <w:spacing w:before="100" w:beforeAutospacing="1" w:after="100" w:afterAutospacing="1" w:line="240" w:lineRule="auto"/>
    </w:pPr>
    <w:rPr>
      <w:rFonts w:cs="Arial"/>
      <w:b/>
      <w:bCs/>
      <w:sz w:val="16"/>
      <w:szCs w:val="16"/>
    </w:rPr>
  </w:style>
  <w:style w:type="paragraph" w:customStyle="1" w:styleId="xl210">
    <w:name w:val="xl210"/>
    <w:basedOn w:val="Normalny"/>
    <w:rsid w:val="00427E18"/>
    <w:pPr>
      <w:spacing w:before="100" w:beforeAutospacing="1" w:after="100" w:afterAutospacing="1" w:line="240" w:lineRule="auto"/>
      <w:jc w:val="center"/>
      <w:textAlignment w:val="center"/>
    </w:pPr>
    <w:rPr>
      <w:rFonts w:cs="Arial"/>
      <w:sz w:val="12"/>
      <w:szCs w:val="12"/>
    </w:rPr>
  </w:style>
  <w:style w:type="paragraph" w:customStyle="1" w:styleId="xl211">
    <w:name w:val="xl211"/>
    <w:basedOn w:val="Normalny"/>
    <w:rsid w:val="00427E18"/>
    <w:pPr>
      <w:spacing w:before="100" w:beforeAutospacing="1" w:after="100" w:afterAutospacing="1" w:line="240" w:lineRule="auto"/>
      <w:jc w:val="center"/>
      <w:textAlignment w:val="center"/>
    </w:pPr>
    <w:rPr>
      <w:rFonts w:cs="Arial"/>
      <w:b/>
      <w:bCs/>
      <w:sz w:val="16"/>
      <w:szCs w:val="16"/>
    </w:rPr>
  </w:style>
  <w:style w:type="paragraph" w:customStyle="1" w:styleId="xl212">
    <w:name w:val="xl212"/>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13">
    <w:name w:val="xl213"/>
    <w:basedOn w:val="Normalny"/>
    <w:rsid w:val="00427E18"/>
    <w:pPr>
      <w:pBdr>
        <w:top w:val="single" w:sz="4" w:space="0" w:color="auto"/>
        <w:left w:val="single" w:sz="4" w:space="0" w:color="auto"/>
        <w:bottom w:val="single" w:sz="4" w:space="0" w:color="auto"/>
        <w:right w:val="single" w:sz="4" w:space="0" w:color="auto"/>
      </w:pBdr>
      <w:shd w:val="clear" w:color="000000" w:fill="8DB0DB"/>
      <w:spacing w:before="100" w:beforeAutospacing="1" w:after="100" w:afterAutospacing="1" w:line="240" w:lineRule="auto"/>
      <w:jc w:val="center"/>
      <w:textAlignment w:val="center"/>
    </w:pPr>
    <w:rPr>
      <w:rFonts w:cs="Arial"/>
      <w:b/>
      <w:bCs/>
      <w:sz w:val="14"/>
      <w:szCs w:val="14"/>
    </w:rPr>
  </w:style>
  <w:style w:type="paragraph" w:customStyle="1" w:styleId="xl238">
    <w:name w:val="xl238"/>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center"/>
      <w:textAlignment w:val="center"/>
    </w:pPr>
    <w:rPr>
      <w:rFonts w:cs="Arial"/>
      <w:b/>
      <w:bCs/>
      <w:sz w:val="12"/>
      <w:szCs w:val="12"/>
    </w:rPr>
  </w:style>
  <w:style w:type="paragraph" w:customStyle="1" w:styleId="xl239">
    <w:name w:val="xl239"/>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40">
    <w:name w:val="xl240"/>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1">
    <w:name w:val="xl241"/>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42">
    <w:name w:val="xl242"/>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3">
    <w:name w:val="xl243"/>
    <w:basedOn w:val="Normalny"/>
    <w:rsid w:val="004820E9"/>
    <w:pPr>
      <w:pBdr>
        <w:top w:val="single" w:sz="4" w:space="0" w:color="auto"/>
        <w:left w:val="single" w:sz="4" w:space="11" w:color="auto"/>
        <w:bottom w:val="single" w:sz="4" w:space="0" w:color="auto"/>
        <w:right w:val="single" w:sz="4" w:space="0" w:color="auto"/>
      </w:pBdr>
      <w:shd w:val="clear" w:color="000000" w:fill="FFFDC1"/>
      <w:spacing w:before="100" w:beforeAutospacing="1" w:after="100" w:afterAutospacing="1" w:line="240" w:lineRule="auto"/>
      <w:ind w:firstLineChars="100" w:firstLine="100"/>
      <w:textAlignment w:val="center"/>
    </w:pPr>
    <w:rPr>
      <w:rFonts w:cs="Arial"/>
      <w:b/>
      <w:bCs/>
      <w:sz w:val="12"/>
      <w:szCs w:val="12"/>
    </w:rPr>
  </w:style>
  <w:style w:type="paragraph" w:customStyle="1" w:styleId="xl244">
    <w:name w:val="xl244"/>
    <w:basedOn w:val="Normalny"/>
    <w:rsid w:val="004820E9"/>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45">
    <w:name w:val="xl245"/>
    <w:basedOn w:val="Normalny"/>
    <w:rsid w:val="004820E9"/>
    <w:pPr>
      <w:spacing w:before="100" w:beforeAutospacing="1" w:after="100" w:afterAutospacing="1" w:line="240" w:lineRule="auto"/>
    </w:pPr>
    <w:rPr>
      <w:rFonts w:cs="Arial"/>
      <w:sz w:val="16"/>
      <w:szCs w:val="16"/>
    </w:rPr>
  </w:style>
  <w:style w:type="paragraph" w:customStyle="1" w:styleId="xl246">
    <w:name w:val="xl246"/>
    <w:basedOn w:val="Normalny"/>
    <w:rsid w:val="004820E9"/>
    <w:pPr>
      <w:spacing w:before="100" w:beforeAutospacing="1" w:after="100" w:afterAutospacing="1" w:line="240" w:lineRule="auto"/>
    </w:pPr>
    <w:rPr>
      <w:rFonts w:cs="Arial"/>
      <w:sz w:val="16"/>
      <w:szCs w:val="16"/>
    </w:rPr>
  </w:style>
  <w:style w:type="paragraph" w:customStyle="1" w:styleId="xl247">
    <w:name w:val="xl247"/>
    <w:basedOn w:val="Normalny"/>
    <w:rsid w:val="004820E9"/>
    <w:pPr>
      <w:spacing w:before="100" w:beforeAutospacing="1" w:after="100" w:afterAutospacing="1" w:line="240" w:lineRule="auto"/>
      <w:jc w:val="center"/>
      <w:textAlignment w:val="center"/>
    </w:pPr>
    <w:rPr>
      <w:rFonts w:cs="Arial"/>
      <w:b/>
      <w:bCs/>
      <w:sz w:val="16"/>
      <w:szCs w:val="16"/>
    </w:rPr>
  </w:style>
  <w:style w:type="paragraph" w:customStyle="1" w:styleId="xl248">
    <w:name w:val="xl248"/>
    <w:basedOn w:val="Normalny"/>
    <w:rsid w:val="004820E9"/>
    <w:pPr>
      <w:spacing w:before="100" w:beforeAutospacing="1" w:after="100" w:afterAutospacing="1" w:line="240" w:lineRule="auto"/>
      <w:jc w:val="center"/>
      <w:textAlignment w:val="center"/>
    </w:pPr>
    <w:rPr>
      <w:rFonts w:cs="Arial"/>
      <w:sz w:val="12"/>
      <w:szCs w:val="12"/>
    </w:rPr>
  </w:style>
  <w:style w:type="paragraph" w:customStyle="1" w:styleId="xl249">
    <w:name w:val="xl249"/>
    <w:basedOn w:val="Normalny"/>
    <w:rsid w:val="004820E9"/>
    <w:pPr>
      <w:spacing w:before="100" w:beforeAutospacing="1" w:after="100" w:afterAutospacing="1" w:line="240" w:lineRule="auto"/>
    </w:pPr>
    <w:rPr>
      <w:rFonts w:cs="Arial"/>
      <w:b/>
      <w:bCs/>
      <w:sz w:val="16"/>
      <w:szCs w:val="16"/>
    </w:rPr>
  </w:style>
  <w:style w:type="paragraph" w:customStyle="1" w:styleId="xl250">
    <w:name w:val="xl250"/>
    <w:basedOn w:val="Normalny"/>
    <w:rsid w:val="004820E9"/>
    <w:pPr>
      <w:spacing w:before="100" w:beforeAutospacing="1" w:after="100" w:afterAutospacing="1" w:line="240" w:lineRule="auto"/>
    </w:pPr>
    <w:rPr>
      <w:rFonts w:cs="Arial"/>
      <w:sz w:val="16"/>
      <w:szCs w:val="16"/>
    </w:rPr>
  </w:style>
  <w:style w:type="paragraph" w:customStyle="1" w:styleId="xl251">
    <w:name w:val="xl251"/>
    <w:basedOn w:val="Normalny"/>
    <w:rsid w:val="004820E9"/>
    <w:pPr>
      <w:spacing w:before="100" w:beforeAutospacing="1" w:after="100" w:afterAutospacing="1" w:line="240" w:lineRule="auto"/>
    </w:pPr>
    <w:rPr>
      <w:rFonts w:cs="Arial"/>
      <w:sz w:val="16"/>
      <w:szCs w:val="16"/>
    </w:rPr>
  </w:style>
  <w:style w:type="character" w:styleId="Uwydatnienie">
    <w:name w:val="Emphasis"/>
    <w:qFormat/>
    <w:rsid w:val="00A402C7"/>
    <w:rPr>
      <w:i/>
      <w:iCs/>
    </w:rPr>
  </w:style>
  <w:style w:type="character" w:styleId="Odwoanieprzypisukocowego">
    <w:name w:val="endnote reference"/>
    <w:rsid w:val="00A87BDA"/>
    <w:rPr>
      <w:vertAlign w:val="superscript"/>
    </w:rPr>
  </w:style>
  <w:style w:type="character" w:customStyle="1" w:styleId="ZnakZnak2">
    <w:name w:val="Znak Znak2"/>
    <w:rsid w:val="00A87BDA"/>
    <w:rPr>
      <w:rFonts w:ascii="Arial" w:hAnsi="Arial"/>
      <w:bCs/>
      <w:i/>
      <w:szCs w:val="22"/>
      <w:lang w:val="pl-PL" w:eastAsia="pl-PL" w:bidi="ar-SA"/>
    </w:rPr>
  </w:style>
  <w:style w:type="paragraph" w:styleId="Podtytu">
    <w:name w:val="Subtitle"/>
    <w:basedOn w:val="Normalny"/>
    <w:link w:val="PodtytuZnak"/>
    <w:qFormat/>
    <w:rsid w:val="00A87BDA"/>
    <w:pPr>
      <w:jc w:val="center"/>
    </w:pPr>
    <w:rPr>
      <w:rFonts w:ascii="Times New Roman" w:hAnsi="Times New Roman"/>
      <w:b/>
      <w:bCs/>
      <w:sz w:val="26"/>
      <w:szCs w:val="20"/>
      <w:lang w:val="x-none" w:eastAsia="x-none"/>
    </w:rPr>
  </w:style>
  <w:style w:type="character" w:customStyle="1" w:styleId="PodtytuZnak">
    <w:name w:val="Podtytuł Znak"/>
    <w:link w:val="Podtytu"/>
    <w:rsid w:val="00A87BDA"/>
    <w:rPr>
      <w:b/>
      <w:bCs/>
      <w:sz w:val="26"/>
    </w:rPr>
  </w:style>
  <w:style w:type="paragraph" w:customStyle="1" w:styleId="xl252">
    <w:name w:val="xl252"/>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3">
    <w:name w:val="xl253"/>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4">
    <w:name w:val="xl254"/>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5">
    <w:name w:val="xl255"/>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6">
    <w:name w:val="xl256"/>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textAlignment w:val="center"/>
    </w:pPr>
    <w:rPr>
      <w:rFonts w:cs="Arial"/>
      <w:b/>
      <w:bCs/>
      <w:sz w:val="12"/>
      <w:szCs w:val="12"/>
    </w:rPr>
  </w:style>
  <w:style w:type="paragraph" w:customStyle="1" w:styleId="xl257">
    <w:name w:val="xl257"/>
    <w:basedOn w:val="Normalny"/>
    <w:rsid w:val="00D61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2"/>
      <w:szCs w:val="12"/>
    </w:rPr>
  </w:style>
  <w:style w:type="paragraph" w:customStyle="1" w:styleId="xl258">
    <w:name w:val="xl258"/>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xl259">
    <w:name w:val="xl259"/>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color w:val="FF1818"/>
      <w:sz w:val="12"/>
      <w:szCs w:val="12"/>
    </w:rPr>
  </w:style>
  <w:style w:type="paragraph" w:customStyle="1" w:styleId="xl260">
    <w:name w:val="xl260"/>
    <w:basedOn w:val="Normalny"/>
    <w:rsid w:val="00D619FB"/>
    <w:pPr>
      <w:pBdr>
        <w:top w:val="single" w:sz="4" w:space="0" w:color="auto"/>
        <w:left w:val="single" w:sz="4" w:space="0" w:color="auto"/>
        <w:bottom w:val="single" w:sz="4" w:space="0" w:color="auto"/>
        <w:right w:val="single" w:sz="4" w:space="0" w:color="auto"/>
      </w:pBdr>
      <w:shd w:val="clear" w:color="000000" w:fill="FFFDC1"/>
      <w:spacing w:before="100" w:beforeAutospacing="1" w:after="100" w:afterAutospacing="1" w:line="240" w:lineRule="auto"/>
      <w:jc w:val="right"/>
      <w:textAlignment w:val="center"/>
    </w:pPr>
    <w:rPr>
      <w:rFonts w:cs="Arial"/>
      <w:b/>
      <w:bCs/>
      <w:sz w:val="12"/>
      <w:szCs w:val="12"/>
    </w:rPr>
  </w:style>
  <w:style w:type="paragraph" w:customStyle="1" w:styleId="msonormal0">
    <w:name w:val="msonormal"/>
    <w:basedOn w:val="Normalny"/>
    <w:rsid w:val="00CA281E"/>
    <w:pPr>
      <w:spacing w:before="100" w:beforeAutospacing="1" w:after="100" w:afterAutospacing="1" w:line="240" w:lineRule="auto"/>
    </w:pPr>
    <w:rPr>
      <w:rFonts w:ascii="Times New Roman" w:hAnsi="Times New Roman"/>
    </w:rPr>
  </w:style>
  <w:style w:type="paragraph" w:customStyle="1" w:styleId="xl352">
    <w:name w:val="xl35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right"/>
      <w:textAlignment w:val="center"/>
    </w:pPr>
    <w:rPr>
      <w:rFonts w:ascii="Arial Narrow" w:hAnsi="Arial Narrow"/>
      <w:b/>
      <w:bCs/>
      <w:sz w:val="10"/>
      <w:szCs w:val="10"/>
    </w:rPr>
  </w:style>
  <w:style w:type="paragraph" w:customStyle="1" w:styleId="xl353">
    <w:name w:val="xl35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sz w:val="10"/>
      <w:szCs w:val="10"/>
    </w:rPr>
  </w:style>
  <w:style w:type="paragraph" w:customStyle="1" w:styleId="xl354">
    <w:name w:val="xl354"/>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5">
    <w:name w:val="xl355"/>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56">
    <w:name w:val="xl356"/>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right"/>
      <w:textAlignment w:val="center"/>
    </w:pPr>
    <w:rPr>
      <w:rFonts w:ascii="Arial Narrow" w:hAnsi="Arial Narrow"/>
      <w:sz w:val="10"/>
      <w:szCs w:val="10"/>
    </w:rPr>
  </w:style>
  <w:style w:type="paragraph" w:customStyle="1" w:styleId="xl357">
    <w:name w:val="xl357"/>
    <w:basedOn w:val="Normalny"/>
    <w:rsid w:val="00916181"/>
    <w:pPr>
      <w:pBdr>
        <w:bottom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58">
    <w:name w:val="xl358"/>
    <w:basedOn w:val="Normalny"/>
    <w:rsid w:val="00916181"/>
    <w:pPr>
      <w:shd w:val="clear" w:color="000000" w:fill="B6D9E6"/>
      <w:spacing w:before="100" w:beforeAutospacing="1" w:after="100" w:afterAutospacing="1" w:line="240" w:lineRule="auto"/>
      <w:textAlignment w:val="center"/>
    </w:pPr>
    <w:rPr>
      <w:rFonts w:ascii="Arial Narrow" w:hAnsi="Arial Narrow"/>
      <w:sz w:val="10"/>
      <w:szCs w:val="10"/>
    </w:rPr>
  </w:style>
  <w:style w:type="paragraph" w:customStyle="1" w:styleId="xl359">
    <w:name w:val="xl359"/>
    <w:basedOn w:val="Normalny"/>
    <w:rsid w:val="00916181"/>
    <w:pPr>
      <w:spacing w:before="100" w:beforeAutospacing="1" w:after="100" w:afterAutospacing="1" w:line="240" w:lineRule="auto"/>
    </w:pPr>
    <w:rPr>
      <w:rFonts w:ascii="Arial Narrow" w:hAnsi="Arial Narrow"/>
      <w:sz w:val="10"/>
      <w:szCs w:val="10"/>
    </w:rPr>
  </w:style>
  <w:style w:type="paragraph" w:customStyle="1" w:styleId="xl360">
    <w:name w:val="xl360"/>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61">
    <w:name w:val="xl361"/>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textAlignment w:val="center"/>
    </w:pPr>
    <w:rPr>
      <w:rFonts w:ascii="Arial Narrow" w:hAnsi="Arial Narrow"/>
      <w:sz w:val="10"/>
      <w:szCs w:val="10"/>
    </w:rPr>
  </w:style>
  <w:style w:type="paragraph" w:customStyle="1" w:styleId="xl362">
    <w:name w:val="xl362"/>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3">
    <w:name w:val="xl363"/>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textAlignment w:val="center"/>
    </w:pPr>
    <w:rPr>
      <w:rFonts w:ascii="Arial Narrow" w:hAnsi="Arial Narrow"/>
      <w:b/>
      <w:bCs/>
      <w:sz w:val="10"/>
      <w:szCs w:val="10"/>
    </w:rPr>
  </w:style>
  <w:style w:type="paragraph" w:customStyle="1" w:styleId="xl364">
    <w:name w:val="xl364"/>
    <w:basedOn w:val="Normalny"/>
    <w:rsid w:val="00916181"/>
    <w:pPr>
      <w:spacing w:before="100" w:beforeAutospacing="1" w:after="100" w:afterAutospacing="1" w:line="240" w:lineRule="auto"/>
      <w:jc w:val="center"/>
    </w:pPr>
    <w:rPr>
      <w:rFonts w:ascii="Arial Narrow" w:hAnsi="Arial Narrow"/>
      <w:sz w:val="10"/>
      <w:szCs w:val="10"/>
    </w:rPr>
  </w:style>
  <w:style w:type="paragraph" w:customStyle="1" w:styleId="xl365">
    <w:name w:val="xl365"/>
    <w:basedOn w:val="Normalny"/>
    <w:rsid w:val="00916181"/>
    <w:pPr>
      <w:spacing w:before="100" w:beforeAutospacing="1" w:after="100" w:afterAutospacing="1" w:line="240" w:lineRule="auto"/>
    </w:pPr>
    <w:rPr>
      <w:rFonts w:cs="Arial"/>
      <w:sz w:val="16"/>
      <w:szCs w:val="16"/>
    </w:rPr>
  </w:style>
  <w:style w:type="paragraph" w:customStyle="1" w:styleId="xl366">
    <w:name w:val="xl366"/>
    <w:basedOn w:val="Normalny"/>
    <w:rsid w:val="00916181"/>
    <w:pPr>
      <w:spacing w:before="100" w:beforeAutospacing="1" w:after="100" w:afterAutospacing="1" w:line="240" w:lineRule="auto"/>
    </w:pPr>
    <w:rPr>
      <w:rFonts w:cs="Arial"/>
      <w:sz w:val="16"/>
      <w:szCs w:val="16"/>
    </w:rPr>
  </w:style>
  <w:style w:type="paragraph" w:customStyle="1" w:styleId="xl367">
    <w:name w:val="xl367"/>
    <w:basedOn w:val="Normalny"/>
    <w:rsid w:val="00916181"/>
    <w:pPr>
      <w:spacing w:before="100" w:beforeAutospacing="1" w:after="100" w:afterAutospacing="1" w:line="240" w:lineRule="auto"/>
    </w:pPr>
    <w:rPr>
      <w:rFonts w:cs="Arial"/>
      <w:b/>
      <w:bCs/>
      <w:sz w:val="16"/>
      <w:szCs w:val="16"/>
    </w:rPr>
  </w:style>
  <w:style w:type="paragraph" w:customStyle="1" w:styleId="xl368">
    <w:name w:val="xl368"/>
    <w:basedOn w:val="Normalny"/>
    <w:rsid w:val="00916181"/>
    <w:pPr>
      <w:pBdr>
        <w:top w:val="single" w:sz="4" w:space="0" w:color="848484"/>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69">
    <w:name w:val="xl369"/>
    <w:basedOn w:val="Normalny"/>
    <w:rsid w:val="00916181"/>
    <w:pPr>
      <w:pBdr>
        <w:top w:val="single" w:sz="4" w:space="0" w:color="848484"/>
        <w:left w:val="single" w:sz="4" w:space="0" w:color="848484"/>
        <w:bottom w:val="single" w:sz="4" w:space="0" w:color="848484"/>
        <w:right w:val="single" w:sz="4" w:space="0" w:color="848484"/>
      </w:pBdr>
      <w:shd w:val="clear" w:color="000000" w:fill="EFF6FB"/>
      <w:spacing w:before="100" w:beforeAutospacing="1" w:after="100" w:afterAutospacing="1" w:line="240" w:lineRule="auto"/>
      <w:jc w:val="center"/>
      <w:textAlignment w:val="center"/>
    </w:pPr>
    <w:rPr>
      <w:rFonts w:ascii="Arial Narrow" w:hAnsi="Arial Narrow"/>
      <w:sz w:val="10"/>
      <w:szCs w:val="10"/>
    </w:rPr>
  </w:style>
  <w:style w:type="paragraph" w:customStyle="1" w:styleId="xl370">
    <w:name w:val="xl370"/>
    <w:basedOn w:val="Normalny"/>
    <w:rsid w:val="00916181"/>
    <w:pPr>
      <w:spacing w:before="100" w:beforeAutospacing="1" w:after="100" w:afterAutospacing="1" w:line="240" w:lineRule="auto"/>
      <w:jc w:val="center"/>
    </w:pPr>
    <w:rPr>
      <w:rFonts w:cs="Arial"/>
      <w:sz w:val="16"/>
      <w:szCs w:val="16"/>
    </w:rPr>
  </w:style>
  <w:style w:type="paragraph" w:customStyle="1" w:styleId="xl371">
    <w:name w:val="xl371"/>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2">
    <w:name w:val="xl372"/>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3">
    <w:name w:val="xl373"/>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4">
    <w:name w:val="xl374"/>
    <w:basedOn w:val="Normalny"/>
    <w:rsid w:val="00916181"/>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5">
    <w:name w:val="xl375"/>
    <w:basedOn w:val="Normalny"/>
    <w:rsid w:val="00916181"/>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6">
    <w:name w:val="xl376"/>
    <w:basedOn w:val="Normalny"/>
    <w:rsid w:val="00916181"/>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7">
    <w:name w:val="xl377"/>
    <w:basedOn w:val="Normalny"/>
    <w:rsid w:val="00916181"/>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8">
    <w:name w:val="xl378"/>
    <w:basedOn w:val="Normalny"/>
    <w:rsid w:val="00916181"/>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79">
    <w:name w:val="xl379"/>
    <w:basedOn w:val="Normalny"/>
    <w:rsid w:val="00D72B60"/>
    <w:pPr>
      <w:pBdr>
        <w:top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0">
    <w:name w:val="xl380"/>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1">
    <w:name w:val="xl381"/>
    <w:basedOn w:val="Normalny"/>
    <w:rsid w:val="00D72B60"/>
    <w:pPr>
      <w:pBdr>
        <w:top w:val="single" w:sz="4" w:space="0" w:color="848484"/>
        <w:left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2">
    <w:name w:val="xl382"/>
    <w:basedOn w:val="Normalny"/>
    <w:rsid w:val="00D72B60"/>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3">
    <w:name w:val="xl383"/>
    <w:basedOn w:val="Normalny"/>
    <w:rsid w:val="00D72B60"/>
    <w:pPr>
      <w:pBdr>
        <w:top w:val="single" w:sz="4" w:space="0" w:color="848484"/>
        <w:left w:val="single" w:sz="4" w:space="0" w:color="848484"/>
        <w:bottom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4">
    <w:name w:val="xl384"/>
    <w:basedOn w:val="Normalny"/>
    <w:rsid w:val="00D72B60"/>
    <w:pPr>
      <w:pBdr>
        <w:top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paragraph" w:customStyle="1" w:styleId="xl385">
    <w:name w:val="xl385"/>
    <w:basedOn w:val="Normalny"/>
    <w:rsid w:val="00426983"/>
    <w:pPr>
      <w:pBdr>
        <w:left w:val="single" w:sz="4" w:space="0" w:color="848484"/>
        <w:bottom w:val="single" w:sz="4" w:space="0" w:color="848484"/>
        <w:right w:val="single" w:sz="4" w:space="0" w:color="848484"/>
      </w:pBdr>
      <w:spacing w:before="100" w:beforeAutospacing="1" w:after="100" w:afterAutospacing="1" w:line="240" w:lineRule="auto"/>
      <w:jc w:val="center"/>
      <w:textAlignment w:val="center"/>
    </w:pPr>
    <w:rPr>
      <w:rFonts w:ascii="Arial Narrow" w:hAnsi="Arial Narrow"/>
      <w:b/>
      <w:bCs/>
      <w:sz w:val="10"/>
      <w:szCs w:val="10"/>
    </w:rPr>
  </w:style>
  <w:style w:type="character" w:customStyle="1" w:styleId="normaltextrun">
    <w:name w:val="normaltextrun"/>
    <w:basedOn w:val="Domylnaczcionkaakapitu"/>
    <w:rsid w:val="005E5299"/>
  </w:style>
  <w:style w:type="character" w:customStyle="1" w:styleId="markedcontent">
    <w:name w:val="markedcontent"/>
    <w:basedOn w:val="Domylnaczcionkaakapitu"/>
    <w:rsid w:val="00393D1B"/>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
    <w:basedOn w:val="Domylnaczcionkaakapitu"/>
    <w:link w:val="Akapitzlist"/>
    <w:uiPriority w:val="34"/>
    <w:qFormat/>
    <w:rsid w:val="00866929"/>
    <w:rPr>
      <w:rFonts w:ascii="Arial" w:hAnsi="Arial"/>
      <w:sz w:val="24"/>
      <w:szCs w:val="24"/>
    </w:rPr>
  </w:style>
  <w:style w:type="paragraph" w:customStyle="1" w:styleId="przypisdolnymm">
    <w:name w:val="przypis dolny mm"/>
    <w:basedOn w:val="Tekstprzypisudolnego"/>
    <w:link w:val="przypisdolnymmZnak"/>
    <w:qFormat/>
    <w:rsid w:val="00866929"/>
    <w:pPr>
      <w:tabs>
        <w:tab w:val="clear" w:pos="851"/>
      </w:tabs>
      <w:spacing w:before="60" w:after="60" w:line="240" w:lineRule="auto"/>
      <w:ind w:firstLine="0"/>
      <w:jc w:val="left"/>
    </w:pPr>
    <w:rPr>
      <w:rFonts w:ascii="Calibri" w:hAnsi="Calibri" w:cs="Calibri"/>
      <w:i w:val="0"/>
      <w:sz w:val="16"/>
      <w:szCs w:val="16"/>
      <w:lang w:val="pl-PL" w:eastAsia="pl-PL"/>
    </w:rPr>
  </w:style>
  <w:style w:type="character" w:customStyle="1" w:styleId="przypisdolnymmZnak">
    <w:name w:val="przypis dolny mm Znak"/>
    <w:basedOn w:val="TekstprzypisudolnegoZnak"/>
    <w:link w:val="przypisdolnymm"/>
    <w:rsid w:val="00866929"/>
    <w:rPr>
      <w:rFonts w:ascii="Calibri" w:hAnsi="Calibri" w:cs="Calibri"/>
      <w:i w:val="0"/>
      <w:sz w:val="16"/>
      <w:szCs w:val="16"/>
    </w:rPr>
  </w:style>
  <w:style w:type="character" w:customStyle="1" w:styleId="Nagwek1Znak">
    <w:name w:val="Nagłówek 1 Znak"/>
    <w:basedOn w:val="Domylnaczcionkaakapitu"/>
    <w:link w:val="Nagwek1"/>
    <w:rsid w:val="00CF3AC6"/>
    <w:rPr>
      <w:rFonts w:ascii="Arial" w:hAnsi="Arial" w:cs="Arial"/>
      <w:b/>
      <w:bCs/>
      <w:kern w:val="32"/>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2">
      <w:bodyDiv w:val="1"/>
      <w:marLeft w:val="0"/>
      <w:marRight w:val="0"/>
      <w:marTop w:val="0"/>
      <w:marBottom w:val="0"/>
      <w:divBdr>
        <w:top w:val="none" w:sz="0" w:space="0" w:color="auto"/>
        <w:left w:val="none" w:sz="0" w:space="0" w:color="auto"/>
        <w:bottom w:val="none" w:sz="0" w:space="0" w:color="auto"/>
        <w:right w:val="none" w:sz="0" w:space="0" w:color="auto"/>
      </w:divBdr>
    </w:div>
    <w:div w:id="1667707">
      <w:bodyDiv w:val="1"/>
      <w:marLeft w:val="0"/>
      <w:marRight w:val="0"/>
      <w:marTop w:val="0"/>
      <w:marBottom w:val="0"/>
      <w:divBdr>
        <w:top w:val="none" w:sz="0" w:space="0" w:color="auto"/>
        <w:left w:val="none" w:sz="0" w:space="0" w:color="auto"/>
        <w:bottom w:val="none" w:sz="0" w:space="0" w:color="auto"/>
        <w:right w:val="none" w:sz="0" w:space="0" w:color="auto"/>
      </w:divBdr>
    </w:div>
    <w:div w:id="1977097">
      <w:bodyDiv w:val="1"/>
      <w:marLeft w:val="0"/>
      <w:marRight w:val="0"/>
      <w:marTop w:val="0"/>
      <w:marBottom w:val="0"/>
      <w:divBdr>
        <w:top w:val="none" w:sz="0" w:space="0" w:color="auto"/>
        <w:left w:val="none" w:sz="0" w:space="0" w:color="auto"/>
        <w:bottom w:val="none" w:sz="0" w:space="0" w:color="auto"/>
        <w:right w:val="none" w:sz="0" w:space="0" w:color="auto"/>
      </w:divBdr>
    </w:div>
    <w:div w:id="4134410">
      <w:bodyDiv w:val="1"/>
      <w:marLeft w:val="0"/>
      <w:marRight w:val="0"/>
      <w:marTop w:val="0"/>
      <w:marBottom w:val="0"/>
      <w:divBdr>
        <w:top w:val="none" w:sz="0" w:space="0" w:color="auto"/>
        <w:left w:val="none" w:sz="0" w:space="0" w:color="auto"/>
        <w:bottom w:val="none" w:sz="0" w:space="0" w:color="auto"/>
        <w:right w:val="none" w:sz="0" w:space="0" w:color="auto"/>
      </w:divBdr>
    </w:div>
    <w:div w:id="6835648">
      <w:bodyDiv w:val="1"/>
      <w:marLeft w:val="0"/>
      <w:marRight w:val="0"/>
      <w:marTop w:val="0"/>
      <w:marBottom w:val="0"/>
      <w:divBdr>
        <w:top w:val="none" w:sz="0" w:space="0" w:color="auto"/>
        <w:left w:val="none" w:sz="0" w:space="0" w:color="auto"/>
        <w:bottom w:val="none" w:sz="0" w:space="0" w:color="auto"/>
        <w:right w:val="none" w:sz="0" w:space="0" w:color="auto"/>
      </w:divBdr>
    </w:div>
    <w:div w:id="7172686">
      <w:bodyDiv w:val="1"/>
      <w:marLeft w:val="0"/>
      <w:marRight w:val="0"/>
      <w:marTop w:val="0"/>
      <w:marBottom w:val="0"/>
      <w:divBdr>
        <w:top w:val="none" w:sz="0" w:space="0" w:color="auto"/>
        <w:left w:val="none" w:sz="0" w:space="0" w:color="auto"/>
        <w:bottom w:val="none" w:sz="0" w:space="0" w:color="auto"/>
        <w:right w:val="none" w:sz="0" w:space="0" w:color="auto"/>
      </w:divBdr>
    </w:div>
    <w:div w:id="8139020">
      <w:bodyDiv w:val="1"/>
      <w:marLeft w:val="0"/>
      <w:marRight w:val="0"/>
      <w:marTop w:val="0"/>
      <w:marBottom w:val="0"/>
      <w:divBdr>
        <w:top w:val="none" w:sz="0" w:space="0" w:color="auto"/>
        <w:left w:val="none" w:sz="0" w:space="0" w:color="auto"/>
        <w:bottom w:val="none" w:sz="0" w:space="0" w:color="auto"/>
        <w:right w:val="none" w:sz="0" w:space="0" w:color="auto"/>
      </w:divBdr>
    </w:div>
    <w:div w:id="13699506">
      <w:bodyDiv w:val="1"/>
      <w:marLeft w:val="0"/>
      <w:marRight w:val="0"/>
      <w:marTop w:val="0"/>
      <w:marBottom w:val="0"/>
      <w:divBdr>
        <w:top w:val="none" w:sz="0" w:space="0" w:color="auto"/>
        <w:left w:val="none" w:sz="0" w:space="0" w:color="auto"/>
        <w:bottom w:val="none" w:sz="0" w:space="0" w:color="auto"/>
        <w:right w:val="none" w:sz="0" w:space="0" w:color="auto"/>
      </w:divBdr>
    </w:div>
    <w:div w:id="15162122">
      <w:bodyDiv w:val="1"/>
      <w:marLeft w:val="0"/>
      <w:marRight w:val="0"/>
      <w:marTop w:val="0"/>
      <w:marBottom w:val="0"/>
      <w:divBdr>
        <w:top w:val="none" w:sz="0" w:space="0" w:color="auto"/>
        <w:left w:val="none" w:sz="0" w:space="0" w:color="auto"/>
        <w:bottom w:val="none" w:sz="0" w:space="0" w:color="auto"/>
        <w:right w:val="none" w:sz="0" w:space="0" w:color="auto"/>
      </w:divBdr>
    </w:div>
    <w:div w:id="16780523">
      <w:bodyDiv w:val="1"/>
      <w:marLeft w:val="0"/>
      <w:marRight w:val="0"/>
      <w:marTop w:val="0"/>
      <w:marBottom w:val="0"/>
      <w:divBdr>
        <w:top w:val="none" w:sz="0" w:space="0" w:color="auto"/>
        <w:left w:val="none" w:sz="0" w:space="0" w:color="auto"/>
        <w:bottom w:val="none" w:sz="0" w:space="0" w:color="auto"/>
        <w:right w:val="none" w:sz="0" w:space="0" w:color="auto"/>
      </w:divBdr>
    </w:div>
    <w:div w:id="24063144">
      <w:bodyDiv w:val="1"/>
      <w:marLeft w:val="0"/>
      <w:marRight w:val="0"/>
      <w:marTop w:val="0"/>
      <w:marBottom w:val="0"/>
      <w:divBdr>
        <w:top w:val="none" w:sz="0" w:space="0" w:color="auto"/>
        <w:left w:val="none" w:sz="0" w:space="0" w:color="auto"/>
        <w:bottom w:val="none" w:sz="0" w:space="0" w:color="auto"/>
        <w:right w:val="none" w:sz="0" w:space="0" w:color="auto"/>
      </w:divBdr>
    </w:div>
    <w:div w:id="25837418">
      <w:bodyDiv w:val="1"/>
      <w:marLeft w:val="0"/>
      <w:marRight w:val="0"/>
      <w:marTop w:val="0"/>
      <w:marBottom w:val="0"/>
      <w:divBdr>
        <w:top w:val="none" w:sz="0" w:space="0" w:color="auto"/>
        <w:left w:val="none" w:sz="0" w:space="0" w:color="auto"/>
        <w:bottom w:val="none" w:sz="0" w:space="0" w:color="auto"/>
        <w:right w:val="none" w:sz="0" w:space="0" w:color="auto"/>
      </w:divBdr>
    </w:div>
    <w:div w:id="26108342">
      <w:bodyDiv w:val="1"/>
      <w:marLeft w:val="0"/>
      <w:marRight w:val="0"/>
      <w:marTop w:val="0"/>
      <w:marBottom w:val="0"/>
      <w:divBdr>
        <w:top w:val="none" w:sz="0" w:space="0" w:color="auto"/>
        <w:left w:val="none" w:sz="0" w:space="0" w:color="auto"/>
        <w:bottom w:val="none" w:sz="0" w:space="0" w:color="auto"/>
        <w:right w:val="none" w:sz="0" w:space="0" w:color="auto"/>
      </w:divBdr>
    </w:div>
    <w:div w:id="27144678">
      <w:bodyDiv w:val="1"/>
      <w:marLeft w:val="0"/>
      <w:marRight w:val="0"/>
      <w:marTop w:val="0"/>
      <w:marBottom w:val="0"/>
      <w:divBdr>
        <w:top w:val="none" w:sz="0" w:space="0" w:color="auto"/>
        <w:left w:val="none" w:sz="0" w:space="0" w:color="auto"/>
        <w:bottom w:val="none" w:sz="0" w:space="0" w:color="auto"/>
        <w:right w:val="none" w:sz="0" w:space="0" w:color="auto"/>
      </w:divBdr>
    </w:div>
    <w:div w:id="29036732">
      <w:bodyDiv w:val="1"/>
      <w:marLeft w:val="0"/>
      <w:marRight w:val="0"/>
      <w:marTop w:val="0"/>
      <w:marBottom w:val="0"/>
      <w:divBdr>
        <w:top w:val="none" w:sz="0" w:space="0" w:color="auto"/>
        <w:left w:val="none" w:sz="0" w:space="0" w:color="auto"/>
        <w:bottom w:val="none" w:sz="0" w:space="0" w:color="auto"/>
        <w:right w:val="none" w:sz="0" w:space="0" w:color="auto"/>
      </w:divBdr>
    </w:div>
    <w:div w:id="30418784">
      <w:bodyDiv w:val="1"/>
      <w:marLeft w:val="0"/>
      <w:marRight w:val="0"/>
      <w:marTop w:val="0"/>
      <w:marBottom w:val="0"/>
      <w:divBdr>
        <w:top w:val="none" w:sz="0" w:space="0" w:color="auto"/>
        <w:left w:val="none" w:sz="0" w:space="0" w:color="auto"/>
        <w:bottom w:val="none" w:sz="0" w:space="0" w:color="auto"/>
        <w:right w:val="none" w:sz="0" w:space="0" w:color="auto"/>
      </w:divBdr>
    </w:div>
    <w:div w:id="30425168">
      <w:bodyDiv w:val="1"/>
      <w:marLeft w:val="0"/>
      <w:marRight w:val="0"/>
      <w:marTop w:val="0"/>
      <w:marBottom w:val="0"/>
      <w:divBdr>
        <w:top w:val="none" w:sz="0" w:space="0" w:color="auto"/>
        <w:left w:val="none" w:sz="0" w:space="0" w:color="auto"/>
        <w:bottom w:val="none" w:sz="0" w:space="0" w:color="auto"/>
        <w:right w:val="none" w:sz="0" w:space="0" w:color="auto"/>
      </w:divBdr>
    </w:div>
    <w:div w:id="30955986">
      <w:bodyDiv w:val="1"/>
      <w:marLeft w:val="0"/>
      <w:marRight w:val="0"/>
      <w:marTop w:val="0"/>
      <w:marBottom w:val="0"/>
      <w:divBdr>
        <w:top w:val="none" w:sz="0" w:space="0" w:color="auto"/>
        <w:left w:val="none" w:sz="0" w:space="0" w:color="auto"/>
        <w:bottom w:val="none" w:sz="0" w:space="0" w:color="auto"/>
        <w:right w:val="none" w:sz="0" w:space="0" w:color="auto"/>
      </w:divBdr>
    </w:div>
    <w:div w:id="32119311">
      <w:bodyDiv w:val="1"/>
      <w:marLeft w:val="0"/>
      <w:marRight w:val="0"/>
      <w:marTop w:val="0"/>
      <w:marBottom w:val="0"/>
      <w:divBdr>
        <w:top w:val="none" w:sz="0" w:space="0" w:color="auto"/>
        <w:left w:val="none" w:sz="0" w:space="0" w:color="auto"/>
        <w:bottom w:val="none" w:sz="0" w:space="0" w:color="auto"/>
        <w:right w:val="none" w:sz="0" w:space="0" w:color="auto"/>
      </w:divBdr>
    </w:div>
    <w:div w:id="33501768">
      <w:bodyDiv w:val="1"/>
      <w:marLeft w:val="0"/>
      <w:marRight w:val="0"/>
      <w:marTop w:val="0"/>
      <w:marBottom w:val="0"/>
      <w:divBdr>
        <w:top w:val="none" w:sz="0" w:space="0" w:color="auto"/>
        <w:left w:val="none" w:sz="0" w:space="0" w:color="auto"/>
        <w:bottom w:val="none" w:sz="0" w:space="0" w:color="auto"/>
        <w:right w:val="none" w:sz="0" w:space="0" w:color="auto"/>
      </w:divBdr>
    </w:div>
    <w:div w:id="33771295">
      <w:bodyDiv w:val="1"/>
      <w:marLeft w:val="0"/>
      <w:marRight w:val="0"/>
      <w:marTop w:val="0"/>
      <w:marBottom w:val="0"/>
      <w:divBdr>
        <w:top w:val="none" w:sz="0" w:space="0" w:color="auto"/>
        <w:left w:val="none" w:sz="0" w:space="0" w:color="auto"/>
        <w:bottom w:val="none" w:sz="0" w:space="0" w:color="auto"/>
        <w:right w:val="none" w:sz="0" w:space="0" w:color="auto"/>
      </w:divBdr>
    </w:div>
    <w:div w:id="35005390">
      <w:bodyDiv w:val="1"/>
      <w:marLeft w:val="0"/>
      <w:marRight w:val="0"/>
      <w:marTop w:val="0"/>
      <w:marBottom w:val="0"/>
      <w:divBdr>
        <w:top w:val="none" w:sz="0" w:space="0" w:color="auto"/>
        <w:left w:val="none" w:sz="0" w:space="0" w:color="auto"/>
        <w:bottom w:val="none" w:sz="0" w:space="0" w:color="auto"/>
        <w:right w:val="none" w:sz="0" w:space="0" w:color="auto"/>
      </w:divBdr>
    </w:div>
    <w:div w:id="35350988">
      <w:bodyDiv w:val="1"/>
      <w:marLeft w:val="0"/>
      <w:marRight w:val="0"/>
      <w:marTop w:val="0"/>
      <w:marBottom w:val="0"/>
      <w:divBdr>
        <w:top w:val="none" w:sz="0" w:space="0" w:color="auto"/>
        <w:left w:val="none" w:sz="0" w:space="0" w:color="auto"/>
        <w:bottom w:val="none" w:sz="0" w:space="0" w:color="auto"/>
        <w:right w:val="none" w:sz="0" w:space="0" w:color="auto"/>
      </w:divBdr>
    </w:div>
    <w:div w:id="36392648">
      <w:bodyDiv w:val="1"/>
      <w:marLeft w:val="0"/>
      <w:marRight w:val="0"/>
      <w:marTop w:val="0"/>
      <w:marBottom w:val="0"/>
      <w:divBdr>
        <w:top w:val="none" w:sz="0" w:space="0" w:color="auto"/>
        <w:left w:val="none" w:sz="0" w:space="0" w:color="auto"/>
        <w:bottom w:val="none" w:sz="0" w:space="0" w:color="auto"/>
        <w:right w:val="none" w:sz="0" w:space="0" w:color="auto"/>
      </w:divBdr>
    </w:div>
    <w:div w:id="38481001">
      <w:bodyDiv w:val="1"/>
      <w:marLeft w:val="0"/>
      <w:marRight w:val="0"/>
      <w:marTop w:val="0"/>
      <w:marBottom w:val="0"/>
      <w:divBdr>
        <w:top w:val="none" w:sz="0" w:space="0" w:color="auto"/>
        <w:left w:val="none" w:sz="0" w:space="0" w:color="auto"/>
        <w:bottom w:val="none" w:sz="0" w:space="0" w:color="auto"/>
        <w:right w:val="none" w:sz="0" w:space="0" w:color="auto"/>
      </w:divBdr>
    </w:div>
    <w:div w:id="39288131">
      <w:bodyDiv w:val="1"/>
      <w:marLeft w:val="0"/>
      <w:marRight w:val="0"/>
      <w:marTop w:val="0"/>
      <w:marBottom w:val="0"/>
      <w:divBdr>
        <w:top w:val="none" w:sz="0" w:space="0" w:color="auto"/>
        <w:left w:val="none" w:sz="0" w:space="0" w:color="auto"/>
        <w:bottom w:val="none" w:sz="0" w:space="0" w:color="auto"/>
        <w:right w:val="none" w:sz="0" w:space="0" w:color="auto"/>
      </w:divBdr>
    </w:div>
    <w:div w:id="40132149">
      <w:bodyDiv w:val="1"/>
      <w:marLeft w:val="0"/>
      <w:marRight w:val="0"/>
      <w:marTop w:val="0"/>
      <w:marBottom w:val="0"/>
      <w:divBdr>
        <w:top w:val="none" w:sz="0" w:space="0" w:color="auto"/>
        <w:left w:val="none" w:sz="0" w:space="0" w:color="auto"/>
        <w:bottom w:val="none" w:sz="0" w:space="0" w:color="auto"/>
        <w:right w:val="none" w:sz="0" w:space="0" w:color="auto"/>
      </w:divBdr>
    </w:div>
    <w:div w:id="40712050">
      <w:bodyDiv w:val="1"/>
      <w:marLeft w:val="0"/>
      <w:marRight w:val="0"/>
      <w:marTop w:val="0"/>
      <w:marBottom w:val="0"/>
      <w:divBdr>
        <w:top w:val="none" w:sz="0" w:space="0" w:color="auto"/>
        <w:left w:val="none" w:sz="0" w:space="0" w:color="auto"/>
        <w:bottom w:val="none" w:sz="0" w:space="0" w:color="auto"/>
        <w:right w:val="none" w:sz="0" w:space="0" w:color="auto"/>
      </w:divBdr>
    </w:div>
    <w:div w:id="44138078">
      <w:bodyDiv w:val="1"/>
      <w:marLeft w:val="0"/>
      <w:marRight w:val="0"/>
      <w:marTop w:val="0"/>
      <w:marBottom w:val="0"/>
      <w:divBdr>
        <w:top w:val="none" w:sz="0" w:space="0" w:color="auto"/>
        <w:left w:val="none" w:sz="0" w:space="0" w:color="auto"/>
        <w:bottom w:val="none" w:sz="0" w:space="0" w:color="auto"/>
        <w:right w:val="none" w:sz="0" w:space="0" w:color="auto"/>
      </w:divBdr>
    </w:div>
    <w:div w:id="44763416">
      <w:bodyDiv w:val="1"/>
      <w:marLeft w:val="0"/>
      <w:marRight w:val="0"/>
      <w:marTop w:val="0"/>
      <w:marBottom w:val="0"/>
      <w:divBdr>
        <w:top w:val="none" w:sz="0" w:space="0" w:color="auto"/>
        <w:left w:val="none" w:sz="0" w:space="0" w:color="auto"/>
        <w:bottom w:val="none" w:sz="0" w:space="0" w:color="auto"/>
        <w:right w:val="none" w:sz="0" w:space="0" w:color="auto"/>
      </w:divBdr>
    </w:div>
    <w:div w:id="45765386">
      <w:bodyDiv w:val="1"/>
      <w:marLeft w:val="0"/>
      <w:marRight w:val="0"/>
      <w:marTop w:val="0"/>
      <w:marBottom w:val="0"/>
      <w:divBdr>
        <w:top w:val="none" w:sz="0" w:space="0" w:color="auto"/>
        <w:left w:val="none" w:sz="0" w:space="0" w:color="auto"/>
        <w:bottom w:val="none" w:sz="0" w:space="0" w:color="auto"/>
        <w:right w:val="none" w:sz="0" w:space="0" w:color="auto"/>
      </w:divBdr>
    </w:div>
    <w:div w:id="47464268">
      <w:bodyDiv w:val="1"/>
      <w:marLeft w:val="0"/>
      <w:marRight w:val="0"/>
      <w:marTop w:val="0"/>
      <w:marBottom w:val="0"/>
      <w:divBdr>
        <w:top w:val="none" w:sz="0" w:space="0" w:color="auto"/>
        <w:left w:val="none" w:sz="0" w:space="0" w:color="auto"/>
        <w:bottom w:val="none" w:sz="0" w:space="0" w:color="auto"/>
        <w:right w:val="none" w:sz="0" w:space="0" w:color="auto"/>
      </w:divBdr>
    </w:div>
    <w:div w:id="49696426">
      <w:bodyDiv w:val="1"/>
      <w:marLeft w:val="0"/>
      <w:marRight w:val="0"/>
      <w:marTop w:val="0"/>
      <w:marBottom w:val="0"/>
      <w:divBdr>
        <w:top w:val="none" w:sz="0" w:space="0" w:color="auto"/>
        <w:left w:val="none" w:sz="0" w:space="0" w:color="auto"/>
        <w:bottom w:val="none" w:sz="0" w:space="0" w:color="auto"/>
        <w:right w:val="none" w:sz="0" w:space="0" w:color="auto"/>
      </w:divBdr>
    </w:div>
    <w:div w:id="50004304">
      <w:bodyDiv w:val="1"/>
      <w:marLeft w:val="0"/>
      <w:marRight w:val="0"/>
      <w:marTop w:val="0"/>
      <w:marBottom w:val="0"/>
      <w:divBdr>
        <w:top w:val="none" w:sz="0" w:space="0" w:color="auto"/>
        <w:left w:val="none" w:sz="0" w:space="0" w:color="auto"/>
        <w:bottom w:val="none" w:sz="0" w:space="0" w:color="auto"/>
        <w:right w:val="none" w:sz="0" w:space="0" w:color="auto"/>
      </w:divBdr>
    </w:div>
    <w:div w:id="51075738">
      <w:bodyDiv w:val="1"/>
      <w:marLeft w:val="0"/>
      <w:marRight w:val="0"/>
      <w:marTop w:val="0"/>
      <w:marBottom w:val="0"/>
      <w:divBdr>
        <w:top w:val="none" w:sz="0" w:space="0" w:color="auto"/>
        <w:left w:val="none" w:sz="0" w:space="0" w:color="auto"/>
        <w:bottom w:val="none" w:sz="0" w:space="0" w:color="auto"/>
        <w:right w:val="none" w:sz="0" w:space="0" w:color="auto"/>
      </w:divBdr>
    </w:div>
    <w:div w:id="52579963">
      <w:bodyDiv w:val="1"/>
      <w:marLeft w:val="0"/>
      <w:marRight w:val="0"/>
      <w:marTop w:val="0"/>
      <w:marBottom w:val="0"/>
      <w:divBdr>
        <w:top w:val="none" w:sz="0" w:space="0" w:color="auto"/>
        <w:left w:val="none" w:sz="0" w:space="0" w:color="auto"/>
        <w:bottom w:val="none" w:sz="0" w:space="0" w:color="auto"/>
        <w:right w:val="none" w:sz="0" w:space="0" w:color="auto"/>
      </w:divBdr>
    </w:div>
    <w:div w:id="52780811">
      <w:bodyDiv w:val="1"/>
      <w:marLeft w:val="0"/>
      <w:marRight w:val="0"/>
      <w:marTop w:val="0"/>
      <w:marBottom w:val="0"/>
      <w:divBdr>
        <w:top w:val="none" w:sz="0" w:space="0" w:color="auto"/>
        <w:left w:val="none" w:sz="0" w:space="0" w:color="auto"/>
        <w:bottom w:val="none" w:sz="0" w:space="0" w:color="auto"/>
        <w:right w:val="none" w:sz="0" w:space="0" w:color="auto"/>
      </w:divBdr>
    </w:div>
    <w:div w:id="53549273">
      <w:bodyDiv w:val="1"/>
      <w:marLeft w:val="0"/>
      <w:marRight w:val="0"/>
      <w:marTop w:val="0"/>
      <w:marBottom w:val="0"/>
      <w:divBdr>
        <w:top w:val="none" w:sz="0" w:space="0" w:color="auto"/>
        <w:left w:val="none" w:sz="0" w:space="0" w:color="auto"/>
        <w:bottom w:val="none" w:sz="0" w:space="0" w:color="auto"/>
        <w:right w:val="none" w:sz="0" w:space="0" w:color="auto"/>
      </w:divBdr>
    </w:div>
    <w:div w:id="55906569">
      <w:bodyDiv w:val="1"/>
      <w:marLeft w:val="0"/>
      <w:marRight w:val="0"/>
      <w:marTop w:val="0"/>
      <w:marBottom w:val="0"/>
      <w:divBdr>
        <w:top w:val="none" w:sz="0" w:space="0" w:color="auto"/>
        <w:left w:val="none" w:sz="0" w:space="0" w:color="auto"/>
        <w:bottom w:val="none" w:sz="0" w:space="0" w:color="auto"/>
        <w:right w:val="none" w:sz="0" w:space="0" w:color="auto"/>
      </w:divBdr>
    </w:div>
    <w:div w:id="56171450">
      <w:bodyDiv w:val="1"/>
      <w:marLeft w:val="0"/>
      <w:marRight w:val="0"/>
      <w:marTop w:val="0"/>
      <w:marBottom w:val="0"/>
      <w:divBdr>
        <w:top w:val="none" w:sz="0" w:space="0" w:color="auto"/>
        <w:left w:val="none" w:sz="0" w:space="0" w:color="auto"/>
        <w:bottom w:val="none" w:sz="0" w:space="0" w:color="auto"/>
        <w:right w:val="none" w:sz="0" w:space="0" w:color="auto"/>
      </w:divBdr>
    </w:div>
    <w:div w:id="56366242">
      <w:bodyDiv w:val="1"/>
      <w:marLeft w:val="0"/>
      <w:marRight w:val="0"/>
      <w:marTop w:val="0"/>
      <w:marBottom w:val="0"/>
      <w:divBdr>
        <w:top w:val="none" w:sz="0" w:space="0" w:color="auto"/>
        <w:left w:val="none" w:sz="0" w:space="0" w:color="auto"/>
        <w:bottom w:val="none" w:sz="0" w:space="0" w:color="auto"/>
        <w:right w:val="none" w:sz="0" w:space="0" w:color="auto"/>
      </w:divBdr>
    </w:div>
    <w:div w:id="56561370">
      <w:bodyDiv w:val="1"/>
      <w:marLeft w:val="0"/>
      <w:marRight w:val="0"/>
      <w:marTop w:val="0"/>
      <w:marBottom w:val="0"/>
      <w:divBdr>
        <w:top w:val="none" w:sz="0" w:space="0" w:color="auto"/>
        <w:left w:val="none" w:sz="0" w:space="0" w:color="auto"/>
        <w:bottom w:val="none" w:sz="0" w:space="0" w:color="auto"/>
        <w:right w:val="none" w:sz="0" w:space="0" w:color="auto"/>
      </w:divBdr>
    </w:div>
    <w:div w:id="58022321">
      <w:bodyDiv w:val="1"/>
      <w:marLeft w:val="0"/>
      <w:marRight w:val="0"/>
      <w:marTop w:val="0"/>
      <w:marBottom w:val="0"/>
      <w:divBdr>
        <w:top w:val="none" w:sz="0" w:space="0" w:color="auto"/>
        <w:left w:val="none" w:sz="0" w:space="0" w:color="auto"/>
        <w:bottom w:val="none" w:sz="0" w:space="0" w:color="auto"/>
        <w:right w:val="none" w:sz="0" w:space="0" w:color="auto"/>
      </w:divBdr>
    </w:div>
    <w:div w:id="58945695">
      <w:bodyDiv w:val="1"/>
      <w:marLeft w:val="0"/>
      <w:marRight w:val="0"/>
      <w:marTop w:val="0"/>
      <w:marBottom w:val="0"/>
      <w:divBdr>
        <w:top w:val="none" w:sz="0" w:space="0" w:color="auto"/>
        <w:left w:val="none" w:sz="0" w:space="0" w:color="auto"/>
        <w:bottom w:val="none" w:sz="0" w:space="0" w:color="auto"/>
        <w:right w:val="none" w:sz="0" w:space="0" w:color="auto"/>
      </w:divBdr>
    </w:div>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59864484">
      <w:bodyDiv w:val="1"/>
      <w:marLeft w:val="0"/>
      <w:marRight w:val="0"/>
      <w:marTop w:val="0"/>
      <w:marBottom w:val="0"/>
      <w:divBdr>
        <w:top w:val="none" w:sz="0" w:space="0" w:color="auto"/>
        <w:left w:val="none" w:sz="0" w:space="0" w:color="auto"/>
        <w:bottom w:val="none" w:sz="0" w:space="0" w:color="auto"/>
        <w:right w:val="none" w:sz="0" w:space="0" w:color="auto"/>
      </w:divBdr>
    </w:div>
    <w:div w:id="64569126">
      <w:bodyDiv w:val="1"/>
      <w:marLeft w:val="0"/>
      <w:marRight w:val="0"/>
      <w:marTop w:val="0"/>
      <w:marBottom w:val="0"/>
      <w:divBdr>
        <w:top w:val="none" w:sz="0" w:space="0" w:color="auto"/>
        <w:left w:val="none" w:sz="0" w:space="0" w:color="auto"/>
        <w:bottom w:val="none" w:sz="0" w:space="0" w:color="auto"/>
        <w:right w:val="none" w:sz="0" w:space="0" w:color="auto"/>
      </w:divBdr>
    </w:div>
    <w:div w:id="65538745">
      <w:bodyDiv w:val="1"/>
      <w:marLeft w:val="0"/>
      <w:marRight w:val="0"/>
      <w:marTop w:val="0"/>
      <w:marBottom w:val="0"/>
      <w:divBdr>
        <w:top w:val="none" w:sz="0" w:space="0" w:color="auto"/>
        <w:left w:val="none" w:sz="0" w:space="0" w:color="auto"/>
        <w:bottom w:val="none" w:sz="0" w:space="0" w:color="auto"/>
        <w:right w:val="none" w:sz="0" w:space="0" w:color="auto"/>
      </w:divBdr>
    </w:div>
    <w:div w:id="65685407">
      <w:bodyDiv w:val="1"/>
      <w:marLeft w:val="0"/>
      <w:marRight w:val="0"/>
      <w:marTop w:val="0"/>
      <w:marBottom w:val="0"/>
      <w:divBdr>
        <w:top w:val="none" w:sz="0" w:space="0" w:color="auto"/>
        <w:left w:val="none" w:sz="0" w:space="0" w:color="auto"/>
        <w:bottom w:val="none" w:sz="0" w:space="0" w:color="auto"/>
        <w:right w:val="none" w:sz="0" w:space="0" w:color="auto"/>
      </w:divBdr>
    </w:div>
    <w:div w:id="65759997">
      <w:bodyDiv w:val="1"/>
      <w:marLeft w:val="0"/>
      <w:marRight w:val="0"/>
      <w:marTop w:val="0"/>
      <w:marBottom w:val="0"/>
      <w:divBdr>
        <w:top w:val="none" w:sz="0" w:space="0" w:color="auto"/>
        <w:left w:val="none" w:sz="0" w:space="0" w:color="auto"/>
        <w:bottom w:val="none" w:sz="0" w:space="0" w:color="auto"/>
        <w:right w:val="none" w:sz="0" w:space="0" w:color="auto"/>
      </w:divBdr>
    </w:div>
    <w:div w:id="67072408">
      <w:bodyDiv w:val="1"/>
      <w:marLeft w:val="0"/>
      <w:marRight w:val="0"/>
      <w:marTop w:val="0"/>
      <w:marBottom w:val="0"/>
      <w:divBdr>
        <w:top w:val="none" w:sz="0" w:space="0" w:color="auto"/>
        <w:left w:val="none" w:sz="0" w:space="0" w:color="auto"/>
        <w:bottom w:val="none" w:sz="0" w:space="0" w:color="auto"/>
        <w:right w:val="none" w:sz="0" w:space="0" w:color="auto"/>
      </w:divBdr>
    </w:div>
    <w:div w:id="68433321">
      <w:bodyDiv w:val="1"/>
      <w:marLeft w:val="0"/>
      <w:marRight w:val="0"/>
      <w:marTop w:val="0"/>
      <w:marBottom w:val="0"/>
      <w:divBdr>
        <w:top w:val="none" w:sz="0" w:space="0" w:color="auto"/>
        <w:left w:val="none" w:sz="0" w:space="0" w:color="auto"/>
        <w:bottom w:val="none" w:sz="0" w:space="0" w:color="auto"/>
        <w:right w:val="none" w:sz="0" w:space="0" w:color="auto"/>
      </w:divBdr>
    </w:div>
    <w:div w:id="68618515">
      <w:bodyDiv w:val="1"/>
      <w:marLeft w:val="0"/>
      <w:marRight w:val="0"/>
      <w:marTop w:val="0"/>
      <w:marBottom w:val="0"/>
      <w:divBdr>
        <w:top w:val="none" w:sz="0" w:space="0" w:color="auto"/>
        <w:left w:val="none" w:sz="0" w:space="0" w:color="auto"/>
        <w:bottom w:val="none" w:sz="0" w:space="0" w:color="auto"/>
        <w:right w:val="none" w:sz="0" w:space="0" w:color="auto"/>
      </w:divBdr>
    </w:div>
    <w:div w:id="69158412">
      <w:bodyDiv w:val="1"/>
      <w:marLeft w:val="0"/>
      <w:marRight w:val="0"/>
      <w:marTop w:val="0"/>
      <w:marBottom w:val="0"/>
      <w:divBdr>
        <w:top w:val="none" w:sz="0" w:space="0" w:color="auto"/>
        <w:left w:val="none" w:sz="0" w:space="0" w:color="auto"/>
        <w:bottom w:val="none" w:sz="0" w:space="0" w:color="auto"/>
        <w:right w:val="none" w:sz="0" w:space="0" w:color="auto"/>
      </w:divBdr>
    </w:div>
    <w:div w:id="72897297">
      <w:bodyDiv w:val="1"/>
      <w:marLeft w:val="0"/>
      <w:marRight w:val="0"/>
      <w:marTop w:val="0"/>
      <w:marBottom w:val="0"/>
      <w:divBdr>
        <w:top w:val="none" w:sz="0" w:space="0" w:color="auto"/>
        <w:left w:val="none" w:sz="0" w:space="0" w:color="auto"/>
        <w:bottom w:val="none" w:sz="0" w:space="0" w:color="auto"/>
        <w:right w:val="none" w:sz="0" w:space="0" w:color="auto"/>
      </w:divBdr>
    </w:div>
    <w:div w:id="78721603">
      <w:bodyDiv w:val="1"/>
      <w:marLeft w:val="0"/>
      <w:marRight w:val="0"/>
      <w:marTop w:val="0"/>
      <w:marBottom w:val="0"/>
      <w:divBdr>
        <w:top w:val="none" w:sz="0" w:space="0" w:color="auto"/>
        <w:left w:val="none" w:sz="0" w:space="0" w:color="auto"/>
        <w:bottom w:val="none" w:sz="0" w:space="0" w:color="auto"/>
        <w:right w:val="none" w:sz="0" w:space="0" w:color="auto"/>
      </w:divBdr>
    </w:div>
    <w:div w:id="79566402">
      <w:bodyDiv w:val="1"/>
      <w:marLeft w:val="0"/>
      <w:marRight w:val="0"/>
      <w:marTop w:val="0"/>
      <w:marBottom w:val="0"/>
      <w:divBdr>
        <w:top w:val="none" w:sz="0" w:space="0" w:color="auto"/>
        <w:left w:val="none" w:sz="0" w:space="0" w:color="auto"/>
        <w:bottom w:val="none" w:sz="0" w:space="0" w:color="auto"/>
        <w:right w:val="none" w:sz="0" w:space="0" w:color="auto"/>
      </w:divBdr>
    </w:div>
    <w:div w:id="81226681">
      <w:bodyDiv w:val="1"/>
      <w:marLeft w:val="0"/>
      <w:marRight w:val="0"/>
      <w:marTop w:val="0"/>
      <w:marBottom w:val="0"/>
      <w:divBdr>
        <w:top w:val="none" w:sz="0" w:space="0" w:color="auto"/>
        <w:left w:val="none" w:sz="0" w:space="0" w:color="auto"/>
        <w:bottom w:val="none" w:sz="0" w:space="0" w:color="auto"/>
        <w:right w:val="none" w:sz="0" w:space="0" w:color="auto"/>
      </w:divBdr>
    </w:div>
    <w:div w:id="81687054">
      <w:bodyDiv w:val="1"/>
      <w:marLeft w:val="0"/>
      <w:marRight w:val="0"/>
      <w:marTop w:val="0"/>
      <w:marBottom w:val="0"/>
      <w:divBdr>
        <w:top w:val="none" w:sz="0" w:space="0" w:color="auto"/>
        <w:left w:val="none" w:sz="0" w:space="0" w:color="auto"/>
        <w:bottom w:val="none" w:sz="0" w:space="0" w:color="auto"/>
        <w:right w:val="none" w:sz="0" w:space="0" w:color="auto"/>
      </w:divBdr>
    </w:div>
    <w:div w:id="81878207">
      <w:bodyDiv w:val="1"/>
      <w:marLeft w:val="0"/>
      <w:marRight w:val="0"/>
      <w:marTop w:val="0"/>
      <w:marBottom w:val="0"/>
      <w:divBdr>
        <w:top w:val="none" w:sz="0" w:space="0" w:color="auto"/>
        <w:left w:val="none" w:sz="0" w:space="0" w:color="auto"/>
        <w:bottom w:val="none" w:sz="0" w:space="0" w:color="auto"/>
        <w:right w:val="none" w:sz="0" w:space="0" w:color="auto"/>
      </w:divBdr>
    </w:div>
    <w:div w:id="82143315">
      <w:bodyDiv w:val="1"/>
      <w:marLeft w:val="0"/>
      <w:marRight w:val="0"/>
      <w:marTop w:val="0"/>
      <w:marBottom w:val="0"/>
      <w:divBdr>
        <w:top w:val="none" w:sz="0" w:space="0" w:color="auto"/>
        <w:left w:val="none" w:sz="0" w:space="0" w:color="auto"/>
        <w:bottom w:val="none" w:sz="0" w:space="0" w:color="auto"/>
        <w:right w:val="none" w:sz="0" w:space="0" w:color="auto"/>
      </w:divBdr>
    </w:div>
    <w:div w:id="83378165">
      <w:bodyDiv w:val="1"/>
      <w:marLeft w:val="0"/>
      <w:marRight w:val="0"/>
      <w:marTop w:val="0"/>
      <w:marBottom w:val="0"/>
      <w:divBdr>
        <w:top w:val="none" w:sz="0" w:space="0" w:color="auto"/>
        <w:left w:val="none" w:sz="0" w:space="0" w:color="auto"/>
        <w:bottom w:val="none" w:sz="0" w:space="0" w:color="auto"/>
        <w:right w:val="none" w:sz="0" w:space="0" w:color="auto"/>
      </w:divBdr>
    </w:div>
    <w:div w:id="83692763">
      <w:bodyDiv w:val="1"/>
      <w:marLeft w:val="0"/>
      <w:marRight w:val="0"/>
      <w:marTop w:val="0"/>
      <w:marBottom w:val="0"/>
      <w:divBdr>
        <w:top w:val="none" w:sz="0" w:space="0" w:color="auto"/>
        <w:left w:val="none" w:sz="0" w:space="0" w:color="auto"/>
        <w:bottom w:val="none" w:sz="0" w:space="0" w:color="auto"/>
        <w:right w:val="none" w:sz="0" w:space="0" w:color="auto"/>
      </w:divBdr>
    </w:div>
    <w:div w:id="87889600">
      <w:bodyDiv w:val="1"/>
      <w:marLeft w:val="0"/>
      <w:marRight w:val="0"/>
      <w:marTop w:val="0"/>
      <w:marBottom w:val="0"/>
      <w:divBdr>
        <w:top w:val="none" w:sz="0" w:space="0" w:color="auto"/>
        <w:left w:val="none" w:sz="0" w:space="0" w:color="auto"/>
        <w:bottom w:val="none" w:sz="0" w:space="0" w:color="auto"/>
        <w:right w:val="none" w:sz="0" w:space="0" w:color="auto"/>
      </w:divBdr>
    </w:div>
    <w:div w:id="89160247">
      <w:bodyDiv w:val="1"/>
      <w:marLeft w:val="0"/>
      <w:marRight w:val="0"/>
      <w:marTop w:val="0"/>
      <w:marBottom w:val="0"/>
      <w:divBdr>
        <w:top w:val="none" w:sz="0" w:space="0" w:color="auto"/>
        <w:left w:val="none" w:sz="0" w:space="0" w:color="auto"/>
        <w:bottom w:val="none" w:sz="0" w:space="0" w:color="auto"/>
        <w:right w:val="none" w:sz="0" w:space="0" w:color="auto"/>
      </w:divBdr>
    </w:div>
    <w:div w:id="89208303">
      <w:bodyDiv w:val="1"/>
      <w:marLeft w:val="0"/>
      <w:marRight w:val="0"/>
      <w:marTop w:val="0"/>
      <w:marBottom w:val="0"/>
      <w:divBdr>
        <w:top w:val="none" w:sz="0" w:space="0" w:color="auto"/>
        <w:left w:val="none" w:sz="0" w:space="0" w:color="auto"/>
        <w:bottom w:val="none" w:sz="0" w:space="0" w:color="auto"/>
        <w:right w:val="none" w:sz="0" w:space="0" w:color="auto"/>
      </w:divBdr>
    </w:div>
    <w:div w:id="89353097">
      <w:bodyDiv w:val="1"/>
      <w:marLeft w:val="0"/>
      <w:marRight w:val="0"/>
      <w:marTop w:val="0"/>
      <w:marBottom w:val="0"/>
      <w:divBdr>
        <w:top w:val="none" w:sz="0" w:space="0" w:color="auto"/>
        <w:left w:val="none" w:sz="0" w:space="0" w:color="auto"/>
        <w:bottom w:val="none" w:sz="0" w:space="0" w:color="auto"/>
        <w:right w:val="none" w:sz="0" w:space="0" w:color="auto"/>
      </w:divBdr>
    </w:div>
    <w:div w:id="89663810">
      <w:bodyDiv w:val="1"/>
      <w:marLeft w:val="0"/>
      <w:marRight w:val="0"/>
      <w:marTop w:val="0"/>
      <w:marBottom w:val="0"/>
      <w:divBdr>
        <w:top w:val="none" w:sz="0" w:space="0" w:color="auto"/>
        <w:left w:val="none" w:sz="0" w:space="0" w:color="auto"/>
        <w:bottom w:val="none" w:sz="0" w:space="0" w:color="auto"/>
        <w:right w:val="none" w:sz="0" w:space="0" w:color="auto"/>
      </w:divBdr>
    </w:div>
    <w:div w:id="92824387">
      <w:bodyDiv w:val="1"/>
      <w:marLeft w:val="0"/>
      <w:marRight w:val="0"/>
      <w:marTop w:val="0"/>
      <w:marBottom w:val="0"/>
      <w:divBdr>
        <w:top w:val="none" w:sz="0" w:space="0" w:color="auto"/>
        <w:left w:val="none" w:sz="0" w:space="0" w:color="auto"/>
        <w:bottom w:val="none" w:sz="0" w:space="0" w:color="auto"/>
        <w:right w:val="none" w:sz="0" w:space="0" w:color="auto"/>
      </w:divBdr>
    </w:div>
    <w:div w:id="94983754">
      <w:bodyDiv w:val="1"/>
      <w:marLeft w:val="0"/>
      <w:marRight w:val="0"/>
      <w:marTop w:val="0"/>
      <w:marBottom w:val="0"/>
      <w:divBdr>
        <w:top w:val="none" w:sz="0" w:space="0" w:color="auto"/>
        <w:left w:val="none" w:sz="0" w:space="0" w:color="auto"/>
        <w:bottom w:val="none" w:sz="0" w:space="0" w:color="auto"/>
        <w:right w:val="none" w:sz="0" w:space="0" w:color="auto"/>
      </w:divBdr>
    </w:div>
    <w:div w:id="95486973">
      <w:bodyDiv w:val="1"/>
      <w:marLeft w:val="0"/>
      <w:marRight w:val="0"/>
      <w:marTop w:val="0"/>
      <w:marBottom w:val="0"/>
      <w:divBdr>
        <w:top w:val="none" w:sz="0" w:space="0" w:color="auto"/>
        <w:left w:val="none" w:sz="0" w:space="0" w:color="auto"/>
        <w:bottom w:val="none" w:sz="0" w:space="0" w:color="auto"/>
        <w:right w:val="none" w:sz="0" w:space="0" w:color="auto"/>
      </w:divBdr>
    </w:div>
    <w:div w:id="96143714">
      <w:bodyDiv w:val="1"/>
      <w:marLeft w:val="0"/>
      <w:marRight w:val="0"/>
      <w:marTop w:val="0"/>
      <w:marBottom w:val="0"/>
      <w:divBdr>
        <w:top w:val="none" w:sz="0" w:space="0" w:color="auto"/>
        <w:left w:val="none" w:sz="0" w:space="0" w:color="auto"/>
        <w:bottom w:val="none" w:sz="0" w:space="0" w:color="auto"/>
        <w:right w:val="none" w:sz="0" w:space="0" w:color="auto"/>
      </w:divBdr>
    </w:div>
    <w:div w:id="98181906">
      <w:bodyDiv w:val="1"/>
      <w:marLeft w:val="0"/>
      <w:marRight w:val="0"/>
      <w:marTop w:val="0"/>
      <w:marBottom w:val="0"/>
      <w:divBdr>
        <w:top w:val="none" w:sz="0" w:space="0" w:color="auto"/>
        <w:left w:val="none" w:sz="0" w:space="0" w:color="auto"/>
        <w:bottom w:val="none" w:sz="0" w:space="0" w:color="auto"/>
        <w:right w:val="none" w:sz="0" w:space="0" w:color="auto"/>
      </w:divBdr>
    </w:div>
    <w:div w:id="100928111">
      <w:bodyDiv w:val="1"/>
      <w:marLeft w:val="0"/>
      <w:marRight w:val="0"/>
      <w:marTop w:val="0"/>
      <w:marBottom w:val="0"/>
      <w:divBdr>
        <w:top w:val="none" w:sz="0" w:space="0" w:color="auto"/>
        <w:left w:val="none" w:sz="0" w:space="0" w:color="auto"/>
        <w:bottom w:val="none" w:sz="0" w:space="0" w:color="auto"/>
        <w:right w:val="none" w:sz="0" w:space="0" w:color="auto"/>
      </w:divBdr>
    </w:div>
    <w:div w:id="101384471">
      <w:bodyDiv w:val="1"/>
      <w:marLeft w:val="0"/>
      <w:marRight w:val="0"/>
      <w:marTop w:val="0"/>
      <w:marBottom w:val="0"/>
      <w:divBdr>
        <w:top w:val="none" w:sz="0" w:space="0" w:color="auto"/>
        <w:left w:val="none" w:sz="0" w:space="0" w:color="auto"/>
        <w:bottom w:val="none" w:sz="0" w:space="0" w:color="auto"/>
        <w:right w:val="none" w:sz="0" w:space="0" w:color="auto"/>
      </w:divBdr>
    </w:div>
    <w:div w:id="104079669">
      <w:bodyDiv w:val="1"/>
      <w:marLeft w:val="0"/>
      <w:marRight w:val="0"/>
      <w:marTop w:val="0"/>
      <w:marBottom w:val="0"/>
      <w:divBdr>
        <w:top w:val="none" w:sz="0" w:space="0" w:color="auto"/>
        <w:left w:val="none" w:sz="0" w:space="0" w:color="auto"/>
        <w:bottom w:val="none" w:sz="0" w:space="0" w:color="auto"/>
        <w:right w:val="none" w:sz="0" w:space="0" w:color="auto"/>
      </w:divBdr>
    </w:div>
    <w:div w:id="105004784">
      <w:bodyDiv w:val="1"/>
      <w:marLeft w:val="0"/>
      <w:marRight w:val="0"/>
      <w:marTop w:val="0"/>
      <w:marBottom w:val="0"/>
      <w:divBdr>
        <w:top w:val="none" w:sz="0" w:space="0" w:color="auto"/>
        <w:left w:val="none" w:sz="0" w:space="0" w:color="auto"/>
        <w:bottom w:val="none" w:sz="0" w:space="0" w:color="auto"/>
        <w:right w:val="none" w:sz="0" w:space="0" w:color="auto"/>
      </w:divBdr>
    </w:div>
    <w:div w:id="107552037">
      <w:bodyDiv w:val="1"/>
      <w:marLeft w:val="0"/>
      <w:marRight w:val="0"/>
      <w:marTop w:val="0"/>
      <w:marBottom w:val="0"/>
      <w:divBdr>
        <w:top w:val="none" w:sz="0" w:space="0" w:color="auto"/>
        <w:left w:val="none" w:sz="0" w:space="0" w:color="auto"/>
        <w:bottom w:val="none" w:sz="0" w:space="0" w:color="auto"/>
        <w:right w:val="none" w:sz="0" w:space="0" w:color="auto"/>
      </w:divBdr>
    </w:div>
    <w:div w:id="107700357">
      <w:bodyDiv w:val="1"/>
      <w:marLeft w:val="0"/>
      <w:marRight w:val="0"/>
      <w:marTop w:val="0"/>
      <w:marBottom w:val="0"/>
      <w:divBdr>
        <w:top w:val="none" w:sz="0" w:space="0" w:color="auto"/>
        <w:left w:val="none" w:sz="0" w:space="0" w:color="auto"/>
        <w:bottom w:val="none" w:sz="0" w:space="0" w:color="auto"/>
        <w:right w:val="none" w:sz="0" w:space="0" w:color="auto"/>
      </w:divBdr>
    </w:div>
    <w:div w:id="107816955">
      <w:bodyDiv w:val="1"/>
      <w:marLeft w:val="0"/>
      <w:marRight w:val="0"/>
      <w:marTop w:val="0"/>
      <w:marBottom w:val="0"/>
      <w:divBdr>
        <w:top w:val="none" w:sz="0" w:space="0" w:color="auto"/>
        <w:left w:val="none" w:sz="0" w:space="0" w:color="auto"/>
        <w:bottom w:val="none" w:sz="0" w:space="0" w:color="auto"/>
        <w:right w:val="none" w:sz="0" w:space="0" w:color="auto"/>
      </w:divBdr>
    </w:div>
    <w:div w:id="108666806">
      <w:bodyDiv w:val="1"/>
      <w:marLeft w:val="0"/>
      <w:marRight w:val="0"/>
      <w:marTop w:val="0"/>
      <w:marBottom w:val="0"/>
      <w:divBdr>
        <w:top w:val="none" w:sz="0" w:space="0" w:color="auto"/>
        <w:left w:val="none" w:sz="0" w:space="0" w:color="auto"/>
        <w:bottom w:val="none" w:sz="0" w:space="0" w:color="auto"/>
        <w:right w:val="none" w:sz="0" w:space="0" w:color="auto"/>
      </w:divBdr>
    </w:div>
    <w:div w:id="109739052">
      <w:bodyDiv w:val="1"/>
      <w:marLeft w:val="0"/>
      <w:marRight w:val="0"/>
      <w:marTop w:val="0"/>
      <w:marBottom w:val="0"/>
      <w:divBdr>
        <w:top w:val="none" w:sz="0" w:space="0" w:color="auto"/>
        <w:left w:val="none" w:sz="0" w:space="0" w:color="auto"/>
        <w:bottom w:val="none" w:sz="0" w:space="0" w:color="auto"/>
        <w:right w:val="none" w:sz="0" w:space="0" w:color="auto"/>
      </w:divBdr>
    </w:div>
    <w:div w:id="111169581">
      <w:bodyDiv w:val="1"/>
      <w:marLeft w:val="0"/>
      <w:marRight w:val="0"/>
      <w:marTop w:val="0"/>
      <w:marBottom w:val="0"/>
      <w:divBdr>
        <w:top w:val="none" w:sz="0" w:space="0" w:color="auto"/>
        <w:left w:val="none" w:sz="0" w:space="0" w:color="auto"/>
        <w:bottom w:val="none" w:sz="0" w:space="0" w:color="auto"/>
        <w:right w:val="none" w:sz="0" w:space="0" w:color="auto"/>
      </w:divBdr>
    </w:div>
    <w:div w:id="112986171">
      <w:bodyDiv w:val="1"/>
      <w:marLeft w:val="0"/>
      <w:marRight w:val="0"/>
      <w:marTop w:val="0"/>
      <w:marBottom w:val="0"/>
      <w:divBdr>
        <w:top w:val="none" w:sz="0" w:space="0" w:color="auto"/>
        <w:left w:val="none" w:sz="0" w:space="0" w:color="auto"/>
        <w:bottom w:val="none" w:sz="0" w:space="0" w:color="auto"/>
        <w:right w:val="none" w:sz="0" w:space="0" w:color="auto"/>
      </w:divBdr>
    </w:div>
    <w:div w:id="116946672">
      <w:bodyDiv w:val="1"/>
      <w:marLeft w:val="0"/>
      <w:marRight w:val="0"/>
      <w:marTop w:val="0"/>
      <w:marBottom w:val="0"/>
      <w:divBdr>
        <w:top w:val="none" w:sz="0" w:space="0" w:color="auto"/>
        <w:left w:val="none" w:sz="0" w:space="0" w:color="auto"/>
        <w:bottom w:val="none" w:sz="0" w:space="0" w:color="auto"/>
        <w:right w:val="none" w:sz="0" w:space="0" w:color="auto"/>
      </w:divBdr>
    </w:div>
    <w:div w:id="119618095">
      <w:bodyDiv w:val="1"/>
      <w:marLeft w:val="0"/>
      <w:marRight w:val="0"/>
      <w:marTop w:val="0"/>
      <w:marBottom w:val="0"/>
      <w:divBdr>
        <w:top w:val="none" w:sz="0" w:space="0" w:color="auto"/>
        <w:left w:val="none" w:sz="0" w:space="0" w:color="auto"/>
        <w:bottom w:val="none" w:sz="0" w:space="0" w:color="auto"/>
        <w:right w:val="none" w:sz="0" w:space="0" w:color="auto"/>
      </w:divBdr>
    </w:div>
    <w:div w:id="120416028">
      <w:bodyDiv w:val="1"/>
      <w:marLeft w:val="0"/>
      <w:marRight w:val="0"/>
      <w:marTop w:val="0"/>
      <w:marBottom w:val="0"/>
      <w:divBdr>
        <w:top w:val="none" w:sz="0" w:space="0" w:color="auto"/>
        <w:left w:val="none" w:sz="0" w:space="0" w:color="auto"/>
        <w:bottom w:val="none" w:sz="0" w:space="0" w:color="auto"/>
        <w:right w:val="none" w:sz="0" w:space="0" w:color="auto"/>
      </w:divBdr>
    </w:div>
    <w:div w:id="121927987">
      <w:bodyDiv w:val="1"/>
      <w:marLeft w:val="0"/>
      <w:marRight w:val="0"/>
      <w:marTop w:val="0"/>
      <w:marBottom w:val="0"/>
      <w:divBdr>
        <w:top w:val="none" w:sz="0" w:space="0" w:color="auto"/>
        <w:left w:val="none" w:sz="0" w:space="0" w:color="auto"/>
        <w:bottom w:val="none" w:sz="0" w:space="0" w:color="auto"/>
        <w:right w:val="none" w:sz="0" w:space="0" w:color="auto"/>
      </w:divBdr>
    </w:div>
    <w:div w:id="122504695">
      <w:bodyDiv w:val="1"/>
      <w:marLeft w:val="0"/>
      <w:marRight w:val="0"/>
      <w:marTop w:val="0"/>
      <w:marBottom w:val="0"/>
      <w:divBdr>
        <w:top w:val="none" w:sz="0" w:space="0" w:color="auto"/>
        <w:left w:val="none" w:sz="0" w:space="0" w:color="auto"/>
        <w:bottom w:val="none" w:sz="0" w:space="0" w:color="auto"/>
        <w:right w:val="none" w:sz="0" w:space="0" w:color="auto"/>
      </w:divBdr>
    </w:div>
    <w:div w:id="123474213">
      <w:bodyDiv w:val="1"/>
      <w:marLeft w:val="0"/>
      <w:marRight w:val="0"/>
      <w:marTop w:val="0"/>
      <w:marBottom w:val="0"/>
      <w:divBdr>
        <w:top w:val="none" w:sz="0" w:space="0" w:color="auto"/>
        <w:left w:val="none" w:sz="0" w:space="0" w:color="auto"/>
        <w:bottom w:val="none" w:sz="0" w:space="0" w:color="auto"/>
        <w:right w:val="none" w:sz="0" w:space="0" w:color="auto"/>
      </w:divBdr>
    </w:div>
    <w:div w:id="126169013">
      <w:bodyDiv w:val="1"/>
      <w:marLeft w:val="0"/>
      <w:marRight w:val="0"/>
      <w:marTop w:val="0"/>
      <w:marBottom w:val="0"/>
      <w:divBdr>
        <w:top w:val="none" w:sz="0" w:space="0" w:color="auto"/>
        <w:left w:val="none" w:sz="0" w:space="0" w:color="auto"/>
        <w:bottom w:val="none" w:sz="0" w:space="0" w:color="auto"/>
        <w:right w:val="none" w:sz="0" w:space="0" w:color="auto"/>
      </w:divBdr>
    </w:div>
    <w:div w:id="129443954">
      <w:bodyDiv w:val="1"/>
      <w:marLeft w:val="0"/>
      <w:marRight w:val="0"/>
      <w:marTop w:val="0"/>
      <w:marBottom w:val="0"/>
      <w:divBdr>
        <w:top w:val="none" w:sz="0" w:space="0" w:color="auto"/>
        <w:left w:val="none" w:sz="0" w:space="0" w:color="auto"/>
        <w:bottom w:val="none" w:sz="0" w:space="0" w:color="auto"/>
        <w:right w:val="none" w:sz="0" w:space="0" w:color="auto"/>
      </w:divBdr>
    </w:div>
    <w:div w:id="131024088">
      <w:bodyDiv w:val="1"/>
      <w:marLeft w:val="0"/>
      <w:marRight w:val="0"/>
      <w:marTop w:val="0"/>
      <w:marBottom w:val="0"/>
      <w:divBdr>
        <w:top w:val="none" w:sz="0" w:space="0" w:color="auto"/>
        <w:left w:val="none" w:sz="0" w:space="0" w:color="auto"/>
        <w:bottom w:val="none" w:sz="0" w:space="0" w:color="auto"/>
        <w:right w:val="none" w:sz="0" w:space="0" w:color="auto"/>
      </w:divBdr>
    </w:div>
    <w:div w:id="134228749">
      <w:bodyDiv w:val="1"/>
      <w:marLeft w:val="0"/>
      <w:marRight w:val="0"/>
      <w:marTop w:val="0"/>
      <w:marBottom w:val="0"/>
      <w:divBdr>
        <w:top w:val="none" w:sz="0" w:space="0" w:color="auto"/>
        <w:left w:val="none" w:sz="0" w:space="0" w:color="auto"/>
        <w:bottom w:val="none" w:sz="0" w:space="0" w:color="auto"/>
        <w:right w:val="none" w:sz="0" w:space="0" w:color="auto"/>
      </w:divBdr>
    </w:div>
    <w:div w:id="134874582">
      <w:bodyDiv w:val="1"/>
      <w:marLeft w:val="0"/>
      <w:marRight w:val="0"/>
      <w:marTop w:val="0"/>
      <w:marBottom w:val="0"/>
      <w:divBdr>
        <w:top w:val="none" w:sz="0" w:space="0" w:color="auto"/>
        <w:left w:val="none" w:sz="0" w:space="0" w:color="auto"/>
        <w:bottom w:val="none" w:sz="0" w:space="0" w:color="auto"/>
        <w:right w:val="none" w:sz="0" w:space="0" w:color="auto"/>
      </w:divBdr>
    </w:div>
    <w:div w:id="138037961">
      <w:bodyDiv w:val="1"/>
      <w:marLeft w:val="0"/>
      <w:marRight w:val="0"/>
      <w:marTop w:val="0"/>
      <w:marBottom w:val="0"/>
      <w:divBdr>
        <w:top w:val="none" w:sz="0" w:space="0" w:color="auto"/>
        <w:left w:val="none" w:sz="0" w:space="0" w:color="auto"/>
        <w:bottom w:val="none" w:sz="0" w:space="0" w:color="auto"/>
        <w:right w:val="none" w:sz="0" w:space="0" w:color="auto"/>
      </w:divBdr>
    </w:div>
    <w:div w:id="138495932">
      <w:bodyDiv w:val="1"/>
      <w:marLeft w:val="0"/>
      <w:marRight w:val="0"/>
      <w:marTop w:val="0"/>
      <w:marBottom w:val="0"/>
      <w:divBdr>
        <w:top w:val="none" w:sz="0" w:space="0" w:color="auto"/>
        <w:left w:val="none" w:sz="0" w:space="0" w:color="auto"/>
        <w:bottom w:val="none" w:sz="0" w:space="0" w:color="auto"/>
        <w:right w:val="none" w:sz="0" w:space="0" w:color="auto"/>
      </w:divBdr>
    </w:div>
    <w:div w:id="138573599">
      <w:bodyDiv w:val="1"/>
      <w:marLeft w:val="0"/>
      <w:marRight w:val="0"/>
      <w:marTop w:val="0"/>
      <w:marBottom w:val="0"/>
      <w:divBdr>
        <w:top w:val="none" w:sz="0" w:space="0" w:color="auto"/>
        <w:left w:val="none" w:sz="0" w:space="0" w:color="auto"/>
        <w:bottom w:val="none" w:sz="0" w:space="0" w:color="auto"/>
        <w:right w:val="none" w:sz="0" w:space="0" w:color="auto"/>
      </w:divBdr>
    </w:div>
    <w:div w:id="139425358">
      <w:bodyDiv w:val="1"/>
      <w:marLeft w:val="0"/>
      <w:marRight w:val="0"/>
      <w:marTop w:val="0"/>
      <w:marBottom w:val="0"/>
      <w:divBdr>
        <w:top w:val="none" w:sz="0" w:space="0" w:color="auto"/>
        <w:left w:val="none" w:sz="0" w:space="0" w:color="auto"/>
        <w:bottom w:val="none" w:sz="0" w:space="0" w:color="auto"/>
        <w:right w:val="none" w:sz="0" w:space="0" w:color="auto"/>
      </w:divBdr>
    </w:div>
    <w:div w:id="140083175">
      <w:bodyDiv w:val="1"/>
      <w:marLeft w:val="0"/>
      <w:marRight w:val="0"/>
      <w:marTop w:val="0"/>
      <w:marBottom w:val="0"/>
      <w:divBdr>
        <w:top w:val="none" w:sz="0" w:space="0" w:color="auto"/>
        <w:left w:val="none" w:sz="0" w:space="0" w:color="auto"/>
        <w:bottom w:val="none" w:sz="0" w:space="0" w:color="auto"/>
        <w:right w:val="none" w:sz="0" w:space="0" w:color="auto"/>
      </w:divBdr>
    </w:div>
    <w:div w:id="141167869">
      <w:bodyDiv w:val="1"/>
      <w:marLeft w:val="0"/>
      <w:marRight w:val="0"/>
      <w:marTop w:val="0"/>
      <w:marBottom w:val="0"/>
      <w:divBdr>
        <w:top w:val="none" w:sz="0" w:space="0" w:color="auto"/>
        <w:left w:val="none" w:sz="0" w:space="0" w:color="auto"/>
        <w:bottom w:val="none" w:sz="0" w:space="0" w:color="auto"/>
        <w:right w:val="none" w:sz="0" w:space="0" w:color="auto"/>
      </w:divBdr>
    </w:div>
    <w:div w:id="143932343">
      <w:bodyDiv w:val="1"/>
      <w:marLeft w:val="0"/>
      <w:marRight w:val="0"/>
      <w:marTop w:val="0"/>
      <w:marBottom w:val="0"/>
      <w:divBdr>
        <w:top w:val="none" w:sz="0" w:space="0" w:color="auto"/>
        <w:left w:val="none" w:sz="0" w:space="0" w:color="auto"/>
        <w:bottom w:val="none" w:sz="0" w:space="0" w:color="auto"/>
        <w:right w:val="none" w:sz="0" w:space="0" w:color="auto"/>
      </w:divBdr>
    </w:div>
    <w:div w:id="145247493">
      <w:bodyDiv w:val="1"/>
      <w:marLeft w:val="0"/>
      <w:marRight w:val="0"/>
      <w:marTop w:val="0"/>
      <w:marBottom w:val="0"/>
      <w:divBdr>
        <w:top w:val="none" w:sz="0" w:space="0" w:color="auto"/>
        <w:left w:val="none" w:sz="0" w:space="0" w:color="auto"/>
        <w:bottom w:val="none" w:sz="0" w:space="0" w:color="auto"/>
        <w:right w:val="none" w:sz="0" w:space="0" w:color="auto"/>
      </w:divBdr>
    </w:div>
    <w:div w:id="145585898">
      <w:bodyDiv w:val="1"/>
      <w:marLeft w:val="0"/>
      <w:marRight w:val="0"/>
      <w:marTop w:val="0"/>
      <w:marBottom w:val="0"/>
      <w:divBdr>
        <w:top w:val="none" w:sz="0" w:space="0" w:color="auto"/>
        <w:left w:val="none" w:sz="0" w:space="0" w:color="auto"/>
        <w:bottom w:val="none" w:sz="0" w:space="0" w:color="auto"/>
        <w:right w:val="none" w:sz="0" w:space="0" w:color="auto"/>
      </w:divBdr>
    </w:div>
    <w:div w:id="145752750">
      <w:bodyDiv w:val="1"/>
      <w:marLeft w:val="0"/>
      <w:marRight w:val="0"/>
      <w:marTop w:val="0"/>
      <w:marBottom w:val="0"/>
      <w:divBdr>
        <w:top w:val="none" w:sz="0" w:space="0" w:color="auto"/>
        <w:left w:val="none" w:sz="0" w:space="0" w:color="auto"/>
        <w:bottom w:val="none" w:sz="0" w:space="0" w:color="auto"/>
        <w:right w:val="none" w:sz="0" w:space="0" w:color="auto"/>
      </w:divBdr>
    </w:div>
    <w:div w:id="146020047">
      <w:bodyDiv w:val="1"/>
      <w:marLeft w:val="0"/>
      <w:marRight w:val="0"/>
      <w:marTop w:val="0"/>
      <w:marBottom w:val="0"/>
      <w:divBdr>
        <w:top w:val="none" w:sz="0" w:space="0" w:color="auto"/>
        <w:left w:val="none" w:sz="0" w:space="0" w:color="auto"/>
        <w:bottom w:val="none" w:sz="0" w:space="0" w:color="auto"/>
        <w:right w:val="none" w:sz="0" w:space="0" w:color="auto"/>
      </w:divBdr>
    </w:div>
    <w:div w:id="146752108">
      <w:bodyDiv w:val="1"/>
      <w:marLeft w:val="0"/>
      <w:marRight w:val="0"/>
      <w:marTop w:val="0"/>
      <w:marBottom w:val="0"/>
      <w:divBdr>
        <w:top w:val="none" w:sz="0" w:space="0" w:color="auto"/>
        <w:left w:val="none" w:sz="0" w:space="0" w:color="auto"/>
        <w:bottom w:val="none" w:sz="0" w:space="0" w:color="auto"/>
        <w:right w:val="none" w:sz="0" w:space="0" w:color="auto"/>
      </w:divBdr>
    </w:div>
    <w:div w:id="147291701">
      <w:bodyDiv w:val="1"/>
      <w:marLeft w:val="0"/>
      <w:marRight w:val="0"/>
      <w:marTop w:val="0"/>
      <w:marBottom w:val="0"/>
      <w:divBdr>
        <w:top w:val="none" w:sz="0" w:space="0" w:color="auto"/>
        <w:left w:val="none" w:sz="0" w:space="0" w:color="auto"/>
        <w:bottom w:val="none" w:sz="0" w:space="0" w:color="auto"/>
        <w:right w:val="none" w:sz="0" w:space="0" w:color="auto"/>
      </w:divBdr>
    </w:div>
    <w:div w:id="148643160">
      <w:bodyDiv w:val="1"/>
      <w:marLeft w:val="0"/>
      <w:marRight w:val="0"/>
      <w:marTop w:val="0"/>
      <w:marBottom w:val="0"/>
      <w:divBdr>
        <w:top w:val="none" w:sz="0" w:space="0" w:color="auto"/>
        <w:left w:val="none" w:sz="0" w:space="0" w:color="auto"/>
        <w:bottom w:val="none" w:sz="0" w:space="0" w:color="auto"/>
        <w:right w:val="none" w:sz="0" w:space="0" w:color="auto"/>
      </w:divBdr>
    </w:div>
    <w:div w:id="149250060">
      <w:bodyDiv w:val="1"/>
      <w:marLeft w:val="0"/>
      <w:marRight w:val="0"/>
      <w:marTop w:val="0"/>
      <w:marBottom w:val="0"/>
      <w:divBdr>
        <w:top w:val="none" w:sz="0" w:space="0" w:color="auto"/>
        <w:left w:val="none" w:sz="0" w:space="0" w:color="auto"/>
        <w:bottom w:val="none" w:sz="0" w:space="0" w:color="auto"/>
        <w:right w:val="none" w:sz="0" w:space="0" w:color="auto"/>
      </w:divBdr>
    </w:div>
    <w:div w:id="149449190">
      <w:bodyDiv w:val="1"/>
      <w:marLeft w:val="0"/>
      <w:marRight w:val="0"/>
      <w:marTop w:val="0"/>
      <w:marBottom w:val="0"/>
      <w:divBdr>
        <w:top w:val="none" w:sz="0" w:space="0" w:color="auto"/>
        <w:left w:val="none" w:sz="0" w:space="0" w:color="auto"/>
        <w:bottom w:val="none" w:sz="0" w:space="0" w:color="auto"/>
        <w:right w:val="none" w:sz="0" w:space="0" w:color="auto"/>
      </w:divBdr>
    </w:div>
    <w:div w:id="149565485">
      <w:bodyDiv w:val="1"/>
      <w:marLeft w:val="0"/>
      <w:marRight w:val="0"/>
      <w:marTop w:val="0"/>
      <w:marBottom w:val="0"/>
      <w:divBdr>
        <w:top w:val="none" w:sz="0" w:space="0" w:color="auto"/>
        <w:left w:val="none" w:sz="0" w:space="0" w:color="auto"/>
        <w:bottom w:val="none" w:sz="0" w:space="0" w:color="auto"/>
        <w:right w:val="none" w:sz="0" w:space="0" w:color="auto"/>
      </w:divBdr>
    </w:div>
    <w:div w:id="149831251">
      <w:bodyDiv w:val="1"/>
      <w:marLeft w:val="0"/>
      <w:marRight w:val="0"/>
      <w:marTop w:val="0"/>
      <w:marBottom w:val="0"/>
      <w:divBdr>
        <w:top w:val="none" w:sz="0" w:space="0" w:color="auto"/>
        <w:left w:val="none" w:sz="0" w:space="0" w:color="auto"/>
        <w:bottom w:val="none" w:sz="0" w:space="0" w:color="auto"/>
        <w:right w:val="none" w:sz="0" w:space="0" w:color="auto"/>
      </w:divBdr>
    </w:div>
    <w:div w:id="150828777">
      <w:bodyDiv w:val="1"/>
      <w:marLeft w:val="0"/>
      <w:marRight w:val="0"/>
      <w:marTop w:val="0"/>
      <w:marBottom w:val="0"/>
      <w:divBdr>
        <w:top w:val="none" w:sz="0" w:space="0" w:color="auto"/>
        <w:left w:val="none" w:sz="0" w:space="0" w:color="auto"/>
        <w:bottom w:val="none" w:sz="0" w:space="0" w:color="auto"/>
        <w:right w:val="none" w:sz="0" w:space="0" w:color="auto"/>
      </w:divBdr>
    </w:div>
    <w:div w:id="152113986">
      <w:bodyDiv w:val="1"/>
      <w:marLeft w:val="0"/>
      <w:marRight w:val="0"/>
      <w:marTop w:val="0"/>
      <w:marBottom w:val="0"/>
      <w:divBdr>
        <w:top w:val="none" w:sz="0" w:space="0" w:color="auto"/>
        <w:left w:val="none" w:sz="0" w:space="0" w:color="auto"/>
        <w:bottom w:val="none" w:sz="0" w:space="0" w:color="auto"/>
        <w:right w:val="none" w:sz="0" w:space="0" w:color="auto"/>
      </w:divBdr>
    </w:div>
    <w:div w:id="153185752">
      <w:bodyDiv w:val="1"/>
      <w:marLeft w:val="0"/>
      <w:marRight w:val="0"/>
      <w:marTop w:val="0"/>
      <w:marBottom w:val="0"/>
      <w:divBdr>
        <w:top w:val="none" w:sz="0" w:space="0" w:color="auto"/>
        <w:left w:val="none" w:sz="0" w:space="0" w:color="auto"/>
        <w:bottom w:val="none" w:sz="0" w:space="0" w:color="auto"/>
        <w:right w:val="none" w:sz="0" w:space="0" w:color="auto"/>
      </w:divBdr>
    </w:div>
    <w:div w:id="154152850">
      <w:bodyDiv w:val="1"/>
      <w:marLeft w:val="0"/>
      <w:marRight w:val="0"/>
      <w:marTop w:val="0"/>
      <w:marBottom w:val="0"/>
      <w:divBdr>
        <w:top w:val="none" w:sz="0" w:space="0" w:color="auto"/>
        <w:left w:val="none" w:sz="0" w:space="0" w:color="auto"/>
        <w:bottom w:val="none" w:sz="0" w:space="0" w:color="auto"/>
        <w:right w:val="none" w:sz="0" w:space="0" w:color="auto"/>
      </w:divBdr>
    </w:div>
    <w:div w:id="154537873">
      <w:bodyDiv w:val="1"/>
      <w:marLeft w:val="0"/>
      <w:marRight w:val="0"/>
      <w:marTop w:val="0"/>
      <w:marBottom w:val="0"/>
      <w:divBdr>
        <w:top w:val="none" w:sz="0" w:space="0" w:color="auto"/>
        <w:left w:val="none" w:sz="0" w:space="0" w:color="auto"/>
        <w:bottom w:val="none" w:sz="0" w:space="0" w:color="auto"/>
        <w:right w:val="none" w:sz="0" w:space="0" w:color="auto"/>
      </w:divBdr>
    </w:div>
    <w:div w:id="155924420">
      <w:bodyDiv w:val="1"/>
      <w:marLeft w:val="0"/>
      <w:marRight w:val="0"/>
      <w:marTop w:val="0"/>
      <w:marBottom w:val="0"/>
      <w:divBdr>
        <w:top w:val="none" w:sz="0" w:space="0" w:color="auto"/>
        <w:left w:val="none" w:sz="0" w:space="0" w:color="auto"/>
        <w:bottom w:val="none" w:sz="0" w:space="0" w:color="auto"/>
        <w:right w:val="none" w:sz="0" w:space="0" w:color="auto"/>
      </w:divBdr>
    </w:div>
    <w:div w:id="157230405">
      <w:bodyDiv w:val="1"/>
      <w:marLeft w:val="0"/>
      <w:marRight w:val="0"/>
      <w:marTop w:val="0"/>
      <w:marBottom w:val="0"/>
      <w:divBdr>
        <w:top w:val="none" w:sz="0" w:space="0" w:color="auto"/>
        <w:left w:val="none" w:sz="0" w:space="0" w:color="auto"/>
        <w:bottom w:val="none" w:sz="0" w:space="0" w:color="auto"/>
        <w:right w:val="none" w:sz="0" w:space="0" w:color="auto"/>
      </w:divBdr>
    </w:div>
    <w:div w:id="159659046">
      <w:bodyDiv w:val="1"/>
      <w:marLeft w:val="0"/>
      <w:marRight w:val="0"/>
      <w:marTop w:val="0"/>
      <w:marBottom w:val="0"/>
      <w:divBdr>
        <w:top w:val="none" w:sz="0" w:space="0" w:color="auto"/>
        <w:left w:val="none" w:sz="0" w:space="0" w:color="auto"/>
        <w:bottom w:val="none" w:sz="0" w:space="0" w:color="auto"/>
        <w:right w:val="none" w:sz="0" w:space="0" w:color="auto"/>
      </w:divBdr>
    </w:div>
    <w:div w:id="160631339">
      <w:bodyDiv w:val="1"/>
      <w:marLeft w:val="0"/>
      <w:marRight w:val="0"/>
      <w:marTop w:val="0"/>
      <w:marBottom w:val="0"/>
      <w:divBdr>
        <w:top w:val="none" w:sz="0" w:space="0" w:color="auto"/>
        <w:left w:val="none" w:sz="0" w:space="0" w:color="auto"/>
        <w:bottom w:val="none" w:sz="0" w:space="0" w:color="auto"/>
        <w:right w:val="none" w:sz="0" w:space="0" w:color="auto"/>
      </w:divBdr>
    </w:div>
    <w:div w:id="160852254">
      <w:bodyDiv w:val="1"/>
      <w:marLeft w:val="0"/>
      <w:marRight w:val="0"/>
      <w:marTop w:val="0"/>
      <w:marBottom w:val="0"/>
      <w:divBdr>
        <w:top w:val="none" w:sz="0" w:space="0" w:color="auto"/>
        <w:left w:val="none" w:sz="0" w:space="0" w:color="auto"/>
        <w:bottom w:val="none" w:sz="0" w:space="0" w:color="auto"/>
        <w:right w:val="none" w:sz="0" w:space="0" w:color="auto"/>
      </w:divBdr>
    </w:div>
    <w:div w:id="160892437">
      <w:bodyDiv w:val="1"/>
      <w:marLeft w:val="0"/>
      <w:marRight w:val="0"/>
      <w:marTop w:val="0"/>
      <w:marBottom w:val="0"/>
      <w:divBdr>
        <w:top w:val="none" w:sz="0" w:space="0" w:color="auto"/>
        <w:left w:val="none" w:sz="0" w:space="0" w:color="auto"/>
        <w:bottom w:val="none" w:sz="0" w:space="0" w:color="auto"/>
        <w:right w:val="none" w:sz="0" w:space="0" w:color="auto"/>
      </w:divBdr>
    </w:div>
    <w:div w:id="162549244">
      <w:bodyDiv w:val="1"/>
      <w:marLeft w:val="0"/>
      <w:marRight w:val="0"/>
      <w:marTop w:val="0"/>
      <w:marBottom w:val="0"/>
      <w:divBdr>
        <w:top w:val="none" w:sz="0" w:space="0" w:color="auto"/>
        <w:left w:val="none" w:sz="0" w:space="0" w:color="auto"/>
        <w:bottom w:val="none" w:sz="0" w:space="0" w:color="auto"/>
        <w:right w:val="none" w:sz="0" w:space="0" w:color="auto"/>
      </w:divBdr>
    </w:div>
    <w:div w:id="162550485">
      <w:bodyDiv w:val="1"/>
      <w:marLeft w:val="0"/>
      <w:marRight w:val="0"/>
      <w:marTop w:val="0"/>
      <w:marBottom w:val="0"/>
      <w:divBdr>
        <w:top w:val="none" w:sz="0" w:space="0" w:color="auto"/>
        <w:left w:val="none" w:sz="0" w:space="0" w:color="auto"/>
        <w:bottom w:val="none" w:sz="0" w:space="0" w:color="auto"/>
        <w:right w:val="none" w:sz="0" w:space="0" w:color="auto"/>
      </w:divBdr>
    </w:div>
    <w:div w:id="165949582">
      <w:bodyDiv w:val="1"/>
      <w:marLeft w:val="0"/>
      <w:marRight w:val="0"/>
      <w:marTop w:val="0"/>
      <w:marBottom w:val="0"/>
      <w:divBdr>
        <w:top w:val="none" w:sz="0" w:space="0" w:color="auto"/>
        <w:left w:val="none" w:sz="0" w:space="0" w:color="auto"/>
        <w:bottom w:val="none" w:sz="0" w:space="0" w:color="auto"/>
        <w:right w:val="none" w:sz="0" w:space="0" w:color="auto"/>
      </w:divBdr>
    </w:div>
    <w:div w:id="165950395">
      <w:bodyDiv w:val="1"/>
      <w:marLeft w:val="0"/>
      <w:marRight w:val="0"/>
      <w:marTop w:val="0"/>
      <w:marBottom w:val="0"/>
      <w:divBdr>
        <w:top w:val="none" w:sz="0" w:space="0" w:color="auto"/>
        <w:left w:val="none" w:sz="0" w:space="0" w:color="auto"/>
        <w:bottom w:val="none" w:sz="0" w:space="0" w:color="auto"/>
        <w:right w:val="none" w:sz="0" w:space="0" w:color="auto"/>
      </w:divBdr>
    </w:div>
    <w:div w:id="166487329">
      <w:bodyDiv w:val="1"/>
      <w:marLeft w:val="0"/>
      <w:marRight w:val="0"/>
      <w:marTop w:val="0"/>
      <w:marBottom w:val="0"/>
      <w:divBdr>
        <w:top w:val="none" w:sz="0" w:space="0" w:color="auto"/>
        <w:left w:val="none" w:sz="0" w:space="0" w:color="auto"/>
        <w:bottom w:val="none" w:sz="0" w:space="0" w:color="auto"/>
        <w:right w:val="none" w:sz="0" w:space="0" w:color="auto"/>
      </w:divBdr>
    </w:div>
    <w:div w:id="166556340">
      <w:bodyDiv w:val="1"/>
      <w:marLeft w:val="0"/>
      <w:marRight w:val="0"/>
      <w:marTop w:val="0"/>
      <w:marBottom w:val="0"/>
      <w:divBdr>
        <w:top w:val="none" w:sz="0" w:space="0" w:color="auto"/>
        <w:left w:val="none" w:sz="0" w:space="0" w:color="auto"/>
        <w:bottom w:val="none" w:sz="0" w:space="0" w:color="auto"/>
        <w:right w:val="none" w:sz="0" w:space="0" w:color="auto"/>
      </w:divBdr>
    </w:div>
    <w:div w:id="167251537">
      <w:bodyDiv w:val="1"/>
      <w:marLeft w:val="0"/>
      <w:marRight w:val="0"/>
      <w:marTop w:val="0"/>
      <w:marBottom w:val="0"/>
      <w:divBdr>
        <w:top w:val="none" w:sz="0" w:space="0" w:color="auto"/>
        <w:left w:val="none" w:sz="0" w:space="0" w:color="auto"/>
        <w:bottom w:val="none" w:sz="0" w:space="0" w:color="auto"/>
        <w:right w:val="none" w:sz="0" w:space="0" w:color="auto"/>
      </w:divBdr>
    </w:div>
    <w:div w:id="168760800">
      <w:bodyDiv w:val="1"/>
      <w:marLeft w:val="0"/>
      <w:marRight w:val="0"/>
      <w:marTop w:val="0"/>
      <w:marBottom w:val="0"/>
      <w:divBdr>
        <w:top w:val="none" w:sz="0" w:space="0" w:color="auto"/>
        <w:left w:val="none" w:sz="0" w:space="0" w:color="auto"/>
        <w:bottom w:val="none" w:sz="0" w:space="0" w:color="auto"/>
        <w:right w:val="none" w:sz="0" w:space="0" w:color="auto"/>
      </w:divBdr>
    </w:div>
    <w:div w:id="168905940">
      <w:bodyDiv w:val="1"/>
      <w:marLeft w:val="0"/>
      <w:marRight w:val="0"/>
      <w:marTop w:val="0"/>
      <w:marBottom w:val="0"/>
      <w:divBdr>
        <w:top w:val="none" w:sz="0" w:space="0" w:color="auto"/>
        <w:left w:val="none" w:sz="0" w:space="0" w:color="auto"/>
        <w:bottom w:val="none" w:sz="0" w:space="0" w:color="auto"/>
        <w:right w:val="none" w:sz="0" w:space="0" w:color="auto"/>
      </w:divBdr>
    </w:div>
    <w:div w:id="168956432">
      <w:bodyDiv w:val="1"/>
      <w:marLeft w:val="0"/>
      <w:marRight w:val="0"/>
      <w:marTop w:val="0"/>
      <w:marBottom w:val="0"/>
      <w:divBdr>
        <w:top w:val="none" w:sz="0" w:space="0" w:color="auto"/>
        <w:left w:val="none" w:sz="0" w:space="0" w:color="auto"/>
        <w:bottom w:val="none" w:sz="0" w:space="0" w:color="auto"/>
        <w:right w:val="none" w:sz="0" w:space="0" w:color="auto"/>
      </w:divBdr>
    </w:div>
    <w:div w:id="170722361">
      <w:bodyDiv w:val="1"/>
      <w:marLeft w:val="0"/>
      <w:marRight w:val="0"/>
      <w:marTop w:val="0"/>
      <w:marBottom w:val="0"/>
      <w:divBdr>
        <w:top w:val="none" w:sz="0" w:space="0" w:color="auto"/>
        <w:left w:val="none" w:sz="0" w:space="0" w:color="auto"/>
        <w:bottom w:val="none" w:sz="0" w:space="0" w:color="auto"/>
        <w:right w:val="none" w:sz="0" w:space="0" w:color="auto"/>
      </w:divBdr>
    </w:div>
    <w:div w:id="171536566">
      <w:bodyDiv w:val="1"/>
      <w:marLeft w:val="0"/>
      <w:marRight w:val="0"/>
      <w:marTop w:val="0"/>
      <w:marBottom w:val="0"/>
      <w:divBdr>
        <w:top w:val="none" w:sz="0" w:space="0" w:color="auto"/>
        <w:left w:val="none" w:sz="0" w:space="0" w:color="auto"/>
        <w:bottom w:val="none" w:sz="0" w:space="0" w:color="auto"/>
        <w:right w:val="none" w:sz="0" w:space="0" w:color="auto"/>
      </w:divBdr>
    </w:div>
    <w:div w:id="172184203">
      <w:bodyDiv w:val="1"/>
      <w:marLeft w:val="0"/>
      <w:marRight w:val="0"/>
      <w:marTop w:val="0"/>
      <w:marBottom w:val="0"/>
      <w:divBdr>
        <w:top w:val="none" w:sz="0" w:space="0" w:color="auto"/>
        <w:left w:val="none" w:sz="0" w:space="0" w:color="auto"/>
        <w:bottom w:val="none" w:sz="0" w:space="0" w:color="auto"/>
        <w:right w:val="none" w:sz="0" w:space="0" w:color="auto"/>
      </w:divBdr>
    </w:div>
    <w:div w:id="172259065">
      <w:bodyDiv w:val="1"/>
      <w:marLeft w:val="0"/>
      <w:marRight w:val="0"/>
      <w:marTop w:val="0"/>
      <w:marBottom w:val="0"/>
      <w:divBdr>
        <w:top w:val="none" w:sz="0" w:space="0" w:color="auto"/>
        <w:left w:val="none" w:sz="0" w:space="0" w:color="auto"/>
        <w:bottom w:val="none" w:sz="0" w:space="0" w:color="auto"/>
        <w:right w:val="none" w:sz="0" w:space="0" w:color="auto"/>
      </w:divBdr>
    </w:div>
    <w:div w:id="174349802">
      <w:bodyDiv w:val="1"/>
      <w:marLeft w:val="0"/>
      <w:marRight w:val="0"/>
      <w:marTop w:val="0"/>
      <w:marBottom w:val="0"/>
      <w:divBdr>
        <w:top w:val="none" w:sz="0" w:space="0" w:color="auto"/>
        <w:left w:val="none" w:sz="0" w:space="0" w:color="auto"/>
        <w:bottom w:val="none" w:sz="0" w:space="0" w:color="auto"/>
        <w:right w:val="none" w:sz="0" w:space="0" w:color="auto"/>
      </w:divBdr>
    </w:div>
    <w:div w:id="176192166">
      <w:bodyDiv w:val="1"/>
      <w:marLeft w:val="0"/>
      <w:marRight w:val="0"/>
      <w:marTop w:val="0"/>
      <w:marBottom w:val="0"/>
      <w:divBdr>
        <w:top w:val="none" w:sz="0" w:space="0" w:color="auto"/>
        <w:left w:val="none" w:sz="0" w:space="0" w:color="auto"/>
        <w:bottom w:val="none" w:sz="0" w:space="0" w:color="auto"/>
        <w:right w:val="none" w:sz="0" w:space="0" w:color="auto"/>
      </w:divBdr>
    </w:div>
    <w:div w:id="178130272">
      <w:bodyDiv w:val="1"/>
      <w:marLeft w:val="0"/>
      <w:marRight w:val="0"/>
      <w:marTop w:val="0"/>
      <w:marBottom w:val="0"/>
      <w:divBdr>
        <w:top w:val="none" w:sz="0" w:space="0" w:color="auto"/>
        <w:left w:val="none" w:sz="0" w:space="0" w:color="auto"/>
        <w:bottom w:val="none" w:sz="0" w:space="0" w:color="auto"/>
        <w:right w:val="none" w:sz="0" w:space="0" w:color="auto"/>
      </w:divBdr>
    </w:div>
    <w:div w:id="180093233">
      <w:bodyDiv w:val="1"/>
      <w:marLeft w:val="0"/>
      <w:marRight w:val="0"/>
      <w:marTop w:val="0"/>
      <w:marBottom w:val="0"/>
      <w:divBdr>
        <w:top w:val="none" w:sz="0" w:space="0" w:color="auto"/>
        <w:left w:val="none" w:sz="0" w:space="0" w:color="auto"/>
        <w:bottom w:val="none" w:sz="0" w:space="0" w:color="auto"/>
        <w:right w:val="none" w:sz="0" w:space="0" w:color="auto"/>
      </w:divBdr>
    </w:div>
    <w:div w:id="180244581">
      <w:bodyDiv w:val="1"/>
      <w:marLeft w:val="0"/>
      <w:marRight w:val="0"/>
      <w:marTop w:val="0"/>
      <w:marBottom w:val="0"/>
      <w:divBdr>
        <w:top w:val="none" w:sz="0" w:space="0" w:color="auto"/>
        <w:left w:val="none" w:sz="0" w:space="0" w:color="auto"/>
        <w:bottom w:val="none" w:sz="0" w:space="0" w:color="auto"/>
        <w:right w:val="none" w:sz="0" w:space="0" w:color="auto"/>
      </w:divBdr>
    </w:div>
    <w:div w:id="180895205">
      <w:bodyDiv w:val="1"/>
      <w:marLeft w:val="0"/>
      <w:marRight w:val="0"/>
      <w:marTop w:val="0"/>
      <w:marBottom w:val="0"/>
      <w:divBdr>
        <w:top w:val="none" w:sz="0" w:space="0" w:color="auto"/>
        <w:left w:val="none" w:sz="0" w:space="0" w:color="auto"/>
        <w:bottom w:val="none" w:sz="0" w:space="0" w:color="auto"/>
        <w:right w:val="none" w:sz="0" w:space="0" w:color="auto"/>
      </w:divBdr>
    </w:div>
    <w:div w:id="181095162">
      <w:bodyDiv w:val="1"/>
      <w:marLeft w:val="0"/>
      <w:marRight w:val="0"/>
      <w:marTop w:val="0"/>
      <w:marBottom w:val="0"/>
      <w:divBdr>
        <w:top w:val="none" w:sz="0" w:space="0" w:color="auto"/>
        <w:left w:val="none" w:sz="0" w:space="0" w:color="auto"/>
        <w:bottom w:val="none" w:sz="0" w:space="0" w:color="auto"/>
        <w:right w:val="none" w:sz="0" w:space="0" w:color="auto"/>
      </w:divBdr>
    </w:div>
    <w:div w:id="183714945">
      <w:bodyDiv w:val="1"/>
      <w:marLeft w:val="0"/>
      <w:marRight w:val="0"/>
      <w:marTop w:val="0"/>
      <w:marBottom w:val="0"/>
      <w:divBdr>
        <w:top w:val="none" w:sz="0" w:space="0" w:color="auto"/>
        <w:left w:val="none" w:sz="0" w:space="0" w:color="auto"/>
        <w:bottom w:val="none" w:sz="0" w:space="0" w:color="auto"/>
        <w:right w:val="none" w:sz="0" w:space="0" w:color="auto"/>
      </w:divBdr>
    </w:div>
    <w:div w:id="187574007">
      <w:bodyDiv w:val="1"/>
      <w:marLeft w:val="0"/>
      <w:marRight w:val="0"/>
      <w:marTop w:val="0"/>
      <w:marBottom w:val="0"/>
      <w:divBdr>
        <w:top w:val="none" w:sz="0" w:space="0" w:color="auto"/>
        <w:left w:val="none" w:sz="0" w:space="0" w:color="auto"/>
        <w:bottom w:val="none" w:sz="0" w:space="0" w:color="auto"/>
        <w:right w:val="none" w:sz="0" w:space="0" w:color="auto"/>
      </w:divBdr>
    </w:div>
    <w:div w:id="189686022">
      <w:bodyDiv w:val="1"/>
      <w:marLeft w:val="0"/>
      <w:marRight w:val="0"/>
      <w:marTop w:val="0"/>
      <w:marBottom w:val="0"/>
      <w:divBdr>
        <w:top w:val="none" w:sz="0" w:space="0" w:color="auto"/>
        <w:left w:val="none" w:sz="0" w:space="0" w:color="auto"/>
        <w:bottom w:val="none" w:sz="0" w:space="0" w:color="auto"/>
        <w:right w:val="none" w:sz="0" w:space="0" w:color="auto"/>
      </w:divBdr>
    </w:div>
    <w:div w:id="190151099">
      <w:bodyDiv w:val="1"/>
      <w:marLeft w:val="0"/>
      <w:marRight w:val="0"/>
      <w:marTop w:val="0"/>
      <w:marBottom w:val="0"/>
      <w:divBdr>
        <w:top w:val="none" w:sz="0" w:space="0" w:color="auto"/>
        <w:left w:val="none" w:sz="0" w:space="0" w:color="auto"/>
        <w:bottom w:val="none" w:sz="0" w:space="0" w:color="auto"/>
        <w:right w:val="none" w:sz="0" w:space="0" w:color="auto"/>
      </w:divBdr>
    </w:div>
    <w:div w:id="191961169">
      <w:bodyDiv w:val="1"/>
      <w:marLeft w:val="0"/>
      <w:marRight w:val="0"/>
      <w:marTop w:val="0"/>
      <w:marBottom w:val="0"/>
      <w:divBdr>
        <w:top w:val="none" w:sz="0" w:space="0" w:color="auto"/>
        <w:left w:val="none" w:sz="0" w:space="0" w:color="auto"/>
        <w:bottom w:val="none" w:sz="0" w:space="0" w:color="auto"/>
        <w:right w:val="none" w:sz="0" w:space="0" w:color="auto"/>
      </w:divBdr>
    </w:div>
    <w:div w:id="192571629">
      <w:bodyDiv w:val="1"/>
      <w:marLeft w:val="0"/>
      <w:marRight w:val="0"/>
      <w:marTop w:val="0"/>
      <w:marBottom w:val="0"/>
      <w:divBdr>
        <w:top w:val="none" w:sz="0" w:space="0" w:color="auto"/>
        <w:left w:val="none" w:sz="0" w:space="0" w:color="auto"/>
        <w:bottom w:val="none" w:sz="0" w:space="0" w:color="auto"/>
        <w:right w:val="none" w:sz="0" w:space="0" w:color="auto"/>
      </w:divBdr>
    </w:div>
    <w:div w:id="196429461">
      <w:bodyDiv w:val="1"/>
      <w:marLeft w:val="0"/>
      <w:marRight w:val="0"/>
      <w:marTop w:val="0"/>
      <w:marBottom w:val="0"/>
      <w:divBdr>
        <w:top w:val="none" w:sz="0" w:space="0" w:color="auto"/>
        <w:left w:val="none" w:sz="0" w:space="0" w:color="auto"/>
        <w:bottom w:val="none" w:sz="0" w:space="0" w:color="auto"/>
        <w:right w:val="none" w:sz="0" w:space="0" w:color="auto"/>
      </w:divBdr>
    </w:div>
    <w:div w:id="198595892">
      <w:bodyDiv w:val="1"/>
      <w:marLeft w:val="0"/>
      <w:marRight w:val="0"/>
      <w:marTop w:val="0"/>
      <w:marBottom w:val="0"/>
      <w:divBdr>
        <w:top w:val="none" w:sz="0" w:space="0" w:color="auto"/>
        <w:left w:val="none" w:sz="0" w:space="0" w:color="auto"/>
        <w:bottom w:val="none" w:sz="0" w:space="0" w:color="auto"/>
        <w:right w:val="none" w:sz="0" w:space="0" w:color="auto"/>
      </w:divBdr>
    </w:div>
    <w:div w:id="201014898">
      <w:bodyDiv w:val="1"/>
      <w:marLeft w:val="0"/>
      <w:marRight w:val="0"/>
      <w:marTop w:val="0"/>
      <w:marBottom w:val="0"/>
      <w:divBdr>
        <w:top w:val="none" w:sz="0" w:space="0" w:color="auto"/>
        <w:left w:val="none" w:sz="0" w:space="0" w:color="auto"/>
        <w:bottom w:val="none" w:sz="0" w:space="0" w:color="auto"/>
        <w:right w:val="none" w:sz="0" w:space="0" w:color="auto"/>
      </w:divBdr>
    </w:div>
    <w:div w:id="202910838">
      <w:bodyDiv w:val="1"/>
      <w:marLeft w:val="0"/>
      <w:marRight w:val="0"/>
      <w:marTop w:val="0"/>
      <w:marBottom w:val="0"/>
      <w:divBdr>
        <w:top w:val="none" w:sz="0" w:space="0" w:color="auto"/>
        <w:left w:val="none" w:sz="0" w:space="0" w:color="auto"/>
        <w:bottom w:val="none" w:sz="0" w:space="0" w:color="auto"/>
        <w:right w:val="none" w:sz="0" w:space="0" w:color="auto"/>
      </w:divBdr>
    </w:div>
    <w:div w:id="203178724">
      <w:bodyDiv w:val="1"/>
      <w:marLeft w:val="0"/>
      <w:marRight w:val="0"/>
      <w:marTop w:val="0"/>
      <w:marBottom w:val="0"/>
      <w:divBdr>
        <w:top w:val="none" w:sz="0" w:space="0" w:color="auto"/>
        <w:left w:val="none" w:sz="0" w:space="0" w:color="auto"/>
        <w:bottom w:val="none" w:sz="0" w:space="0" w:color="auto"/>
        <w:right w:val="none" w:sz="0" w:space="0" w:color="auto"/>
      </w:divBdr>
    </w:div>
    <w:div w:id="203253210">
      <w:bodyDiv w:val="1"/>
      <w:marLeft w:val="0"/>
      <w:marRight w:val="0"/>
      <w:marTop w:val="0"/>
      <w:marBottom w:val="0"/>
      <w:divBdr>
        <w:top w:val="none" w:sz="0" w:space="0" w:color="auto"/>
        <w:left w:val="none" w:sz="0" w:space="0" w:color="auto"/>
        <w:bottom w:val="none" w:sz="0" w:space="0" w:color="auto"/>
        <w:right w:val="none" w:sz="0" w:space="0" w:color="auto"/>
      </w:divBdr>
    </w:div>
    <w:div w:id="203637660">
      <w:bodyDiv w:val="1"/>
      <w:marLeft w:val="0"/>
      <w:marRight w:val="0"/>
      <w:marTop w:val="0"/>
      <w:marBottom w:val="0"/>
      <w:divBdr>
        <w:top w:val="none" w:sz="0" w:space="0" w:color="auto"/>
        <w:left w:val="none" w:sz="0" w:space="0" w:color="auto"/>
        <w:bottom w:val="none" w:sz="0" w:space="0" w:color="auto"/>
        <w:right w:val="none" w:sz="0" w:space="0" w:color="auto"/>
      </w:divBdr>
    </w:div>
    <w:div w:id="204029771">
      <w:bodyDiv w:val="1"/>
      <w:marLeft w:val="0"/>
      <w:marRight w:val="0"/>
      <w:marTop w:val="0"/>
      <w:marBottom w:val="0"/>
      <w:divBdr>
        <w:top w:val="none" w:sz="0" w:space="0" w:color="auto"/>
        <w:left w:val="none" w:sz="0" w:space="0" w:color="auto"/>
        <w:bottom w:val="none" w:sz="0" w:space="0" w:color="auto"/>
        <w:right w:val="none" w:sz="0" w:space="0" w:color="auto"/>
      </w:divBdr>
    </w:div>
    <w:div w:id="207033311">
      <w:bodyDiv w:val="1"/>
      <w:marLeft w:val="0"/>
      <w:marRight w:val="0"/>
      <w:marTop w:val="0"/>
      <w:marBottom w:val="0"/>
      <w:divBdr>
        <w:top w:val="none" w:sz="0" w:space="0" w:color="auto"/>
        <w:left w:val="none" w:sz="0" w:space="0" w:color="auto"/>
        <w:bottom w:val="none" w:sz="0" w:space="0" w:color="auto"/>
        <w:right w:val="none" w:sz="0" w:space="0" w:color="auto"/>
      </w:divBdr>
    </w:div>
    <w:div w:id="208151173">
      <w:bodyDiv w:val="1"/>
      <w:marLeft w:val="0"/>
      <w:marRight w:val="0"/>
      <w:marTop w:val="0"/>
      <w:marBottom w:val="0"/>
      <w:divBdr>
        <w:top w:val="none" w:sz="0" w:space="0" w:color="auto"/>
        <w:left w:val="none" w:sz="0" w:space="0" w:color="auto"/>
        <w:bottom w:val="none" w:sz="0" w:space="0" w:color="auto"/>
        <w:right w:val="none" w:sz="0" w:space="0" w:color="auto"/>
      </w:divBdr>
    </w:div>
    <w:div w:id="208806883">
      <w:bodyDiv w:val="1"/>
      <w:marLeft w:val="0"/>
      <w:marRight w:val="0"/>
      <w:marTop w:val="0"/>
      <w:marBottom w:val="0"/>
      <w:divBdr>
        <w:top w:val="none" w:sz="0" w:space="0" w:color="auto"/>
        <w:left w:val="none" w:sz="0" w:space="0" w:color="auto"/>
        <w:bottom w:val="none" w:sz="0" w:space="0" w:color="auto"/>
        <w:right w:val="none" w:sz="0" w:space="0" w:color="auto"/>
      </w:divBdr>
    </w:div>
    <w:div w:id="210271825">
      <w:bodyDiv w:val="1"/>
      <w:marLeft w:val="0"/>
      <w:marRight w:val="0"/>
      <w:marTop w:val="0"/>
      <w:marBottom w:val="0"/>
      <w:divBdr>
        <w:top w:val="none" w:sz="0" w:space="0" w:color="auto"/>
        <w:left w:val="none" w:sz="0" w:space="0" w:color="auto"/>
        <w:bottom w:val="none" w:sz="0" w:space="0" w:color="auto"/>
        <w:right w:val="none" w:sz="0" w:space="0" w:color="auto"/>
      </w:divBdr>
    </w:div>
    <w:div w:id="210463025">
      <w:bodyDiv w:val="1"/>
      <w:marLeft w:val="0"/>
      <w:marRight w:val="0"/>
      <w:marTop w:val="0"/>
      <w:marBottom w:val="0"/>
      <w:divBdr>
        <w:top w:val="none" w:sz="0" w:space="0" w:color="auto"/>
        <w:left w:val="none" w:sz="0" w:space="0" w:color="auto"/>
        <w:bottom w:val="none" w:sz="0" w:space="0" w:color="auto"/>
        <w:right w:val="none" w:sz="0" w:space="0" w:color="auto"/>
      </w:divBdr>
    </w:div>
    <w:div w:id="211428433">
      <w:bodyDiv w:val="1"/>
      <w:marLeft w:val="0"/>
      <w:marRight w:val="0"/>
      <w:marTop w:val="0"/>
      <w:marBottom w:val="0"/>
      <w:divBdr>
        <w:top w:val="none" w:sz="0" w:space="0" w:color="auto"/>
        <w:left w:val="none" w:sz="0" w:space="0" w:color="auto"/>
        <w:bottom w:val="none" w:sz="0" w:space="0" w:color="auto"/>
        <w:right w:val="none" w:sz="0" w:space="0" w:color="auto"/>
      </w:divBdr>
    </w:div>
    <w:div w:id="214004570">
      <w:bodyDiv w:val="1"/>
      <w:marLeft w:val="0"/>
      <w:marRight w:val="0"/>
      <w:marTop w:val="0"/>
      <w:marBottom w:val="0"/>
      <w:divBdr>
        <w:top w:val="none" w:sz="0" w:space="0" w:color="auto"/>
        <w:left w:val="none" w:sz="0" w:space="0" w:color="auto"/>
        <w:bottom w:val="none" w:sz="0" w:space="0" w:color="auto"/>
        <w:right w:val="none" w:sz="0" w:space="0" w:color="auto"/>
      </w:divBdr>
    </w:div>
    <w:div w:id="214972890">
      <w:bodyDiv w:val="1"/>
      <w:marLeft w:val="0"/>
      <w:marRight w:val="0"/>
      <w:marTop w:val="0"/>
      <w:marBottom w:val="0"/>
      <w:divBdr>
        <w:top w:val="none" w:sz="0" w:space="0" w:color="auto"/>
        <w:left w:val="none" w:sz="0" w:space="0" w:color="auto"/>
        <w:bottom w:val="none" w:sz="0" w:space="0" w:color="auto"/>
        <w:right w:val="none" w:sz="0" w:space="0" w:color="auto"/>
      </w:divBdr>
    </w:div>
    <w:div w:id="215044622">
      <w:bodyDiv w:val="1"/>
      <w:marLeft w:val="0"/>
      <w:marRight w:val="0"/>
      <w:marTop w:val="0"/>
      <w:marBottom w:val="0"/>
      <w:divBdr>
        <w:top w:val="none" w:sz="0" w:space="0" w:color="auto"/>
        <w:left w:val="none" w:sz="0" w:space="0" w:color="auto"/>
        <w:bottom w:val="none" w:sz="0" w:space="0" w:color="auto"/>
        <w:right w:val="none" w:sz="0" w:space="0" w:color="auto"/>
      </w:divBdr>
    </w:div>
    <w:div w:id="218632757">
      <w:bodyDiv w:val="1"/>
      <w:marLeft w:val="0"/>
      <w:marRight w:val="0"/>
      <w:marTop w:val="0"/>
      <w:marBottom w:val="0"/>
      <w:divBdr>
        <w:top w:val="none" w:sz="0" w:space="0" w:color="auto"/>
        <w:left w:val="none" w:sz="0" w:space="0" w:color="auto"/>
        <w:bottom w:val="none" w:sz="0" w:space="0" w:color="auto"/>
        <w:right w:val="none" w:sz="0" w:space="0" w:color="auto"/>
      </w:divBdr>
    </w:div>
    <w:div w:id="219950389">
      <w:bodyDiv w:val="1"/>
      <w:marLeft w:val="0"/>
      <w:marRight w:val="0"/>
      <w:marTop w:val="0"/>
      <w:marBottom w:val="0"/>
      <w:divBdr>
        <w:top w:val="none" w:sz="0" w:space="0" w:color="auto"/>
        <w:left w:val="none" w:sz="0" w:space="0" w:color="auto"/>
        <w:bottom w:val="none" w:sz="0" w:space="0" w:color="auto"/>
        <w:right w:val="none" w:sz="0" w:space="0" w:color="auto"/>
      </w:divBdr>
    </w:div>
    <w:div w:id="222371353">
      <w:bodyDiv w:val="1"/>
      <w:marLeft w:val="0"/>
      <w:marRight w:val="0"/>
      <w:marTop w:val="0"/>
      <w:marBottom w:val="0"/>
      <w:divBdr>
        <w:top w:val="none" w:sz="0" w:space="0" w:color="auto"/>
        <w:left w:val="none" w:sz="0" w:space="0" w:color="auto"/>
        <w:bottom w:val="none" w:sz="0" w:space="0" w:color="auto"/>
        <w:right w:val="none" w:sz="0" w:space="0" w:color="auto"/>
      </w:divBdr>
    </w:div>
    <w:div w:id="224799353">
      <w:bodyDiv w:val="1"/>
      <w:marLeft w:val="0"/>
      <w:marRight w:val="0"/>
      <w:marTop w:val="0"/>
      <w:marBottom w:val="0"/>
      <w:divBdr>
        <w:top w:val="none" w:sz="0" w:space="0" w:color="auto"/>
        <w:left w:val="none" w:sz="0" w:space="0" w:color="auto"/>
        <w:bottom w:val="none" w:sz="0" w:space="0" w:color="auto"/>
        <w:right w:val="none" w:sz="0" w:space="0" w:color="auto"/>
      </w:divBdr>
    </w:div>
    <w:div w:id="225645755">
      <w:bodyDiv w:val="1"/>
      <w:marLeft w:val="0"/>
      <w:marRight w:val="0"/>
      <w:marTop w:val="0"/>
      <w:marBottom w:val="0"/>
      <w:divBdr>
        <w:top w:val="none" w:sz="0" w:space="0" w:color="auto"/>
        <w:left w:val="none" w:sz="0" w:space="0" w:color="auto"/>
        <w:bottom w:val="none" w:sz="0" w:space="0" w:color="auto"/>
        <w:right w:val="none" w:sz="0" w:space="0" w:color="auto"/>
      </w:divBdr>
    </w:div>
    <w:div w:id="227229736">
      <w:bodyDiv w:val="1"/>
      <w:marLeft w:val="0"/>
      <w:marRight w:val="0"/>
      <w:marTop w:val="0"/>
      <w:marBottom w:val="0"/>
      <w:divBdr>
        <w:top w:val="none" w:sz="0" w:space="0" w:color="auto"/>
        <w:left w:val="none" w:sz="0" w:space="0" w:color="auto"/>
        <w:bottom w:val="none" w:sz="0" w:space="0" w:color="auto"/>
        <w:right w:val="none" w:sz="0" w:space="0" w:color="auto"/>
      </w:divBdr>
    </w:div>
    <w:div w:id="228925778">
      <w:bodyDiv w:val="1"/>
      <w:marLeft w:val="0"/>
      <w:marRight w:val="0"/>
      <w:marTop w:val="0"/>
      <w:marBottom w:val="0"/>
      <w:divBdr>
        <w:top w:val="none" w:sz="0" w:space="0" w:color="auto"/>
        <w:left w:val="none" w:sz="0" w:space="0" w:color="auto"/>
        <w:bottom w:val="none" w:sz="0" w:space="0" w:color="auto"/>
        <w:right w:val="none" w:sz="0" w:space="0" w:color="auto"/>
      </w:divBdr>
    </w:div>
    <w:div w:id="233125676">
      <w:bodyDiv w:val="1"/>
      <w:marLeft w:val="0"/>
      <w:marRight w:val="0"/>
      <w:marTop w:val="0"/>
      <w:marBottom w:val="0"/>
      <w:divBdr>
        <w:top w:val="none" w:sz="0" w:space="0" w:color="auto"/>
        <w:left w:val="none" w:sz="0" w:space="0" w:color="auto"/>
        <w:bottom w:val="none" w:sz="0" w:space="0" w:color="auto"/>
        <w:right w:val="none" w:sz="0" w:space="0" w:color="auto"/>
      </w:divBdr>
    </w:div>
    <w:div w:id="233203604">
      <w:bodyDiv w:val="1"/>
      <w:marLeft w:val="0"/>
      <w:marRight w:val="0"/>
      <w:marTop w:val="0"/>
      <w:marBottom w:val="0"/>
      <w:divBdr>
        <w:top w:val="none" w:sz="0" w:space="0" w:color="auto"/>
        <w:left w:val="none" w:sz="0" w:space="0" w:color="auto"/>
        <w:bottom w:val="none" w:sz="0" w:space="0" w:color="auto"/>
        <w:right w:val="none" w:sz="0" w:space="0" w:color="auto"/>
      </w:divBdr>
    </w:div>
    <w:div w:id="233592168">
      <w:bodyDiv w:val="1"/>
      <w:marLeft w:val="0"/>
      <w:marRight w:val="0"/>
      <w:marTop w:val="0"/>
      <w:marBottom w:val="0"/>
      <w:divBdr>
        <w:top w:val="none" w:sz="0" w:space="0" w:color="auto"/>
        <w:left w:val="none" w:sz="0" w:space="0" w:color="auto"/>
        <w:bottom w:val="none" w:sz="0" w:space="0" w:color="auto"/>
        <w:right w:val="none" w:sz="0" w:space="0" w:color="auto"/>
      </w:divBdr>
    </w:div>
    <w:div w:id="234583921">
      <w:bodyDiv w:val="1"/>
      <w:marLeft w:val="0"/>
      <w:marRight w:val="0"/>
      <w:marTop w:val="0"/>
      <w:marBottom w:val="0"/>
      <w:divBdr>
        <w:top w:val="none" w:sz="0" w:space="0" w:color="auto"/>
        <w:left w:val="none" w:sz="0" w:space="0" w:color="auto"/>
        <w:bottom w:val="none" w:sz="0" w:space="0" w:color="auto"/>
        <w:right w:val="none" w:sz="0" w:space="0" w:color="auto"/>
      </w:divBdr>
    </w:div>
    <w:div w:id="235365349">
      <w:bodyDiv w:val="1"/>
      <w:marLeft w:val="0"/>
      <w:marRight w:val="0"/>
      <w:marTop w:val="0"/>
      <w:marBottom w:val="0"/>
      <w:divBdr>
        <w:top w:val="none" w:sz="0" w:space="0" w:color="auto"/>
        <w:left w:val="none" w:sz="0" w:space="0" w:color="auto"/>
        <w:bottom w:val="none" w:sz="0" w:space="0" w:color="auto"/>
        <w:right w:val="none" w:sz="0" w:space="0" w:color="auto"/>
      </w:divBdr>
    </w:div>
    <w:div w:id="235556795">
      <w:bodyDiv w:val="1"/>
      <w:marLeft w:val="0"/>
      <w:marRight w:val="0"/>
      <w:marTop w:val="0"/>
      <w:marBottom w:val="0"/>
      <w:divBdr>
        <w:top w:val="none" w:sz="0" w:space="0" w:color="auto"/>
        <w:left w:val="none" w:sz="0" w:space="0" w:color="auto"/>
        <w:bottom w:val="none" w:sz="0" w:space="0" w:color="auto"/>
        <w:right w:val="none" w:sz="0" w:space="0" w:color="auto"/>
      </w:divBdr>
    </w:div>
    <w:div w:id="236597234">
      <w:bodyDiv w:val="1"/>
      <w:marLeft w:val="0"/>
      <w:marRight w:val="0"/>
      <w:marTop w:val="0"/>
      <w:marBottom w:val="0"/>
      <w:divBdr>
        <w:top w:val="none" w:sz="0" w:space="0" w:color="auto"/>
        <w:left w:val="none" w:sz="0" w:space="0" w:color="auto"/>
        <w:bottom w:val="none" w:sz="0" w:space="0" w:color="auto"/>
        <w:right w:val="none" w:sz="0" w:space="0" w:color="auto"/>
      </w:divBdr>
    </w:div>
    <w:div w:id="236866146">
      <w:bodyDiv w:val="1"/>
      <w:marLeft w:val="0"/>
      <w:marRight w:val="0"/>
      <w:marTop w:val="0"/>
      <w:marBottom w:val="0"/>
      <w:divBdr>
        <w:top w:val="none" w:sz="0" w:space="0" w:color="auto"/>
        <w:left w:val="none" w:sz="0" w:space="0" w:color="auto"/>
        <w:bottom w:val="none" w:sz="0" w:space="0" w:color="auto"/>
        <w:right w:val="none" w:sz="0" w:space="0" w:color="auto"/>
      </w:divBdr>
    </w:div>
    <w:div w:id="236869198">
      <w:bodyDiv w:val="1"/>
      <w:marLeft w:val="0"/>
      <w:marRight w:val="0"/>
      <w:marTop w:val="0"/>
      <w:marBottom w:val="0"/>
      <w:divBdr>
        <w:top w:val="none" w:sz="0" w:space="0" w:color="auto"/>
        <w:left w:val="none" w:sz="0" w:space="0" w:color="auto"/>
        <w:bottom w:val="none" w:sz="0" w:space="0" w:color="auto"/>
        <w:right w:val="none" w:sz="0" w:space="0" w:color="auto"/>
      </w:divBdr>
    </w:div>
    <w:div w:id="237859757">
      <w:bodyDiv w:val="1"/>
      <w:marLeft w:val="0"/>
      <w:marRight w:val="0"/>
      <w:marTop w:val="0"/>
      <w:marBottom w:val="0"/>
      <w:divBdr>
        <w:top w:val="none" w:sz="0" w:space="0" w:color="auto"/>
        <w:left w:val="none" w:sz="0" w:space="0" w:color="auto"/>
        <w:bottom w:val="none" w:sz="0" w:space="0" w:color="auto"/>
        <w:right w:val="none" w:sz="0" w:space="0" w:color="auto"/>
      </w:divBdr>
    </w:div>
    <w:div w:id="243490874">
      <w:bodyDiv w:val="1"/>
      <w:marLeft w:val="0"/>
      <w:marRight w:val="0"/>
      <w:marTop w:val="0"/>
      <w:marBottom w:val="0"/>
      <w:divBdr>
        <w:top w:val="none" w:sz="0" w:space="0" w:color="auto"/>
        <w:left w:val="none" w:sz="0" w:space="0" w:color="auto"/>
        <w:bottom w:val="none" w:sz="0" w:space="0" w:color="auto"/>
        <w:right w:val="none" w:sz="0" w:space="0" w:color="auto"/>
      </w:divBdr>
    </w:div>
    <w:div w:id="243685770">
      <w:bodyDiv w:val="1"/>
      <w:marLeft w:val="0"/>
      <w:marRight w:val="0"/>
      <w:marTop w:val="0"/>
      <w:marBottom w:val="0"/>
      <w:divBdr>
        <w:top w:val="none" w:sz="0" w:space="0" w:color="auto"/>
        <w:left w:val="none" w:sz="0" w:space="0" w:color="auto"/>
        <w:bottom w:val="none" w:sz="0" w:space="0" w:color="auto"/>
        <w:right w:val="none" w:sz="0" w:space="0" w:color="auto"/>
      </w:divBdr>
    </w:div>
    <w:div w:id="244195303">
      <w:bodyDiv w:val="1"/>
      <w:marLeft w:val="0"/>
      <w:marRight w:val="0"/>
      <w:marTop w:val="0"/>
      <w:marBottom w:val="0"/>
      <w:divBdr>
        <w:top w:val="none" w:sz="0" w:space="0" w:color="auto"/>
        <w:left w:val="none" w:sz="0" w:space="0" w:color="auto"/>
        <w:bottom w:val="none" w:sz="0" w:space="0" w:color="auto"/>
        <w:right w:val="none" w:sz="0" w:space="0" w:color="auto"/>
      </w:divBdr>
    </w:div>
    <w:div w:id="244925456">
      <w:bodyDiv w:val="1"/>
      <w:marLeft w:val="0"/>
      <w:marRight w:val="0"/>
      <w:marTop w:val="0"/>
      <w:marBottom w:val="0"/>
      <w:divBdr>
        <w:top w:val="none" w:sz="0" w:space="0" w:color="auto"/>
        <w:left w:val="none" w:sz="0" w:space="0" w:color="auto"/>
        <w:bottom w:val="none" w:sz="0" w:space="0" w:color="auto"/>
        <w:right w:val="none" w:sz="0" w:space="0" w:color="auto"/>
      </w:divBdr>
    </w:div>
    <w:div w:id="245041308">
      <w:bodyDiv w:val="1"/>
      <w:marLeft w:val="0"/>
      <w:marRight w:val="0"/>
      <w:marTop w:val="0"/>
      <w:marBottom w:val="0"/>
      <w:divBdr>
        <w:top w:val="none" w:sz="0" w:space="0" w:color="auto"/>
        <w:left w:val="none" w:sz="0" w:space="0" w:color="auto"/>
        <w:bottom w:val="none" w:sz="0" w:space="0" w:color="auto"/>
        <w:right w:val="none" w:sz="0" w:space="0" w:color="auto"/>
      </w:divBdr>
    </w:div>
    <w:div w:id="246034337">
      <w:bodyDiv w:val="1"/>
      <w:marLeft w:val="0"/>
      <w:marRight w:val="0"/>
      <w:marTop w:val="0"/>
      <w:marBottom w:val="0"/>
      <w:divBdr>
        <w:top w:val="none" w:sz="0" w:space="0" w:color="auto"/>
        <w:left w:val="none" w:sz="0" w:space="0" w:color="auto"/>
        <w:bottom w:val="none" w:sz="0" w:space="0" w:color="auto"/>
        <w:right w:val="none" w:sz="0" w:space="0" w:color="auto"/>
      </w:divBdr>
    </w:div>
    <w:div w:id="246962665">
      <w:bodyDiv w:val="1"/>
      <w:marLeft w:val="0"/>
      <w:marRight w:val="0"/>
      <w:marTop w:val="0"/>
      <w:marBottom w:val="0"/>
      <w:divBdr>
        <w:top w:val="none" w:sz="0" w:space="0" w:color="auto"/>
        <w:left w:val="none" w:sz="0" w:space="0" w:color="auto"/>
        <w:bottom w:val="none" w:sz="0" w:space="0" w:color="auto"/>
        <w:right w:val="none" w:sz="0" w:space="0" w:color="auto"/>
      </w:divBdr>
    </w:div>
    <w:div w:id="249314419">
      <w:bodyDiv w:val="1"/>
      <w:marLeft w:val="0"/>
      <w:marRight w:val="0"/>
      <w:marTop w:val="0"/>
      <w:marBottom w:val="0"/>
      <w:divBdr>
        <w:top w:val="none" w:sz="0" w:space="0" w:color="auto"/>
        <w:left w:val="none" w:sz="0" w:space="0" w:color="auto"/>
        <w:bottom w:val="none" w:sz="0" w:space="0" w:color="auto"/>
        <w:right w:val="none" w:sz="0" w:space="0" w:color="auto"/>
      </w:divBdr>
    </w:div>
    <w:div w:id="249587522">
      <w:bodyDiv w:val="1"/>
      <w:marLeft w:val="0"/>
      <w:marRight w:val="0"/>
      <w:marTop w:val="0"/>
      <w:marBottom w:val="0"/>
      <w:divBdr>
        <w:top w:val="none" w:sz="0" w:space="0" w:color="auto"/>
        <w:left w:val="none" w:sz="0" w:space="0" w:color="auto"/>
        <w:bottom w:val="none" w:sz="0" w:space="0" w:color="auto"/>
        <w:right w:val="none" w:sz="0" w:space="0" w:color="auto"/>
      </w:divBdr>
    </w:div>
    <w:div w:id="249631573">
      <w:bodyDiv w:val="1"/>
      <w:marLeft w:val="0"/>
      <w:marRight w:val="0"/>
      <w:marTop w:val="0"/>
      <w:marBottom w:val="0"/>
      <w:divBdr>
        <w:top w:val="none" w:sz="0" w:space="0" w:color="auto"/>
        <w:left w:val="none" w:sz="0" w:space="0" w:color="auto"/>
        <w:bottom w:val="none" w:sz="0" w:space="0" w:color="auto"/>
        <w:right w:val="none" w:sz="0" w:space="0" w:color="auto"/>
      </w:divBdr>
    </w:div>
    <w:div w:id="249853619">
      <w:bodyDiv w:val="1"/>
      <w:marLeft w:val="0"/>
      <w:marRight w:val="0"/>
      <w:marTop w:val="0"/>
      <w:marBottom w:val="0"/>
      <w:divBdr>
        <w:top w:val="none" w:sz="0" w:space="0" w:color="auto"/>
        <w:left w:val="none" w:sz="0" w:space="0" w:color="auto"/>
        <w:bottom w:val="none" w:sz="0" w:space="0" w:color="auto"/>
        <w:right w:val="none" w:sz="0" w:space="0" w:color="auto"/>
      </w:divBdr>
    </w:div>
    <w:div w:id="252594368">
      <w:bodyDiv w:val="1"/>
      <w:marLeft w:val="0"/>
      <w:marRight w:val="0"/>
      <w:marTop w:val="0"/>
      <w:marBottom w:val="0"/>
      <w:divBdr>
        <w:top w:val="none" w:sz="0" w:space="0" w:color="auto"/>
        <w:left w:val="none" w:sz="0" w:space="0" w:color="auto"/>
        <w:bottom w:val="none" w:sz="0" w:space="0" w:color="auto"/>
        <w:right w:val="none" w:sz="0" w:space="0" w:color="auto"/>
      </w:divBdr>
    </w:div>
    <w:div w:id="252713631">
      <w:bodyDiv w:val="1"/>
      <w:marLeft w:val="0"/>
      <w:marRight w:val="0"/>
      <w:marTop w:val="0"/>
      <w:marBottom w:val="0"/>
      <w:divBdr>
        <w:top w:val="none" w:sz="0" w:space="0" w:color="auto"/>
        <w:left w:val="none" w:sz="0" w:space="0" w:color="auto"/>
        <w:bottom w:val="none" w:sz="0" w:space="0" w:color="auto"/>
        <w:right w:val="none" w:sz="0" w:space="0" w:color="auto"/>
      </w:divBdr>
    </w:div>
    <w:div w:id="255677502">
      <w:bodyDiv w:val="1"/>
      <w:marLeft w:val="0"/>
      <w:marRight w:val="0"/>
      <w:marTop w:val="0"/>
      <w:marBottom w:val="0"/>
      <w:divBdr>
        <w:top w:val="none" w:sz="0" w:space="0" w:color="auto"/>
        <w:left w:val="none" w:sz="0" w:space="0" w:color="auto"/>
        <w:bottom w:val="none" w:sz="0" w:space="0" w:color="auto"/>
        <w:right w:val="none" w:sz="0" w:space="0" w:color="auto"/>
      </w:divBdr>
    </w:div>
    <w:div w:id="255790511">
      <w:bodyDiv w:val="1"/>
      <w:marLeft w:val="0"/>
      <w:marRight w:val="0"/>
      <w:marTop w:val="0"/>
      <w:marBottom w:val="0"/>
      <w:divBdr>
        <w:top w:val="none" w:sz="0" w:space="0" w:color="auto"/>
        <w:left w:val="none" w:sz="0" w:space="0" w:color="auto"/>
        <w:bottom w:val="none" w:sz="0" w:space="0" w:color="auto"/>
        <w:right w:val="none" w:sz="0" w:space="0" w:color="auto"/>
      </w:divBdr>
    </w:div>
    <w:div w:id="257562508">
      <w:bodyDiv w:val="1"/>
      <w:marLeft w:val="0"/>
      <w:marRight w:val="0"/>
      <w:marTop w:val="0"/>
      <w:marBottom w:val="0"/>
      <w:divBdr>
        <w:top w:val="none" w:sz="0" w:space="0" w:color="auto"/>
        <w:left w:val="none" w:sz="0" w:space="0" w:color="auto"/>
        <w:bottom w:val="none" w:sz="0" w:space="0" w:color="auto"/>
        <w:right w:val="none" w:sz="0" w:space="0" w:color="auto"/>
      </w:divBdr>
    </w:div>
    <w:div w:id="258491406">
      <w:bodyDiv w:val="1"/>
      <w:marLeft w:val="0"/>
      <w:marRight w:val="0"/>
      <w:marTop w:val="0"/>
      <w:marBottom w:val="0"/>
      <w:divBdr>
        <w:top w:val="none" w:sz="0" w:space="0" w:color="auto"/>
        <w:left w:val="none" w:sz="0" w:space="0" w:color="auto"/>
        <w:bottom w:val="none" w:sz="0" w:space="0" w:color="auto"/>
        <w:right w:val="none" w:sz="0" w:space="0" w:color="auto"/>
      </w:divBdr>
    </w:div>
    <w:div w:id="259877250">
      <w:bodyDiv w:val="1"/>
      <w:marLeft w:val="0"/>
      <w:marRight w:val="0"/>
      <w:marTop w:val="0"/>
      <w:marBottom w:val="0"/>
      <w:divBdr>
        <w:top w:val="none" w:sz="0" w:space="0" w:color="auto"/>
        <w:left w:val="none" w:sz="0" w:space="0" w:color="auto"/>
        <w:bottom w:val="none" w:sz="0" w:space="0" w:color="auto"/>
        <w:right w:val="none" w:sz="0" w:space="0" w:color="auto"/>
      </w:divBdr>
    </w:div>
    <w:div w:id="260144921">
      <w:bodyDiv w:val="1"/>
      <w:marLeft w:val="0"/>
      <w:marRight w:val="0"/>
      <w:marTop w:val="0"/>
      <w:marBottom w:val="0"/>
      <w:divBdr>
        <w:top w:val="none" w:sz="0" w:space="0" w:color="auto"/>
        <w:left w:val="none" w:sz="0" w:space="0" w:color="auto"/>
        <w:bottom w:val="none" w:sz="0" w:space="0" w:color="auto"/>
        <w:right w:val="none" w:sz="0" w:space="0" w:color="auto"/>
      </w:divBdr>
    </w:div>
    <w:div w:id="262109692">
      <w:bodyDiv w:val="1"/>
      <w:marLeft w:val="0"/>
      <w:marRight w:val="0"/>
      <w:marTop w:val="0"/>
      <w:marBottom w:val="0"/>
      <w:divBdr>
        <w:top w:val="none" w:sz="0" w:space="0" w:color="auto"/>
        <w:left w:val="none" w:sz="0" w:space="0" w:color="auto"/>
        <w:bottom w:val="none" w:sz="0" w:space="0" w:color="auto"/>
        <w:right w:val="none" w:sz="0" w:space="0" w:color="auto"/>
      </w:divBdr>
    </w:div>
    <w:div w:id="262500529">
      <w:bodyDiv w:val="1"/>
      <w:marLeft w:val="0"/>
      <w:marRight w:val="0"/>
      <w:marTop w:val="0"/>
      <w:marBottom w:val="0"/>
      <w:divBdr>
        <w:top w:val="none" w:sz="0" w:space="0" w:color="auto"/>
        <w:left w:val="none" w:sz="0" w:space="0" w:color="auto"/>
        <w:bottom w:val="none" w:sz="0" w:space="0" w:color="auto"/>
        <w:right w:val="none" w:sz="0" w:space="0" w:color="auto"/>
      </w:divBdr>
    </w:div>
    <w:div w:id="263225306">
      <w:bodyDiv w:val="1"/>
      <w:marLeft w:val="0"/>
      <w:marRight w:val="0"/>
      <w:marTop w:val="0"/>
      <w:marBottom w:val="0"/>
      <w:divBdr>
        <w:top w:val="none" w:sz="0" w:space="0" w:color="auto"/>
        <w:left w:val="none" w:sz="0" w:space="0" w:color="auto"/>
        <w:bottom w:val="none" w:sz="0" w:space="0" w:color="auto"/>
        <w:right w:val="none" w:sz="0" w:space="0" w:color="auto"/>
      </w:divBdr>
    </w:div>
    <w:div w:id="265967549">
      <w:bodyDiv w:val="1"/>
      <w:marLeft w:val="0"/>
      <w:marRight w:val="0"/>
      <w:marTop w:val="0"/>
      <w:marBottom w:val="0"/>
      <w:divBdr>
        <w:top w:val="none" w:sz="0" w:space="0" w:color="auto"/>
        <w:left w:val="none" w:sz="0" w:space="0" w:color="auto"/>
        <w:bottom w:val="none" w:sz="0" w:space="0" w:color="auto"/>
        <w:right w:val="none" w:sz="0" w:space="0" w:color="auto"/>
      </w:divBdr>
    </w:div>
    <w:div w:id="266541250">
      <w:bodyDiv w:val="1"/>
      <w:marLeft w:val="0"/>
      <w:marRight w:val="0"/>
      <w:marTop w:val="0"/>
      <w:marBottom w:val="0"/>
      <w:divBdr>
        <w:top w:val="none" w:sz="0" w:space="0" w:color="auto"/>
        <w:left w:val="none" w:sz="0" w:space="0" w:color="auto"/>
        <w:bottom w:val="none" w:sz="0" w:space="0" w:color="auto"/>
        <w:right w:val="none" w:sz="0" w:space="0" w:color="auto"/>
      </w:divBdr>
    </w:div>
    <w:div w:id="266815082">
      <w:bodyDiv w:val="1"/>
      <w:marLeft w:val="0"/>
      <w:marRight w:val="0"/>
      <w:marTop w:val="0"/>
      <w:marBottom w:val="0"/>
      <w:divBdr>
        <w:top w:val="none" w:sz="0" w:space="0" w:color="auto"/>
        <w:left w:val="none" w:sz="0" w:space="0" w:color="auto"/>
        <w:bottom w:val="none" w:sz="0" w:space="0" w:color="auto"/>
        <w:right w:val="none" w:sz="0" w:space="0" w:color="auto"/>
      </w:divBdr>
    </w:div>
    <w:div w:id="266930947">
      <w:bodyDiv w:val="1"/>
      <w:marLeft w:val="0"/>
      <w:marRight w:val="0"/>
      <w:marTop w:val="0"/>
      <w:marBottom w:val="0"/>
      <w:divBdr>
        <w:top w:val="none" w:sz="0" w:space="0" w:color="auto"/>
        <w:left w:val="none" w:sz="0" w:space="0" w:color="auto"/>
        <w:bottom w:val="none" w:sz="0" w:space="0" w:color="auto"/>
        <w:right w:val="none" w:sz="0" w:space="0" w:color="auto"/>
      </w:divBdr>
    </w:div>
    <w:div w:id="268782952">
      <w:bodyDiv w:val="1"/>
      <w:marLeft w:val="0"/>
      <w:marRight w:val="0"/>
      <w:marTop w:val="0"/>
      <w:marBottom w:val="0"/>
      <w:divBdr>
        <w:top w:val="none" w:sz="0" w:space="0" w:color="auto"/>
        <w:left w:val="none" w:sz="0" w:space="0" w:color="auto"/>
        <w:bottom w:val="none" w:sz="0" w:space="0" w:color="auto"/>
        <w:right w:val="none" w:sz="0" w:space="0" w:color="auto"/>
      </w:divBdr>
    </w:div>
    <w:div w:id="272523009">
      <w:bodyDiv w:val="1"/>
      <w:marLeft w:val="0"/>
      <w:marRight w:val="0"/>
      <w:marTop w:val="0"/>
      <w:marBottom w:val="0"/>
      <w:divBdr>
        <w:top w:val="none" w:sz="0" w:space="0" w:color="auto"/>
        <w:left w:val="none" w:sz="0" w:space="0" w:color="auto"/>
        <w:bottom w:val="none" w:sz="0" w:space="0" w:color="auto"/>
        <w:right w:val="none" w:sz="0" w:space="0" w:color="auto"/>
      </w:divBdr>
    </w:div>
    <w:div w:id="276067222">
      <w:bodyDiv w:val="1"/>
      <w:marLeft w:val="0"/>
      <w:marRight w:val="0"/>
      <w:marTop w:val="0"/>
      <w:marBottom w:val="0"/>
      <w:divBdr>
        <w:top w:val="none" w:sz="0" w:space="0" w:color="auto"/>
        <w:left w:val="none" w:sz="0" w:space="0" w:color="auto"/>
        <w:bottom w:val="none" w:sz="0" w:space="0" w:color="auto"/>
        <w:right w:val="none" w:sz="0" w:space="0" w:color="auto"/>
      </w:divBdr>
    </w:div>
    <w:div w:id="276838968">
      <w:bodyDiv w:val="1"/>
      <w:marLeft w:val="0"/>
      <w:marRight w:val="0"/>
      <w:marTop w:val="0"/>
      <w:marBottom w:val="0"/>
      <w:divBdr>
        <w:top w:val="none" w:sz="0" w:space="0" w:color="auto"/>
        <w:left w:val="none" w:sz="0" w:space="0" w:color="auto"/>
        <w:bottom w:val="none" w:sz="0" w:space="0" w:color="auto"/>
        <w:right w:val="none" w:sz="0" w:space="0" w:color="auto"/>
      </w:divBdr>
    </w:div>
    <w:div w:id="277951028">
      <w:bodyDiv w:val="1"/>
      <w:marLeft w:val="0"/>
      <w:marRight w:val="0"/>
      <w:marTop w:val="0"/>
      <w:marBottom w:val="0"/>
      <w:divBdr>
        <w:top w:val="none" w:sz="0" w:space="0" w:color="auto"/>
        <w:left w:val="none" w:sz="0" w:space="0" w:color="auto"/>
        <w:bottom w:val="none" w:sz="0" w:space="0" w:color="auto"/>
        <w:right w:val="none" w:sz="0" w:space="0" w:color="auto"/>
      </w:divBdr>
    </w:div>
    <w:div w:id="278875839">
      <w:bodyDiv w:val="1"/>
      <w:marLeft w:val="0"/>
      <w:marRight w:val="0"/>
      <w:marTop w:val="0"/>
      <w:marBottom w:val="0"/>
      <w:divBdr>
        <w:top w:val="none" w:sz="0" w:space="0" w:color="auto"/>
        <w:left w:val="none" w:sz="0" w:space="0" w:color="auto"/>
        <w:bottom w:val="none" w:sz="0" w:space="0" w:color="auto"/>
        <w:right w:val="none" w:sz="0" w:space="0" w:color="auto"/>
      </w:divBdr>
    </w:div>
    <w:div w:id="280192119">
      <w:bodyDiv w:val="1"/>
      <w:marLeft w:val="0"/>
      <w:marRight w:val="0"/>
      <w:marTop w:val="0"/>
      <w:marBottom w:val="0"/>
      <w:divBdr>
        <w:top w:val="none" w:sz="0" w:space="0" w:color="auto"/>
        <w:left w:val="none" w:sz="0" w:space="0" w:color="auto"/>
        <w:bottom w:val="none" w:sz="0" w:space="0" w:color="auto"/>
        <w:right w:val="none" w:sz="0" w:space="0" w:color="auto"/>
      </w:divBdr>
    </w:div>
    <w:div w:id="283467516">
      <w:bodyDiv w:val="1"/>
      <w:marLeft w:val="0"/>
      <w:marRight w:val="0"/>
      <w:marTop w:val="0"/>
      <w:marBottom w:val="0"/>
      <w:divBdr>
        <w:top w:val="none" w:sz="0" w:space="0" w:color="auto"/>
        <w:left w:val="none" w:sz="0" w:space="0" w:color="auto"/>
        <w:bottom w:val="none" w:sz="0" w:space="0" w:color="auto"/>
        <w:right w:val="none" w:sz="0" w:space="0" w:color="auto"/>
      </w:divBdr>
    </w:div>
    <w:div w:id="284311640">
      <w:bodyDiv w:val="1"/>
      <w:marLeft w:val="0"/>
      <w:marRight w:val="0"/>
      <w:marTop w:val="0"/>
      <w:marBottom w:val="0"/>
      <w:divBdr>
        <w:top w:val="none" w:sz="0" w:space="0" w:color="auto"/>
        <w:left w:val="none" w:sz="0" w:space="0" w:color="auto"/>
        <w:bottom w:val="none" w:sz="0" w:space="0" w:color="auto"/>
        <w:right w:val="none" w:sz="0" w:space="0" w:color="auto"/>
      </w:divBdr>
    </w:div>
    <w:div w:id="285703358">
      <w:bodyDiv w:val="1"/>
      <w:marLeft w:val="0"/>
      <w:marRight w:val="0"/>
      <w:marTop w:val="0"/>
      <w:marBottom w:val="0"/>
      <w:divBdr>
        <w:top w:val="none" w:sz="0" w:space="0" w:color="auto"/>
        <w:left w:val="none" w:sz="0" w:space="0" w:color="auto"/>
        <w:bottom w:val="none" w:sz="0" w:space="0" w:color="auto"/>
        <w:right w:val="none" w:sz="0" w:space="0" w:color="auto"/>
      </w:divBdr>
    </w:div>
    <w:div w:id="287245137">
      <w:bodyDiv w:val="1"/>
      <w:marLeft w:val="0"/>
      <w:marRight w:val="0"/>
      <w:marTop w:val="0"/>
      <w:marBottom w:val="0"/>
      <w:divBdr>
        <w:top w:val="none" w:sz="0" w:space="0" w:color="auto"/>
        <w:left w:val="none" w:sz="0" w:space="0" w:color="auto"/>
        <w:bottom w:val="none" w:sz="0" w:space="0" w:color="auto"/>
        <w:right w:val="none" w:sz="0" w:space="0" w:color="auto"/>
      </w:divBdr>
    </w:div>
    <w:div w:id="290407126">
      <w:bodyDiv w:val="1"/>
      <w:marLeft w:val="0"/>
      <w:marRight w:val="0"/>
      <w:marTop w:val="0"/>
      <w:marBottom w:val="0"/>
      <w:divBdr>
        <w:top w:val="none" w:sz="0" w:space="0" w:color="auto"/>
        <w:left w:val="none" w:sz="0" w:space="0" w:color="auto"/>
        <w:bottom w:val="none" w:sz="0" w:space="0" w:color="auto"/>
        <w:right w:val="none" w:sz="0" w:space="0" w:color="auto"/>
      </w:divBdr>
    </w:div>
    <w:div w:id="290522320">
      <w:bodyDiv w:val="1"/>
      <w:marLeft w:val="0"/>
      <w:marRight w:val="0"/>
      <w:marTop w:val="0"/>
      <w:marBottom w:val="0"/>
      <w:divBdr>
        <w:top w:val="none" w:sz="0" w:space="0" w:color="auto"/>
        <w:left w:val="none" w:sz="0" w:space="0" w:color="auto"/>
        <w:bottom w:val="none" w:sz="0" w:space="0" w:color="auto"/>
        <w:right w:val="none" w:sz="0" w:space="0" w:color="auto"/>
      </w:divBdr>
    </w:div>
    <w:div w:id="293097803">
      <w:bodyDiv w:val="1"/>
      <w:marLeft w:val="0"/>
      <w:marRight w:val="0"/>
      <w:marTop w:val="0"/>
      <w:marBottom w:val="0"/>
      <w:divBdr>
        <w:top w:val="none" w:sz="0" w:space="0" w:color="auto"/>
        <w:left w:val="none" w:sz="0" w:space="0" w:color="auto"/>
        <w:bottom w:val="none" w:sz="0" w:space="0" w:color="auto"/>
        <w:right w:val="none" w:sz="0" w:space="0" w:color="auto"/>
      </w:divBdr>
    </w:div>
    <w:div w:id="294335725">
      <w:bodyDiv w:val="1"/>
      <w:marLeft w:val="0"/>
      <w:marRight w:val="0"/>
      <w:marTop w:val="0"/>
      <w:marBottom w:val="0"/>
      <w:divBdr>
        <w:top w:val="none" w:sz="0" w:space="0" w:color="auto"/>
        <w:left w:val="none" w:sz="0" w:space="0" w:color="auto"/>
        <w:bottom w:val="none" w:sz="0" w:space="0" w:color="auto"/>
        <w:right w:val="none" w:sz="0" w:space="0" w:color="auto"/>
      </w:divBdr>
    </w:div>
    <w:div w:id="298221134">
      <w:bodyDiv w:val="1"/>
      <w:marLeft w:val="0"/>
      <w:marRight w:val="0"/>
      <w:marTop w:val="0"/>
      <w:marBottom w:val="0"/>
      <w:divBdr>
        <w:top w:val="none" w:sz="0" w:space="0" w:color="auto"/>
        <w:left w:val="none" w:sz="0" w:space="0" w:color="auto"/>
        <w:bottom w:val="none" w:sz="0" w:space="0" w:color="auto"/>
        <w:right w:val="none" w:sz="0" w:space="0" w:color="auto"/>
      </w:divBdr>
    </w:div>
    <w:div w:id="303051200">
      <w:bodyDiv w:val="1"/>
      <w:marLeft w:val="0"/>
      <w:marRight w:val="0"/>
      <w:marTop w:val="0"/>
      <w:marBottom w:val="0"/>
      <w:divBdr>
        <w:top w:val="none" w:sz="0" w:space="0" w:color="auto"/>
        <w:left w:val="none" w:sz="0" w:space="0" w:color="auto"/>
        <w:bottom w:val="none" w:sz="0" w:space="0" w:color="auto"/>
        <w:right w:val="none" w:sz="0" w:space="0" w:color="auto"/>
      </w:divBdr>
    </w:div>
    <w:div w:id="304511394">
      <w:bodyDiv w:val="1"/>
      <w:marLeft w:val="0"/>
      <w:marRight w:val="0"/>
      <w:marTop w:val="0"/>
      <w:marBottom w:val="0"/>
      <w:divBdr>
        <w:top w:val="none" w:sz="0" w:space="0" w:color="auto"/>
        <w:left w:val="none" w:sz="0" w:space="0" w:color="auto"/>
        <w:bottom w:val="none" w:sz="0" w:space="0" w:color="auto"/>
        <w:right w:val="none" w:sz="0" w:space="0" w:color="auto"/>
      </w:divBdr>
    </w:div>
    <w:div w:id="310448388">
      <w:bodyDiv w:val="1"/>
      <w:marLeft w:val="0"/>
      <w:marRight w:val="0"/>
      <w:marTop w:val="0"/>
      <w:marBottom w:val="0"/>
      <w:divBdr>
        <w:top w:val="none" w:sz="0" w:space="0" w:color="auto"/>
        <w:left w:val="none" w:sz="0" w:space="0" w:color="auto"/>
        <w:bottom w:val="none" w:sz="0" w:space="0" w:color="auto"/>
        <w:right w:val="none" w:sz="0" w:space="0" w:color="auto"/>
      </w:divBdr>
    </w:div>
    <w:div w:id="312758878">
      <w:bodyDiv w:val="1"/>
      <w:marLeft w:val="0"/>
      <w:marRight w:val="0"/>
      <w:marTop w:val="0"/>
      <w:marBottom w:val="0"/>
      <w:divBdr>
        <w:top w:val="none" w:sz="0" w:space="0" w:color="auto"/>
        <w:left w:val="none" w:sz="0" w:space="0" w:color="auto"/>
        <w:bottom w:val="none" w:sz="0" w:space="0" w:color="auto"/>
        <w:right w:val="none" w:sz="0" w:space="0" w:color="auto"/>
      </w:divBdr>
    </w:div>
    <w:div w:id="314526835">
      <w:bodyDiv w:val="1"/>
      <w:marLeft w:val="0"/>
      <w:marRight w:val="0"/>
      <w:marTop w:val="0"/>
      <w:marBottom w:val="0"/>
      <w:divBdr>
        <w:top w:val="none" w:sz="0" w:space="0" w:color="auto"/>
        <w:left w:val="none" w:sz="0" w:space="0" w:color="auto"/>
        <w:bottom w:val="none" w:sz="0" w:space="0" w:color="auto"/>
        <w:right w:val="none" w:sz="0" w:space="0" w:color="auto"/>
      </w:divBdr>
    </w:div>
    <w:div w:id="314769876">
      <w:bodyDiv w:val="1"/>
      <w:marLeft w:val="0"/>
      <w:marRight w:val="0"/>
      <w:marTop w:val="0"/>
      <w:marBottom w:val="0"/>
      <w:divBdr>
        <w:top w:val="none" w:sz="0" w:space="0" w:color="auto"/>
        <w:left w:val="none" w:sz="0" w:space="0" w:color="auto"/>
        <w:bottom w:val="none" w:sz="0" w:space="0" w:color="auto"/>
        <w:right w:val="none" w:sz="0" w:space="0" w:color="auto"/>
      </w:divBdr>
    </w:div>
    <w:div w:id="315303121">
      <w:bodyDiv w:val="1"/>
      <w:marLeft w:val="0"/>
      <w:marRight w:val="0"/>
      <w:marTop w:val="0"/>
      <w:marBottom w:val="0"/>
      <w:divBdr>
        <w:top w:val="none" w:sz="0" w:space="0" w:color="auto"/>
        <w:left w:val="none" w:sz="0" w:space="0" w:color="auto"/>
        <w:bottom w:val="none" w:sz="0" w:space="0" w:color="auto"/>
        <w:right w:val="none" w:sz="0" w:space="0" w:color="auto"/>
      </w:divBdr>
    </w:div>
    <w:div w:id="316306377">
      <w:bodyDiv w:val="1"/>
      <w:marLeft w:val="0"/>
      <w:marRight w:val="0"/>
      <w:marTop w:val="0"/>
      <w:marBottom w:val="0"/>
      <w:divBdr>
        <w:top w:val="none" w:sz="0" w:space="0" w:color="auto"/>
        <w:left w:val="none" w:sz="0" w:space="0" w:color="auto"/>
        <w:bottom w:val="none" w:sz="0" w:space="0" w:color="auto"/>
        <w:right w:val="none" w:sz="0" w:space="0" w:color="auto"/>
      </w:divBdr>
    </w:div>
    <w:div w:id="316885709">
      <w:bodyDiv w:val="1"/>
      <w:marLeft w:val="0"/>
      <w:marRight w:val="0"/>
      <w:marTop w:val="0"/>
      <w:marBottom w:val="0"/>
      <w:divBdr>
        <w:top w:val="none" w:sz="0" w:space="0" w:color="auto"/>
        <w:left w:val="none" w:sz="0" w:space="0" w:color="auto"/>
        <w:bottom w:val="none" w:sz="0" w:space="0" w:color="auto"/>
        <w:right w:val="none" w:sz="0" w:space="0" w:color="auto"/>
      </w:divBdr>
    </w:div>
    <w:div w:id="316962400">
      <w:bodyDiv w:val="1"/>
      <w:marLeft w:val="0"/>
      <w:marRight w:val="0"/>
      <w:marTop w:val="0"/>
      <w:marBottom w:val="0"/>
      <w:divBdr>
        <w:top w:val="none" w:sz="0" w:space="0" w:color="auto"/>
        <w:left w:val="none" w:sz="0" w:space="0" w:color="auto"/>
        <w:bottom w:val="none" w:sz="0" w:space="0" w:color="auto"/>
        <w:right w:val="none" w:sz="0" w:space="0" w:color="auto"/>
      </w:divBdr>
    </w:div>
    <w:div w:id="317463793">
      <w:bodyDiv w:val="1"/>
      <w:marLeft w:val="0"/>
      <w:marRight w:val="0"/>
      <w:marTop w:val="0"/>
      <w:marBottom w:val="0"/>
      <w:divBdr>
        <w:top w:val="none" w:sz="0" w:space="0" w:color="auto"/>
        <w:left w:val="none" w:sz="0" w:space="0" w:color="auto"/>
        <w:bottom w:val="none" w:sz="0" w:space="0" w:color="auto"/>
        <w:right w:val="none" w:sz="0" w:space="0" w:color="auto"/>
      </w:divBdr>
    </w:div>
    <w:div w:id="318266180">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21394971">
      <w:bodyDiv w:val="1"/>
      <w:marLeft w:val="0"/>
      <w:marRight w:val="0"/>
      <w:marTop w:val="0"/>
      <w:marBottom w:val="0"/>
      <w:divBdr>
        <w:top w:val="none" w:sz="0" w:space="0" w:color="auto"/>
        <w:left w:val="none" w:sz="0" w:space="0" w:color="auto"/>
        <w:bottom w:val="none" w:sz="0" w:space="0" w:color="auto"/>
        <w:right w:val="none" w:sz="0" w:space="0" w:color="auto"/>
      </w:divBdr>
    </w:div>
    <w:div w:id="322128717">
      <w:bodyDiv w:val="1"/>
      <w:marLeft w:val="0"/>
      <w:marRight w:val="0"/>
      <w:marTop w:val="0"/>
      <w:marBottom w:val="0"/>
      <w:divBdr>
        <w:top w:val="none" w:sz="0" w:space="0" w:color="auto"/>
        <w:left w:val="none" w:sz="0" w:space="0" w:color="auto"/>
        <w:bottom w:val="none" w:sz="0" w:space="0" w:color="auto"/>
        <w:right w:val="none" w:sz="0" w:space="0" w:color="auto"/>
      </w:divBdr>
    </w:div>
    <w:div w:id="322785323">
      <w:bodyDiv w:val="1"/>
      <w:marLeft w:val="0"/>
      <w:marRight w:val="0"/>
      <w:marTop w:val="0"/>
      <w:marBottom w:val="0"/>
      <w:divBdr>
        <w:top w:val="none" w:sz="0" w:space="0" w:color="auto"/>
        <w:left w:val="none" w:sz="0" w:space="0" w:color="auto"/>
        <w:bottom w:val="none" w:sz="0" w:space="0" w:color="auto"/>
        <w:right w:val="none" w:sz="0" w:space="0" w:color="auto"/>
      </w:divBdr>
    </w:div>
    <w:div w:id="322971306">
      <w:bodyDiv w:val="1"/>
      <w:marLeft w:val="0"/>
      <w:marRight w:val="0"/>
      <w:marTop w:val="0"/>
      <w:marBottom w:val="0"/>
      <w:divBdr>
        <w:top w:val="none" w:sz="0" w:space="0" w:color="auto"/>
        <w:left w:val="none" w:sz="0" w:space="0" w:color="auto"/>
        <w:bottom w:val="none" w:sz="0" w:space="0" w:color="auto"/>
        <w:right w:val="none" w:sz="0" w:space="0" w:color="auto"/>
      </w:divBdr>
    </w:div>
    <w:div w:id="326133943">
      <w:bodyDiv w:val="1"/>
      <w:marLeft w:val="0"/>
      <w:marRight w:val="0"/>
      <w:marTop w:val="0"/>
      <w:marBottom w:val="0"/>
      <w:divBdr>
        <w:top w:val="none" w:sz="0" w:space="0" w:color="auto"/>
        <w:left w:val="none" w:sz="0" w:space="0" w:color="auto"/>
        <w:bottom w:val="none" w:sz="0" w:space="0" w:color="auto"/>
        <w:right w:val="none" w:sz="0" w:space="0" w:color="auto"/>
      </w:divBdr>
    </w:div>
    <w:div w:id="326204457">
      <w:bodyDiv w:val="1"/>
      <w:marLeft w:val="0"/>
      <w:marRight w:val="0"/>
      <w:marTop w:val="0"/>
      <w:marBottom w:val="0"/>
      <w:divBdr>
        <w:top w:val="none" w:sz="0" w:space="0" w:color="auto"/>
        <w:left w:val="none" w:sz="0" w:space="0" w:color="auto"/>
        <w:bottom w:val="none" w:sz="0" w:space="0" w:color="auto"/>
        <w:right w:val="none" w:sz="0" w:space="0" w:color="auto"/>
      </w:divBdr>
    </w:div>
    <w:div w:id="326831383">
      <w:bodyDiv w:val="1"/>
      <w:marLeft w:val="0"/>
      <w:marRight w:val="0"/>
      <w:marTop w:val="0"/>
      <w:marBottom w:val="0"/>
      <w:divBdr>
        <w:top w:val="none" w:sz="0" w:space="0" w:color="auto"/>
        <w:left w:val="none" w:sz="0" w:space="0" w:color="auto"/>
        <w:bottom w:val="none" w:sz="0" w:space="0" w:color="auto"/>
        <w:right w:val="none" w:sz="0" w:space="0" w:color="auto"/>
      </w:divBdr>
    </w:div>
    <w:div w:id="327558869">
      <w:bodyDiv w:val="1"/>
      <w:marLeft w:val="0"/>
      <w:marRight w:val="0"/>
      <w:marTop w:val="0"/>
      <w:marBottom w:val="0"/>
      <w:divBdr>
        <w:top w:val="none" w:sz="0" w:space="0" w:color="auto"/>
        <w:left w:val="none" w:sz="0" w:space="0" w:color="auto"/>
        <w:bottom w:val="none" w:sz="0" w:space="0" w:color="auto"/>
        <w:right w:val="none" w:sz="0" w:space="0" w:color="auto"/>
      </w:divBdr>
    </w:div>
    <w:div w:id="327827772">
      <w:bodyDiv w:val="1"/>
      <w:marLeft w:val="0"/>
      <w:marRight w:val="0"/>
      <w:marTop w:val="0"/>
      <w:marBottom w:val="0"/>
      <w:divBdr>
        <w:top w:val="none" w:sz="0" w:space="0" w:color="auto"/>
        <w:left w:val="none" w:sz="0" w:space="0" w:color="auto"/>
        <w:bottom w:val="none" w:sz="0" w:space="0" w:color="auto"/>
        <w:right w:val="none" w:sz="0" w:space="0" w:color="auto"/>
      </w:divBdr>
    </w:div>
    <w:div w:id="329140495">
      <w:bodyDiv w:val="1"/>
      <w:marLeft w:val="0"/>
      <w:marRight w:val="0"/>
      <w:marTop w:val="0"/>
      <w:marBottom w:val="0"/>
      <w:divBdr>
        <w:top w:val="none" w:sz="0" w:space="0" w:color="auto"/>
        <w:left w:val="none" w:sz="0" w:space="0" w:color="auto"/>
        <w:bottom w:val="none" w:sz="0" w:space="0" w:color="auto"/>
        <w:right w:val="none" w:sz="0" w:space="0" w:color="auto"/>
      </w:divBdr>
    </w:div>
    <w:div w:id="334696198">
      <w:bodyDiv w:val="1"/>
      <w:marLeft w:val="0"/>
      <w:marRight w:val="0"/>
      <w:marTop w:val="0"/>
      <w:marBottom w:val="0"/>
      <w:divBdr>
        <w:top w:val="none" w:sz="0" w:space="0" w:color="auto"/>
        <w:left w:val="none" w:sz="0" w:space="0" w:color="auto"/>
        <w:bottom w:val="none" w:sz="0" w:space="0" w:color="auto"/>
        <w:right w:val="none" w:sz="0" w:space="0" w:color="auto"/>
      </w:divBdr>
    </w:div>
    <w:div w:id="335962655">
      <w:bodyDiv w:val="1"/>
      <w:marLeft w:val="0"/>
      <w:marRight w:val="0"/>
      <w:marTop w:val="0"/>
      <w:marBottom w:val="0"/>
      <w:divBdr>
        <w:top w:val="none" w:sz="0" w:space="0" w:color="auto"/>
        <w:left w:val="none" w:sz="0" w:space="0" w:color="auto"/>
        <w:bottom w:val="none" w:sz="0" w:space="0" w:color="auto"/>
        <w:right w:val="none" w:sz="0" w:space="0" w:color="auto"/>
      </w:divBdr>
    </w:div>
    <w:div w:id="339240333">
      <w:bodyDiv w:val="1"/>
      <w:marLeft w:val="0"/>
      <w:marRight w:val="0"/>
      <w:marTop w:val="0"/>
      <w:marBottom w:val="0"/>
      <w:divBdr>
        <w:top w:val="none" w:sz="0" w:space="0" w:color="auto"/>
        <w:left w:val="none" w:sz="0" w:space="0" w:color="auto"/>
        <w:bottom w:val="none" w:sz="0" w:space="0" w:color="auto"/>
        <w:right w:val="none" w:sz="0" w:space="0" w:color="auto"/>
      </w:divBdr>
    </w:div>
    <w:div w:id="339547982">
      <w:bodyDiv w:val="1"/>
      <w:marLeft w:val="0"/>
      <w:marRight w:val="0"/>
      <w:marTop w:val="0"/>
      <w:marBottom w:val="0"/>
      <w:divBdr>
        <w:top w:val="none" w:sz="0" w:space="0" w:color="auto"/>
        <w:left w:val="none" w:sz="0" w:space="0" w:color="auto"/>
        <w:bottom w:val="none" w:sz="0" w:space="0" w:color="auto"/>
        <w:right w:val="none" w:sz="0" w:space="0" w:color="auto"/>
      </w:divBdr>
    </w:div>
    <w:div w:id="339620793">
      <w:bodyDiv w:val="1"/>
      <w:marLeft w:val="0"/>
      <w:marRight w:val="0"/>
      <w:marTop w:val="0"/>
      <w:marBottom w:val="0"/>
      <w:divBdr>
        <w:top w:val="none" w:sz="0" w:space="0" w:color="auto"/>
        <w:left w:val="none" w:sz="0" w:space="0" w:color="auto"/>
        <w:bottom w:val="none" w:sz="0" w:space="0" w:color="auto"/>
        <w:right w:val="none" w:sz="0" w:space="0" w:color="auto"/>
      </w:divBdr>
    </w:div>
    <w:div w:id="341472425">
      <w:bodyDiv w:val="1"/>
      <w:marLeft w:val="0"/>
      <w:marRight w:val="0"/>
      <w:marTop w:val="0"/>
      <w:marBottom w:val="0"/>
      <w:divBdr>
        <w:top w:val="none" w:sz="0" w:space="0" w:color="auto"/>
        <w:left w:val="none" w:sz="0" w:space="0" w:color="auto"/>
        <w:bottom w:val="none" w:sz="0" w:space="0" w:color="auto"/>
        <w:right w:val="none" w:sz="0" w:space="0" w:color="auto"/>
      </w:divBdr>
    </w:div>
    <w:div w:id="341589831">
      <w:bodyDiv w:val="1"/>
      <w:marLeft w:val="0"/>
      <w:marRight w:val="0"/>
      <w:marTop w:val="0"/>
      <w:marBottom w:val="0"/>
      <w:divBdr>
        <w:top w:val="none" w:sz="0" w:space="0" w:color="auto"/>
        <w:left w:val="none" w:sz="0" w:space="0" w:color="auto"/>
        <w:bottom w:val="none" w:sz="0" w:space="0" w:color="auto"/>
        <w:right w:val="none" w:sz="0" w:space="0" w:color="auto"/>
      </w:divBdr>
    </w:div>
    <w:div w:id="341787340">
      <w:bodyDiv w:val="1"/>
      <w:marLeft w:val="0"/>
      <w:marRight w:val="0"/>
      <w:marTop w:val="0"/>
      <w:marBottom w:val="0"/>
      <w:divBdr>
        <w:top w:val="none" w:sz="0" w:space="0" w:color="auto"/>
        <w:left w:val="none" w:sz="0" w:space="0" w:color="auto"/>
        <w:bottom w:val="none" w:sz="0" w:space="0" w:color="auto"/>
        <w:right w:val="none" w:sz="0" w:space="0" w:color="auto"/>
      </w:divBdr>
    </w:div>
    <w:div w:id="344215411">
      <w:bodyDiv w:val="1"/>
      <w:marLeft w:val="0"/>
      <w:marRight w:val="0"/>
      <w:marTop w:val="0"/>
      <w:marBottom w:val="0"/>
      <w:divBdr>
        <w:top w:val="none" w:sz="0" w:space="0" w:color="auto"/>
        <w:left w:val="none" w:sz="0" w:space="0" w:color="auto"/>
        <w:bottom w:val="none" w:sz="0" w:space="0" w:color="auto"/>
        <w:right w:val="none" w:sz="0" w:space="0" w:color="auto"/>
      </w:divBdr>
    </w:div>
    <w:div w:id="344674539">
      <w:bodyDiv w:val="1"/>
      <w:marLeft w:val="0"/>
      <w:marRight w:val="0"/>
      <w:marTop w:val="0"/>
      <w:marBottom w:val="0"/>
      <w:divBdr>
        <w:top w:val="none" w:sz="0" w:space="0" w:color="auto"/>
        <w:left w:val="none" w:sz="0" w:space="0" w:color="auto"/>
        <w:bottom w:val="none" w:sz="0" w:space="0" w:color="auto"/>
        <w:right w:val="none" w:sz="0" w:space="0" w:color="auto"/>
      </w:divBdr>
    </w:div>
    <w:div w:id="345980106">
      <w:bodyDiv w:val="1"/>
      <w:marLeft w:val="0"/>
      <w:marRight w:val="0"/>
      <w:marTop w:val="0"/>
      <w:marBottom w:val="0"/>
      <w:divBdr>
        <w:top w:val="none" w:sz="0" w:space="0" w:color="auto"/>
        <w:left w:val="none" w:sz="0" w:space="0" w:color="auto"/>
        <w:bottom w:val="none" w:sz="0" w:space="0" w:color="auto"/>
        <w:right w:val="none" w:sz="0" w:space="0" w:color="auto"/>
      </w:divBdr>
    </w:div>
    <w:div w:id="347030567">
      <w:bodyDiv w:val="1"/>
      <w:marLeft w:val="0"/>
      <w:marRight w:val="0"/>
      <w:marTop w:val="0"/>
      <w:marBottom w:val="0"/>
      <w:divBdr>
        <w:top w:val="none" w:sz="0" w:space="0" w:color="auto"/>
        <w:left w:val="none" w:sz="0" w:space="0" w:color="auto"/>
        <w:bottom w:val="none" w:sz="0" w:space="0" w:color="auto"/>
        <w:right w:val="none" w:sz="0" w:space="0" w:color="auto"/>
      </w:divBdr>
    </w:div>
    <w:div w:id="348684007">
      <w:bodyDiv w:val="1"/>
      <w:marLeft w:val="0"/>
      <w:marRight w:val="0"/>
      <w:marTop w:val="0"/>
      <w:marBottom w:val="0"/>
      <w:divBdr>
        <w:top w:val="none" w:sz="0" w:space="0" w:color="auto"/>
        <w:left w:val="none" w:sz="0" w:space="0" w:color="auto"/>
        <w:bottom w:val="none" w:sz="0" w:space="0" w:color="auto"/>
        <w:right w:val="none" w:sz="0" w:space="0" w:color="auto"/>
      </w:divBdr>
    </w:div>
    <w:div w:id="351802977">
      <w:bodyDiv w:val="1"/>
      <w:marLeft w:val="0"/>
      <w:marRight w:val="0"/>
      <w:marTop w:val="0"/>
      <w:marBottom w:val="0"/>
      <w:divBdr>
        <w:top w:val="none" w:sz="0" w:space="0" w:color="auto"/>
        <w:left w:val="none" w:sz="0" w:space="0" w:color="auto"/>
        <w:bottom w:val="none" w:sz="0" w:space="0" w:color="auto"/>
        <w:right w:val="none" w:sz="0" w:space="0" w:color="auto"/>
      </w:divBdr>
    </w:div>
    <w:div w:id="352656157">
      <w:bodyDiv w:val="1"/>
      <w:marLeft w:val="0"/>
      <w:marRight w:val="0"/>
      <w:marTop w:val="0"/>
      <w:marBottom w:val="0"/>
      <w:divBdr>
        <w:top w:val="none" w:sz="0" w:space="0" w:color="auto"/>
        <w:left w:val="none" w:sz="0" w:space="0" w:color="auto"/>
        <w:bottom w:val="none" w:sz="0" w:space="0" w:color="auto"/>
        <w:right w:val="none" w:sz="0" w:space="0" w:color="auto"/>
      </w:divBdr>
    </w:div>
    <w:div w:id="353001914">
      <w:bodyDiv w:val="1"/>
      <w:marLeft w:val="0"/>
      <w:marRight w:val="0"/>
      <w:marTop w:val="0"/>
      <w:marBottom w:val="0"/>
      <w:divBdr>
        <w:top w:val="none" w:sz="0" w:space="0" w:color="auto"/>
        <w:left w:val="none" w:sz="0" w:space="0" w:color="auto"/>
        <w:bottom w:val="none" w:sz="0" w:space="0" w:color="auto"/>
        <w:right w:val="none" w:sz="0" w:space="0" w:color="auto"/>
      </w:divBdr>
    </w:div>
    <w:div w:id="353464747">
      <w:bodyDiv w:val="1"/>
      <w:marLeft w:val="0"/>
      <w:marRight w:val="0"/>
      <w:marTop w:val="0"/>
      <w:marBottom w:val="0"/>
      <w:divBdr>
        <w:top w:val="none" w:sz="0" w:space="0" w:color="auto"/>
        <w:left w:val="none" w:sz="0" w:space="0" w:color="auto"/>
        <w:bottom w:val="none" w:sz="0" w:space="0" w:color="auto"/>
        <w:right w:val="none" w:sz="0" w:space="0" w:color="auto"/>
      </w:divBdr>
    </w:div>
    <w:div w:id="358899182">
      <w:bodyDiv w:val="1"/>
      <w:marLeft w:val="0"/>
      <w:marRight w:val="0"/>
      <w:marTop w:val="0"/>
      <w:marBottom w:val="0"/>
      <w:divBdr>
        <w:top w:val="none" w:sz="0" w:space="0" w:color="auto"/>
        <w:left w:val="none" w:sz="0" w:space="0" w:color="auto"/>
        <w:bottom w:val="none" w:sz="0" w:space="0" w:color="auto"/>
        <w:right w:val="none" w:sz="0" w:space="0" w:color="auto"/>
      </w:divBdr>
    </w:div>
    <w:div w:id="360711528">
      <w:bodyDiv w:val="1"/>
      <w:marLeft w:val="0"/>
      <w:marRight w:val="0"/>
      <w:marTop w:val="0"/>
      <w:marBottom w:val="0"/>
      <w:divBdr>
        <w:top w:val="none" w:sz="0" w:space="0" w:color="auto"/>
        <w:left w:val="none" w:sz="0" w:space="0" w:color="auto"/>
        <w:bottom w:val="none" w:sz="0" w:space="0" w:color="auto"/>
        <w:right w:val="none" w:sz="0" w:space="0" w:color="auto"/>
      </w:divBdr>
    </w:div>
    <w:div w:id="361366040">
      <w:bodyDiv w:val="1"/>
      <w:marLeft w:val="0"/>
      <w:marRight w:val="0"/>
      <w:marTop w:val="0"/>
      <w:marBottom w:val="0"/>
      <w:divBdr>
        <w:top w:val="none" w:sz="0" w:space="0" w:color="auto"/>
        <w:left w:val="none" w:sz="0" w:space="0" w:color="auto"/>
        <w:bottom w:val="none" w:sz="0" w:space="0" w:color="auto"/>
        <w:right w:val="none" w:sz="0" w:space="0" w:color="auto"/>
      </w:divBdr>
    </w:div>
    <w:div w:id="362370611">
      <w:bodyDiv w:val="1"/>
      <w:marLeft w:val="0"/>
      <w:marRight w:val="0"/>
      <w:marTop w:val="0"/>
      <w:marBottom w:val="0"/>
      <w:divBdr>
        <w:top w:val="none" w:sz="0" w:space="0" w:color="auto"/>
        <w:left w:val="none" w:sz="0" w:space="0" w:color="auto"/>
        <w:bottom w:val="none" w:sz="0" w:space="0" w:color="auto"/>
        <w:right w:val="none" w:sz="0" w:space="0" w:color="auto"/>
      </w:divBdr>
    </w:div>
    <w:div w:id="363293710">
      <w:bodyDiv w:val="1"/>
      <w:marLeft w:val="0"/>
      <w:marRight w:val="0"/>
      <w:marTop w:val="0"/>
      <w:marBottom w:val="0"/>
      <w:divBdr>
        <w:top w:val="none" w:sz="0" w:space="0" w:color="auto"/>
        <w:left w:val="none" w:sz="0" w:space="0" w:color="auto"/>
        <w:bottom w:val="none" w:sz="0" w:space="0" w:color="auto"/>
        <w:right w:val="none" w:sz="0" w:space="0" w:color="auto"/>
      </w:divBdr>
    </w:div>
    <w:div w:id="363944948">
      <w:bodyDiv w:val="1"/>
      <w:marLeft w:val="0"/>
      <w:marRight w:val="0"/>
      <w:marTop w:val="0"/>
      <w:marBottom w:val="0"/>
      <w:divBdr>
        <w:top w:val="none" w:sz="0" w:space="0" w:color="auto"/>
        <w:left w:val="none" w:sz="0" w:space="0" w:color="auto"/>
        <w:bottom w:val="none" w:sz="0" w:space="0" w:color="auto"/>
        <w:right w:val="none" w:sz="0" w:space="0" w:color="auto"/>
      </w:divBdr>
    </w:div>
    <w:div w:id="367800308">
      <w:bodyDiv w:val="1"/>
      <w:marLeft w:val="0"/>
      <w:marRight w:val="0"/>
      <w:marTop w:val="0"/>
      <w:marBottom w:val="0"/>
      <w:divBdr>
        <w:top w:val="none" w:sz="0" w:space="0" w:color="auto"/>
        <w:left w:val="none" w:sz="0" w:space="0" w:color="auto"/>
        <w:bottom w:val="none" w:sz="0" w:space="0" w:color="auto"/>
        <w:right w:val="none" w:sz="0" w:space="0" w:color="auto"/>
      </w:divBdr>
    </w:div>
    <w:div w:id="368336379">
      <w:bodyDiv w:val="1"/>
      <w:marLeft w:val="0"/>
      <w:marRight w:val="0"/>
      <w:marTop w:val="0"/>
      <w:marBottom w:val="0"/>
      <w:divBdr>
        <w:top w:val="none" w:sz="0" w:space="0" w:color="auto"/>
        <w:left w:val="none" w:sz="0" w:space="0" w:color="auto"/>
        <w:bottom w:val="none" w:sz="0" w:space="0" w:color="auto"/>
        <w:right w:val="none" w:sz="0" w:space="0" w:color="auto"/>
      </w:divBdr>
    </w:div>
    <w:div w:id="368846059">
      <w:bodyDiv w:val="1"/>
      <w:marLeft w:val="0"/>
      <w:marRight w:val="0"/>
      <w:marTop w:val="0"/>
      <w:marBottom w:val="0"/>
      <w:divBdr>
        <w:top w:val="none" w:sz="0" w:space="0" w:color="auto"/>
        <w:left w:val="none" w:sz="0" w:space="0" w:color="auto"/>
        <w:bottom w:val="none" w:sz="0" w:space="0" w:color="auto"/>
        <w:right w:val="none" w:sz="0" w:space="0" w:color="auto"/>
      </w:divBdr>
    </w:div>
    <w:div w:id="368917216">
      <w:bodyDiv w:val="1"/>
      <w:marLeft w:val="0"/>
      <w:marRight w:val="0"/>
      <w:marTop w:val="0"/>
      <w:marBottom w:val="0"/>
      <w:divBdr>
        <w:top w:val="none" w:sz="0" w:space="0" w:color="auto"/>
        <w:left w:val="none" w:sz="0" w:space="0" w:color="auto"/>
        <w:bottom w:val="none" w:sz="0" w:space="0" w:color="auto"/>
        <w:right w:val="none" w:sz="0" w:space="0" w:color="auto"/>
      </w:divBdr>
    </w:div>
    <w:div w:id="371421804">
      <w:bodyDiv w:val="1"/>
      <w:marLeft w:val="0"/>
      <w:marRight w:val="0"/>
      <w:marTop w:val="0"/>
      <w:marBottom w:val="0"/>
      <w:divBdr>
        <w:top w:val="none" w:sz="0" w:space="0" w:color="auto"/>
        <w:left w:val="none" w:sz="0" w:space="0" w:color="auto"/>
        <w:bottom w:val="none" w:sz="0" w:space="0" w:color="auto"/>
        <w:right w:val="none" w:sz="0" w:space="0" w:color="auto"/>
      </w:divBdr>
    </w:div>
    <w:div w:id="371541215">
      <w:bodyDiv w:val="1"/>
      <w:marLeft w:val="0"/>
      <w:marRight w:val="0"/>
      <w:marTop w:val="0"/>
      <w:marBottom w:val="0"/>
      <w:divBdr>
        <w:top w:val="none" w:sz="0" w:space="0" w:color="auto"/>
        <w:left w:val="none" w:sz="0" w:space="0" w:color="auto"/>
        <w:bottom w:val="none" w:sz="0" w:space="0" w:color="auto"/>
        <w:right w:val="none" w:sz="0" w:space="0" w:color="auto"/>
      </w:divBdr>
    </w:div>
    <w:div w:id="371686507">
      <w:bodyDiv w:val="1"/>
      <w:marLeft w:val="0"/>
      <w:marRight w:val="0"/>
      <w:marTop w:val="0"/>
      <w:marBottom w:val="0"/>
      <w:divBdr>
        <w:top w:val="none" w:sz="0" w:space="0" w:color="auto"/>
        <w:left w:val="none" w:sz="0" w:space="0" w:color="auto"/>
        <w:bottom w:val="none" w:sz="0" w:space="0" w:color="auto"/>
        <w:right w:val="none" w:sz="0" w:space="0" w:color="auto"/>
      </w:divBdr>
    </w:div>
    <w:div w:id="372847381">
      <w:bodyDiv w:val="1"/>
      <w:marLeft w:val="0"/>
      <w:marRight w:val="0"/>
      <w:marTop w:val="0"/>
      <w:marBottom w:val="0"/>
      <w:divBdr>
        <w:top w:val="none" w:sz="0" w:space="0" w:color="auto"/>
        <w:left w:val="none" w:sz="0" w:space="0" w:color="auto"/>
        <w:bottom w:val="none" w:sz="0" w:space="0" w:color="auto"/>
        <w:right w:val="none" w:sz="0" w:space="0" w:color="auto"/>
      </w:divBdr>
    </w:div>
    <w:div w:id="373506687">
      <w:bodyDiv w:val="1"/>
      <w:marLeft w:val="0"/>
      <w:marRight w:val="0"/>
      <w:marTop w:val="0"/>
      <w:marBottom w:val="0"/>
      <w:divBdr>
        <w:top w:val="none" w:sz="0" w:space="0" w:color="auto"/>
        <w:left w:val="none" w:sz="0" w:space="0" w:color="auto"/>
        <w:bottom w:val="none" w:sz="0" w:space="0" w:color="auto"/>
        <w:right w:val="none" w:sz="0" w:space="0" w:color="auto"/>
      </w:divBdr>
    </w:div>
    <w:div w:id="374085183">
      <w:bodyDiv w:val="1"/>
      <w:marLeft w:val="0"/>
      <w:marRight w:val="0"/>
      <w:marTop w:val="0"/>
      <w:marBottom w:val="0"/>
      <w:divBdr>
        <w:top w:val="none" w:sz="0" w:space="0" w:color="auto"/>
        <w:left w:val="none" w:sz="0" w:space="0" w:color="auto"/>
        <w:bottom w:val="none" w:sz="0" w:space="0" w:color="auto"/>
        <w:right w:val="none" w:sz="0" w:space="0" w:color="auto"/>
      </w:divBdr>
    </w:div>
    <w:div w:id="376929080">
      <w:bodyDiv w:val="1"/>
      <w:marLeft w:val="0"/>
      <w:marRight w:val="0"/>
      <w:marTop w:val="0"/>
      <w:marBottom w:val="0"/>
      <w:divBdr>
        <w:top w:val="none" w:sz="0" w:space="0" w:color="auto"/>
        <w:left w:val="none" w:sz="0" w:space="0" w:color="auto"/>
        <w:bottom w:val="none" w:sz="0" w:space="0" w:color="auto"/>
        <w:right w:val="none" w:sz="0" w:space="0" w:color="auto"/>
      </w:divBdr>
    </w:div>
    <w:div w:id="376976134">
      <w:bodyDiv w:val="1"/>
      <w:marLeft w:val="0"/>
      <w:marRight w:val="0"/>
      <w:marTop w:val="0"/>
      <w:marBottom w:val="0"/>
      <w:divBdr>
        <w:top w:val="none" w:sz="0" w:space="0" w:color="auto"/>
        <w:left w:val="none" w:sz="0" w:space="0" w:color="auto"/>
        <w:bottom w:val="none" w:sz="0" w:space="0" w:color="auto"/>
        <w:right w:val="none" w:sz="0" w:space="0" w:color="auto"/>
      </w:divBdr>
    </w:div>
    <w:div w:id="378747236">
      <w:bodyDiv w:val="1"/>
      <w:marLeft w:val="0"/>
      <w:marRight w:val="0"/>
      <w:marTop w:val="0"/>
      <w:marBottom w:val="0"/>
      <w:divBdr>
        <w:top w:val="none" w:sz="0" w:space="0" w:color="auto"/>
        <w:left w:val="none" w:sz="0" w:space="0" w:color="auto"/>
        <w:bottom w:val="none" w:sz="0" w:space="0" w:color="auto"/>
        <w:right w:val="none" w:sz="0" w:space="0" w:color="auto"/>
      </w:divBdr>
    </w:div>
    <w:div w:id="380903179">
      <w:bodyDiv w:val="1"/>
      <w:marLeft w:val="0"/>
      <w:marRight w:val="0"/>
      <w:marTop w:val="0"/>
      <w:marBottom w:val="0"/>
      <w:divBdr>
        <w:top w:val="none" w:sz="0" w:space="0" w:color="auto"/>
        <w:left w:val="none" w:sz="0" w:space="0" w:color="auto"/>
        <w:bottom w:val="none" w:sz="0" w:space="0" w:color="auto"/>
        <w:right w:val="none" w:sz="0" w:space="0" w:color="auto"/>
      </w:divBdr>
    </w:div>
    <w:div w:id="383601798">
      <w:bodyDiv w:val="1"/>
      <w:marLeft w:val="0"/>
      <w:marRight w:val="0"/>
      <w:marTop w:val="0"/>
      <w:marBottom w:val="0"/>
      <w:divBdr>
        <w:top w:val="none" w:sz="0" w:space="0" w:color="auto"/>
        <w:left w:val="none" w:sz="0" w:space="0" w:color="auto"/>
        <w:bottom w:val="none" w:sz="0" w:space="0" w:color="auto"/>
        <w:right w:val="none" w:sz="0" w:space="0" w:color="auto"/>
      </w:divBdr>
    </w:div>
    <w:div w:id="384717018">
      <w:bodyDiv w:val="1"/>
      <w:marLeft w:val="0"/>
      <w:marRight w:val="0"/>
      <w:marTop w:val="0"/>
      <w:marBottom w:val="0"/>
      <w:divBdr>
        <w:top w:val="none" w:sz="0" w:space="0" w:color="auto"/>
        <w:left w:val="none" w:sz="0" w:space="0" w:color="auto"/>
        <w:bottom w:val="none" w:sz="0" w:space="0" w:color="auto"/>
        <w:right w:val="none" w:sz="0" w:space="0" w:color="auto"/>
      </w:divBdr>
    </w:div>
    <w:div w:id="385421482">
      <w:bodyDiv w:val="1"/>
      <w:marLeft w:val="0"/>
      <w:marRight w:val="0"/>
      <w:marTop w:val="0"/>
      <w:marBottom w:val="0"/>
      <w:divBdr>
        <w:top w:val="none" w:sz="0" w:space="0" w:color="auto"/>
        <w:left w:val="none" w:sz="0" w:space="0" w:color="auto"/>
        <w:bottom w:val="none" w:sz="0" w:space="0" w:color="auto"/>
        <w:right w:val="none" w:sz="0" w:space="0" w:color="auto"/>
      </w:divBdr>
    </w:div>
    <w:div w:id="385878648">
      <w:bodyDiv w:val="1"/>
      <w:marLeft w:val="0"/>
      <w:marRight w:val="0"/>
      <w:marTop w:val="0"/>
      <w:marBottom w:val="0"/>
      <w:divBdr>
        <w:top w:val="none" w:sz="0" w:space="0" w:color="auto"/>
        <w:left w:val="none" w:sz="0" w:space="0" w:color="auto"/>
        <w:bottom w:val="none" w:sz="0" w:space="0" w:color="auto"/>
        <w:right w:val="none" w:sz="0" w:space="0" w:color="auto"/>
      </w:divBdr>
    </w:div>
    <w:div w:id="389113109">
      <w:bodyDiv w:val="1"/>
      <w:marLeft w:val="0"/>
      <w:marRight w:val="0"/>
      <w:marTop w:val="0"/>
      <w:marBottom w:val="0"/>
      <w:divBdr>
        <w:top w:val="none" w:sz="0" w:space="0" w:color="auto"/>
        <w:left w:val="none" w:sz="0" w:space="0" w:color="auto"/>
        <w:bottom w:val="none" w:sz="0" w:space="0" w:color="auto"/>
        <w:right w:val="none" w:sz="0" w:space="0" w:color="auto"/>
      </w:divBdr>
    </w:div>
    <w:div w:id="389884612">
      <w:bodyDiv w:val="1"/>
      <w:marLeft w:val="0"/>
      <w:marRight w:val="0"/>
      <w:marTop w:val="0"/>
      <w:marBottom w:val="0"/>
      <w:divBdr>
        <w:top w:val="none" w:sz="0" w:space="0" w:color="auto"/>
        <w:left w:val="none" w:sz="0" w:space="0" w:color="auto"/>
        <w:bottom w:val="none" w:sz="0" w:space="0" w:color="auto"/>
        <w:right w:val="none" w:sz="0" w:space="0" w:color="auto"/>
      </w:divBdr>
    </w:div>
    <w:div w:id="390078580">
      <w:bodyDiv w:val="1"/>
      <w:marLeft w:val="0"/>
      <w:marRight w:val="0"/>
      <w:marTop w:val="0"/>
      <w:marBottom w:val="0"/>
      <w:divBdr>
        <w:top w:val="none" w:sz="0" w:space="0" w:color="auto"/>
        <w:left w:val="none" w:sz="0" w:space="0" w:color="auto"/>
        <w:bottom w:val="none" w:sz="0" w:space="0" w:color="auto"/>
        <w:right w:val="none" w:sz="0" w:space="0" w:color="auto"/>
      </w:divBdr>
    </w:div>
    <w:div w:id="393896090">
      <w:bodyDiv w:val="1"/>
      <w:marLeft w:val="0"/>
      <w:marRight w:val="0"/>
      <w:marTop w:val="0"/>
      <w:marBottom w:val="0"/>
      <w:divBdr>
        <w:top w:val="none" w:sz="0" w:space="0" w:color="auto"/>
        <w:left w:val="none" w:sz="0" w:space="0" w:color="auto"/>
        <w:bottom w:val="none" w:sz="0" w:space="0" w:color="auto"/>
        <w:right w:val="none" w:sz="0" w:space="0" w:color="auto"/>
      </w:divBdr>
    </w:div>
    <w:div w:id="395513932">
      <w:bodyDiv w:val="1"/>
      <w:marLeft w:val="0"/>
      <w:marRight w:val="0"/>
      <w:marTop w:val="0"/>
      <w:marBottom w:val="0"/>
      <w:divBdr>
        <w:top w:val="none" w:sz="0" w:space="0" w:color="auto"/>
        <w:left w:val="none" w:sz="0" w:space="0" w:color="auto"/>
        <w:bottom w:val="none" w:sz="0" w:space="0" w:color="auto"/>
        <w:right w:val="none" w:sz="0" w:space="0" w:color="auto"/>
      </w:divBdr>
    </w:div>
    <w:div w:id="397021633">
      <w:bodyDiv w:val="1"/>
      <w:marLeft w:val="0"/>
      <w:marRight w:val="0"/>
      <w:marTop w:val="0"/>
      <w:marBottom w:val="0"/>
      <w:divBdr>
        <w:top w:val="none" w:sz="0" w:space="0" w:color="auto"/>
        <w:left w:val="none" w:sz="0" w:space="0" w:color="auto"/>
        <w:bottom w:val="none" w:sz="0" w:space="0" w:color="auto"/>
        <w:right w:val="none" w:sz="0" w:space="0" w:color="auto"/>
      </w:divBdr>
    </w:div>
    <w:div w:id="398096411">
      <w:bodyDiv w:val="1"/>
      <w:marLeft w:val="0"/>
      <w:marRight w:val="0"/>
      <w:marTop w:val="0"/>
      <w:marBottom w:val="0"/>
      <w:divBdr>
        <w:top w:val="none" w:sz="0" w:space="0" w:color="auto"/>
        <w:left w:val="none" w:sz="0" w:space="0" w:color="auto"/>
        <w:bottom w:val="none" w:sz="0" w:space="0" w:color="auto"/>
        <w:right w:val="none" w:sz="0" w:space="0" w:color="auto"/>
      </w:divBdr>
    </w:div>
    <w:div w:id="399911973">
      <w:bodyDiv w:val="1"/>
      <w:marLeft w:val="0"/>
      <w:marRight w:val="0"/>
      <w:marTop w:val="0"/>
      <w:marBottom w:val="0"/>
      <w:divBdr>
        <w:top w:val="none" w:sz="0" w:space="0" w:color="auto"/>
        <w:left w:val="none" w:sz="0" w:space="0" w:color="auto"/>
        <w:bottom w:val="none" w:sz="0" w:space="0" w:color="auto"/>
        <w:right w:val="none" w:sz="0" w:space="0" w:color="auto"/>
      </w:divBdr>
    </w:div>
    <w:div w:id="400178769">
      <w:bodyDiv w:val="1"/>
      <w:marLeft w:val="0"/>
      <w:marRight w:val="0"/>
      <w:marTop w:val="0"/>
      <w:marBottom w:val="0"/>
      <w:divBdr>
        <w:top w:val="none" w:sz="0" w:space="0" w:color="auto"/>
        <w:left w:val="none" w:sz="0" w:space="0" w:color="auto"/>
        <w:bottom w:val="none" w:sz="0" w:space="0" w:color="auto"/>
        <w:right w:val="none" w:sz="0" w:space="0" w:color="auto"/>
      </w:divBdr>
    </w:div>
    <w:div w:id="401372489">
      <w:bodyDiv w:val="1"/>
      <w:marLeft w:val="0"/>
      <w:marRight w:val="0"/>
      <w:marTop w:val="0"/>
      <w:marBottom w:val="0"/>
      <w:divBdr>
        <w:top w:val="none" w:sz="0" w:space="0" w:color="auto"/>
        <w:left w:val="none" w:sz="0" w:space="0" w:color="auto"/>
        <w:bottom w:val="none" w:sz="0" w:space="0" w:color="auto"/>
        <w:right w:val="none" w:sz="0" w:space="0" w:color="auto"/>
      </w:divBdr>
    </w:div>
    <w:div w:id="402412498">
      <w:bodyDiv w:val="1"/>
      <w:marLeft w:val="0"/>
      <w:marRight w:val="0"/>
      <w:marTop w:val="0"/>
      <w:marBottom w:val="0"/>
      <w:divBdr>
        <w:top w:val="none" w:sz="0" w:space="0" w:color="auto"/>
        <w:left w:val="none" w:sz="0" w:space="0" w:color="auto"/>
        <w:bottom w:val="none" w:sz="0" w:space="0" w:color="auto"/>
        <w:right w:val="none" w:sz="0" w:space="0" w:color="auto"/>
      </w:divBdr>
    </w:div>
    <w:div w:id="402484297">
      <w:bodyDiv w:val="1"/>
      <w:marLeft w:val="0"/>
      <w:marRight w:val="0"/>
      <w:marTop w:val="0"/>
      <w:marBottom w:val="0"/>
      <w:divBdr>
        <w:top w:val="none" w:sz="0" w:space="0" w:color="auto"/>
        <w:left w:val="none" w:sz="0" w:space="0" w:color="auto"/>
        <w:bottom w:val="none" w:sz="0" w:space="0" w:color="auto"/>
        <w:right w:val="none" w:sz="0" w:space="0" w:color="auto"/>
      </w:divBdr>
    </w:div>
    <w:div w:id="404424688">
      <w:bodyDiv w:val="1"/>
      <w:marLeft w:val="0"/>
      <w:marRight w:val="0"/>
      <w:marTop w:val="0"/>
      <w:marBottom w:val="0"/>
      <w:divBdr>
        <w:top w:val="none" w:sz="0" w:space="0" w:color="auto"/>
        <w:left w:val="none" w:sz="0" w:space="0" w:color="auto"/>
        <w:bottom w:val="none" w:sz="0" w:space="0" w:color="auto"/>
        <w:right w:val="none" w:sz="0" w:space="0" w:color="auto"/>
      </w:divBdr>
    </w:div>
    <w:div w:id="404642922">
      <w:bodyDiv w:val="1"/>
      <w:marLeft w:val="0"/>
      <w:marRight w:val="0"/>
      <w:marTop w:val="0"/>
      <w:marBottom w:val="0"/>
      <w:divBdr>
        <w:top w:val="none" w:sz="0" w:space="0" w:color="auto"/>
        <w:left w:val="none" w:sz="0" w:space="0" w:color="auto"/>
        <w:bottom w:val="none" w:sz="0" w:space="0" w:color="auto"/>
        <w:right w:val="none" w:sz="0" w:space="0" w:color="auto"/>
      </w:divBdr>
    </w:div>
    <w:div w:id="404913577">
      <w:bodyDiv w:val="1"/>
      <w:marLeft w:val="0"/>
      <w:marRight w:val="0"/>
      <w:marTop w:val="0"/>
      <w:marBottom w:val="0"/>
      <w:divBdr>
        <w:top w:val="none" w:sz="0" w:space="0" w:color="auto"/>
        <w:left w:val="none" w:sz="0" w:space="0" w:color="auto"/>
        <w:bottom w:val="none" w:sz="0" w:space="0" w:color="auto"/>
        <w:right w:val="none" w:sz="0" w:space="0" w:color="auto"/>
      </w:divBdr>
    </w:div>
    <w:div w:id="407920651">
      <w:bodyDiv w:val="1"/>
      <w:marLeft w:val="0"/>
      <w:marRight w:val="0"/>
      <w:marTop w:val="0"/>
      <w:marBottom w:val="0"/>
      <w:divBdr>
        <w:top w:val="none" w:sz="0" w:space="0" w:color="auto"/>
        <w:left w:val="none" w:sz="0" w:space="0" w:color="auto"/>
        <w:bottom w:val="none" w:sz="0" w:space="0" w:color="auto"/>
        <w:right w:val="none" w:sz="0" w:space="0" w:color="auto"/>
      </w:divBdr>
    </w:div>
    <w:div w:id="407966044">
      <w:bodyDiv w:val="1"/>
      <w:marLeft w:val="0"/>
      <w:marRight w:val="0"/>
      <w:marTop w:val="0"/>
      <w:marBottom w:val="0"/>
      <w:divBdr>
        <w:top w:val="none" w:sz="0" w:space="0" w:color="auto"/>
        <w:left w:val="none" w:sz="0" w:space="0" w:color="auto"/>
        <w:bottom w:val="none" w:sz="0" w:space="0" w:color="auto"/>
        <w:right w:val="none" w:sz="0" w:space="0" w:color="auto"/>
      </w:divBdr>
    </w:div>
    <w:div w:id="408038753">
      <w:bodyDiv w:val="1"/>
      <w:marLeft w:val="0"/>
      <w:marRight w:val="0"/>
      <w:marTop w:val="0"/>
      <w:marBottom w:val="0"/>
      <w:divBdr>
        <w:top w:val="none" w:sz="0" w:space="0" w:color="auto"/>
        <w:left w:val="none" w:sz="0" w:space="0" w:color="auto"/>
        <w:bottom w:val="none" w:sz="0" w:space="0" w:color="auto"/>
        <w:right w:val="none" w:sz="0" w:space="0" w:color="auto"/>
      </w:divBdr>
    </w:div>
    <w:div w:id="408239299">
      <w:bodyDiv w:val="1"/>
      <w:marLeft w:val="0"/>
      <w:marRight w:val="0"/>
      <w:marTop w:val="0"/>
      <w:marBottom w:val="0"/>
      <w:divBdr>
        <w:top w:val="none" w:sz="0" w:space="0" w:color="auto"/>
        <w:left w:val="none" w:sz="0" w:space="0" w:color="auto"/>
        <w:bottom w:val="none" w:sz="0" w:space="0" w:color="auto"/>
        <w:right w:val="none" w:sz="0" w:space="0" w:color="auto"/>
      </w:divBdr>
    </w:div>
    <w:div w:id="411126866">
      <w:bodyDiv w:val="1"/>
      <w:marLeft w:val="0"/>
      <w:marRight w:val="0"/>
      <w:marTop w:val="0"/>
      <w:marBottom w:val="0"/>
      <w:divBdr>
        <w:top w:val="none" w:sz="0" w:space="0" w:color="auto"/>
        <w:left w:val="none" w:sz="0" w:space="0" w:color="auto"/>
        <w:bottom w:val="none" w:sz="0" w:space="0" w:color="auto"/>
        <w:right w:val="none" w:sz="0" w:space="0" w:color="auto"/>
      </w:divBdr>
    </w:div>
    <w:div w:id="413354199">
      <w:bodyDiv w:val="1"/>
      <w:marLeft w:val="0"/>
      <w:marRight w:val="0"/>
      <w:marTop w:val="0"/>
      <w:marBottom w:val="0"/>
      <w:divBdr>
        <w:top w:val="none" w:sz="0" w:space="0" w:color="auto"/>
        <w:left w:val="none" w:sz="0" w:space="0" w:color="auto"/>
        <w:bottom w:val="none" w:sz="0" w:space="0" w:color="auto"/>
        <w:right w:val="none" w:sz="0" w:space="0" w:color="auto"/>
      </w:divBdr>
    </w:div>
    <w:div w:id="419178408">
      <w:bodyDiv w:val="1"/>
      <w:marLeft w:val="0"/>
      <w:marRight w:val="0"/>
      <w:marTop w:val="0"/>
      <w:marBottom w:val="0"/>
      <w:divBdr>
        <w:top w:val="none" w:sz="0" w:space="0" w:color="auto"/>
        <w:left w:val="none" w:sz="0" w:space="0" w:color="auto"/>
        <w:bottom w:val="none" w:sz="0" w:space="0" w:color="auto"/>
        <w:right w:val="none" w:sz="0" w:space="0" w:color="auto"/>
      </w:divBdr>
    </w:div>
    <w:div w:id="421998842">
      <w:bodyDiv w:val="1"/>
      <w:marLeft w:val="0"/>
      <w:marRight w:val="0"/>
      <w:marTop w:val="0"/>
      <w:marBottom w:val="0"/>
      <w:divBdr>
        <w:top w:val="none" w:sz="0" w:space="0" w:color="auto"/>
        <w:left w:val="none" w:sz="0" w:space="0" w:color="auto"/>
        <w:bottom w:val="none" w:sz="0" w:space="0" w:color="auto"/>
        <w:right w:val="none" w:sz="0" w:space="0" w:color="auto"/>
      </w:divBdr>
    </w:div>
    <w:div w:id="424038147">
      <w:bodyDiv w:val="1"/>
      <w:marLeft w:val="0"/>
      <w:marRight w:val="0"/>
      <w:marTop w:val="0"/>
      <w:marBottom w:val="0"/>
      <w:divBdr>
        <w:top w:val="none" w:sz="0" w:space="0" w:color="auto"/>
        <w:left w:val="none" w:sz="0" w:space="0" w:color="auto"/>
        <w:bottom w:val="none" w:sz="0" w:space="0" w:color="auto"/>
        <w:right w:val="none" w:sz="0" w:space="0" w:color="auto"/>
      </w:divBdr>
    </w:div>
    <w:div w:id="425730009">
      <w:bodyDiv w:val="1"/>
      <w:marLeft w:val="0"/>
      <w:marRight w:val="0"/>
      <w:marTop w:val="0"/>
      <w:marBottom w:val="0"/>
      <w:divBdr>
        <w:top w:val="none" w:sz="0" w:space="0" w:color="auto"/>
        <w:left w:val="none" w:sz="0" w:space="0" w:color="auto"/>
        <w:bottom w:val="none" w:sz="0" w:space="0" w:color="auto"/>
        <w:right w:val="none" w:sz="0" w:space="0" w:color="auto"/>
      </w:divBdr>
    </w:div>
    <w:div w:id="426121590">
      <w:bodyDiv w:val="1"/>
      <w:marLeft w:val="0"/>
      <w:marRight w:val="0"/>
      <w:marTop w:val="0"/>
      <w:marBottom w:val="0"/>
      <w:divBdr>
        <w:top w:val="none" w:sz="0" w:space="0" w:color="auto"/>
        <w:left w:val="none" w:sz="0" w:space="0" w:color="auto"/>
        <w:bottom w:val="none" w:sz="0" w:space="0" w:color="auto"/>
        <w:right w:val="none" w:sz="0" w:space="0" w:color="auto"/>
      </w:divBdr>
    </w:div>
    <w:div w:id="428046508">
      <w:bodyDiv w:val="1"/>
      <w:marLeft w:val="0"/>
      <w:marRight w:val="0"/>
      <w:marTop w:val="0"/>
      <w:marBottom w:val="0"/>
      <w:divBdr>
        <w:top w:val="none" w:sz="0" w:space="0" w:color="auto"/>
        <w:left w:val="none" w:sz="0" w:space="0" w:color="auto"/>
        <w:bottom w:val="none" w:sz="0" w:space="0" w:color="auto"/>
        <w:right w:val="none" w:sz="0" w:space="0" w:color="auto"/>
      </w:divBdr>
    </w:div>
    <w:div w:id="429400510">
      <w:bodyDiv w:val="1"/>
      <w:marLeft w:val="0"/>
      <w:marRight w:val="0"/>
      <w:marTop w:val="0"/>
      <w:marBottom w:val="0"/>
      <w:divBdr>
        <w:top w:val="none" w:sz="0" w:space="0" w:color="auto"/>
        <w:left w:val="none" w:sz="0" w:space="0" w:color="auto"/>
        <w:bottom w:val="none" w:sz="0" w:space="0" w:color="auto"/>
        <w:right w:val="none" w:sz="0" w:space="0" w:color="auto"/>
      </w:divBdr>
    </w:div>
    <w:div w:id="429468737">
      <w:bodyDiv w:val="1"/>
      <w:marLeft w:val="0"/>
      <w:marRight w:val="0"/>
      <w:marTop w:val="0"/>
      <w:marBottom w:val="0"/>
      <w:divBdr>
        <w:top w:val="none" w:sz="0" w:space="0" w:color="auto"/>
        <w:left w:val="none" w:sz="0" w:space="0" w:color="auto"/>
        <w:bottom w:val="none" w:sz="0" w:space="0" w:color="auto"/>
        <w:right w:val="none" w:sz="0" w:space="0" w:color="auto"/>
      </w:divBdr>
    </w:div>
    <w:div w:id="431241147">
      <w:bodyDiv w:val="1"/>
      <w:marLeft w:val="0"/>
      <w:marRight w:val="0"/>
      <w:marTop w:val="0"/>
      <w:marBottom w:val="0"/>
      <w:divBdr>
        <w:top w:val="none" w:sz="0" w:space="0" w:color="auto"/>
        <w:left w:val="none" w:sz="0" w:space="0" w:color="auto"/>
        <w:bottom w:val="none" w:sz="0" w:space="0" w:color="auto"/>
        <w:right w:val="none" w:sz="0" w:space="0" w:color="auto"/>
      </w:divBdr>
    </w:div>
    <w:div w:id="433669413">
      <w:bodyDiv w:val="1"/>
      <w:marLeft w:val="0"/>
      <w:marRight w:val="0"/>
      <w:marTop w:val="0"/>
      <w:marBottom w:val="0"/>
      <w:divBdr>
        <w:top w:val="none" w:sz="0" w:space="0" w:color="auto"/>
        <w:left w:val="none" w:sz="0" w:space="0" w:color="auto"/>
        <w:bottom w:val="none" w:sz="0" w:space="0" w:color="auto"/>
        <w:right w:val="none" w:sz="0" w:space="0" w:color="auto"/>
      </w:divBdr>
    </w:div>
    <w:div w:id="433749001">
      <w:bodyDiv w:val="1"/>
      <w:marLeft w:val="0"/>
      <w:marRight w:val="0"/>
      <w:marTop w:val="0"/>
      <w:marBottom w:val="0"/>
      <w:divBdr>
        <w:top w:val="none" w:sz="0" w:space="0" w:color="auto"/>
        <w:left w:val="none" w:sz="0" w:space="0" w:color="auto"/>
        <w:bottom w:val="none" w:sz="0" w:space="0" w:color="auto"/>
        <w:right w:val="none" w:sz="0" w:space="0" w:color="auto"/>
      </w:divBdr>
    </w:div>
    <w:div w:id="437066654">
      <w:bodyDiv w:val="1"/>
      <w:marLeft w:val="0"/>
      <w:marRight w:val="0"/>
      <w:marTop w:val="0"/>
      <w:marBottom w:val="0"/>
      <w:divBdr>
        <w:top w:val="none" w:sz="0" w:space="0" w:color="auto"/>
        <w:left w:val="none" w:sz="0" w:space="0" w:color="auto"/>
        <w:bottom w:val="none" w:sz="0" w:space="0" w:color="auto"/>
        <w:right w:val="none" w:sz="0" w:space="0" w:color="auto"/>
      </w:divBdr>
    </w:div>
    <w:div w:id="438796098">
      <w:bodyDiv w:val="1"/>
      <w:marLeft w:val="0"/>
      <w:marRight w:val="0"/>
      <w:marTop w:val="0"/>
      <w:marBottom w:val="0"/>
      <w:divBdr>
        <w:top w:val="none" w:sz="0" w:space="0" w:color="auto"/>
        <w:left w:val="none" w:sz="0" w:space="0" w:color="auto"/>
        <w:bottom w:val="none" w:sz="0" w:space="0" w:color="auto"/>
        <w:right w:val="none" w:sz="0" w:space="0" w:color="auto"/>
      </w:divBdr>
    </w:div>
    <w:div w:id="441652098">
      <w:bodyDiv w:val="1"/>
      <w:marLeft w:val="0"/>
      <w:marRight w:val="0"/>
      <w:marTop w:val="0"/>
      <w:marBottom w:val="0"/>
      <w:divBdr>
        <w:top w:val="none" w:sz="0" w:space="0" w:color="auto"/>
        <w:left w:val="none" w:sz="0" w:space="0" w:color="auto"/>
        <w:bottom w:val="none" w:sz="0" w:space="0" w:color="auto"/>
        <w:right w:val="none" w:sz="0" w:space="0" w:color="auto"/>
      </w:divBdr>
    </w:div>
    <w:div w:id="443304577">
      <w:bodyDiv w:val="1"/>
      <w:marLeft w:val="0"/>
      <w:marRight w:val="0"/>
      <w:marTop w:val="0"/>
      <w:marBottom w:val="0"/>
      <w:divBdr>
        <w:top w:val="none" w:sz="0" w:space="0" w:color="auto"/>
        <w:left w:val="none" w:sz="0" w:space="0" w:color="auto"/>
        <w:bottom w:val="none" w:sz="0" w:space="0" w:color="auto"/>
        <w:right w:val="none" w:sz="0" w:space="0" w:color="auto"/>
      </w:divBdr>
    </w:div>
    <w:div w:id="451872383">
      <w:bodyDiv w:val="1"/>
      <w:marLeft w:val="0"/>
      <w:marRight w:val="0"/>
      <w:marTop w:val="0"/>
      <w:marBottom w:val="0"/>
      <w:divBdr>
        <w:top w:val="none" w:sz="0" w:space="0" w:color="auto"/>
        <w:left w:val="none" w:sz="0" w:space="0" w:color="auto"/>
        <w:bottom w:val="none" w:sz="0" w:space="0" w:color="auto"/>
        <w:right w:val="none" w:sz="0" w:space="0" w:color="auto"/>
      </w:divBdr>
    </w:div>
    <w:div w:id="453599551">
      <w:bodyDiv w:val="1"/>
      <w:marLeft w:val="0"/>
      <w:marRight w:val="0"/>
      <w:marTop w:val="0"/>
      <w:marBottom w:val="0"/>
      <w:divBdr>
        <w:top w:val="none" w:sz="0" w:space="0" w:color="auto"/>
        <w:left w:val="none" w:sz="0" w:space="0" w:color="auto"/>
        <w:bottom w:val="none" w:sz="0" w:space="0" w:color="auto"/>
        <w:right w:val="none" w:sz="0" w:space="0" w:color="auto"/>
      </w:divBdr>
    </w:div>
    <w:div w:id="453720421">
      <w:bodyDiv w:val="1"/>
      <w:marLeft w:val="0"/>
      <w:marRight w:val="0"/>
      <w:marTop w:val="0"/>
      <w:marBottom w:val="0"/>
      <w:divBdr>
        <w:top w:val="none" w:sz="0" w:space="0" w:color="auto"/>
        <w:left w:val="none" w:sz="0" w:space="0" w:color="auto"/>
        <w:bottom w:val="none" w:sz="0" w:space="0" w:color="auto"/>
        <w:right w:val="none" w:sz="0" w:space="0" w:color="auto"/>
      </w:divBdr>
    </w:div>
    <w:div w:id="454637674">
      <w:bodyDiv w:val="1"/>
      <w:marLeft w:val="0"/>
      <w:marRight w:val="0"/>
      <w:marTop w:val="0"/>
      <w:marBottom w:val="0"/>
      <w:divBdr>
        <w:top w:val="none" w:sz="0" w:space="0" w:color="auto"/>
        <w:left w:val="none" w:sz="0" w:space="0" w:color="auto"/>
        <w:bottom w:val="none" w:sz="0" w:space="0" w:color="auto"/>
        <w:right w:val="none" w:sz="0" w:space="0" w:color="auto"/>
      </w:divBdr>
    </w:div>
    <w:div w:id="456219300">
      <w:bodyDiv w:val="1"/>
      <w:marLeft w:val="0"/>
      <w:marRight w:val="0"/>
      <w:marTop w:val="0"/>
      <w:marBottom w:val="0"/>
      <w:divBdr>
        <w:top w:val="none" w:sz="0" w:space="0" w:color="auto"/>
        <w:left w:val="none" w:sz="0" w:space="0" w:color="auto"/>
        <w:bottom w:val="none" w:sz="0" w:space="0" w:color="auto"/>
        <w:right w:val="none" w:sz="0" w:space="0" w:color="auto"/>
      </w:divBdr>
    </w:div>
    <w:div w:id="456725735">
      <w:bodyDiv w:val="1"/>
      <w:marLeft w:val="0"/>
      <w:marRight w:val="0"/>
      <w:marTop w:val="0"/>
      <w:marBottom w:val="0"/>
      <w:divBdr>
        <w:top w:val="none" w:sz="0" w:space="0" w:color="auto"/>
        <w:left w:val="none" w:sz="0" w:space="0" w:color="auto"/>
        <w:bottom w:val="none" w:sz="0" w:space="0" w:color="auto"/>
        <w:right w:val="none" w:sz="0" w:space="0" w:color="auto"/>
      </w:divBdr>
    </w:div>
    <w:div w:id="458300644">
      <w:bodyDiv w:val="1"/>
      <w:marLeft w:val="0"/>
      <w:marRight w:val="0"/>
      <w:marTop w:val="0"/>
      <w:marBottom w:val="0"/>
      <w:divBdr>
        <w:top w:val="none" w:sz="0" w:space="0" w:color="auto"/>
        <w:left w:val="none" w:sz="0" w:space="0" w:color="auto"/>
        <w:bottom w:val="none" w:sz="0" w:space="0" w:color="auto"/>
        <w:right w:val="none" w:sz="0" w:space="0" w:color="auto"/>
      </w:divBdr>
    </w:div>
    <w:div w:id="460154440">
      <w:bodyDiv w:val="1"/>
      <w:marLeft w:val="0"/>
      <w:marRight w:val="0"/>
      <w:marTop w:val="0"/>
      <w:marBottom w:val="0"/>
      <w:divBdr>
        <w:top w:val="none" w:sz="0" w:space="0" w:color="auto"/>
        <w:left w:val="none" w:sz="0" w:space="0" w:color="auto"/>
        <w:bottom w:val="none" w:sz="0" w:space="0" w:color="auto"/>
        <w:right w:val="none" w:sz="0" w:space="0" w:color="auto"/>
      </w:divBdr>
    </w:div>
    <w:div w:id="460347953">
      <w:bodyDiv w:val="1"/>
      <w:marLeft w:val="0"/>
      <w:marRight w:val="0"/>
      <w:marTop w:val="0"/>
      <w:marBottom w:val="0"/>
      <w:divBdr>
        <w:top w:val="none" w:sz="0" w:space="0" w:color="auto"/>
        <w:left w:val="none" w:sz="0" w:space="0" w:color="auto"/>
        <w:bottom w:val="none" w:sz="0" w:space="0" w:color="auto"/>
        <w:right w:val="none" w:sz="0" w:space="0" w:color="auto"/>
      </w:divBdr>
    </w:div>
    <w:div w:id="460998741">
      <w:bodyDiv w:val="1"/>
      <w:marLeft w:val="0"/>
      <w:marRight w:val="0"/>
      <w:marTop w:val="0"/>
      <w:marBottom w:val="0"/>
      <w:divBdr>
        <w:top w:val="none" w:sz="0" w:space="0" w:color="auto"/>
        <w:left w:val="none" w:sz="0" w:space="0" w:color="auto"/>
        <w:bottom w:val="none" w:sz="0" w:space="0" w:color="auto"/>
        <w:right w:val="none" w:sz="0" w:space="0" w:color="auto"/>
      </w:divBdr>
    </w:div>
    <w:div w:id="461924509">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6440093">
      <w:bodyDiv w:val="1"/>
      <w:marLeft w:val="0"/>
      <w:marRight w:val="0"/>
      <w:marTop w:val="0"/>
      <w:marBottom w:val="0"/>
      <w:divBdr>
        <w:top w:val="none" w:sz="0" w:space="0" w:color="auto"/>
        <w:left w:val="none" w:sz="0" w:space="0" w:color="auto"/>
        <w:bottom w:val="none" w:sz="0" w:space="0" w:color="auto"/>
        <w:right w:val="none" w:sz="0" w:space="0" w:color="auto"/>
      </w:divBdr>
    </w:div>
    <w:div w:id="471558592">
      <w:bodyDiv w:val="1"/>
      <w:marLeft w:val="0"/>
      <w:marRight w:val="0"/>
      <w:marTop w:val="0"/>
      <w:marBottom w:val="0"/>
      <w:divBdr>
        <w:top w:val="none" w:sz="0" w:space="0" w:color="auto"/>
        <w:left w:val="none" w:sz="0" w:space="0" w:color="auto"/>
        <w:bottom w:val="none" w:sz="0" w:space="0" w:color="auto"/>
        <w:right w:val="none" w:sz="0" w:space="0" w:color="auto"/>
      </w:divBdr>
    </w:div>
    <w:div w:id="471799297">
      <w:bodyDiv w:val="1"/>
      <w:marLeft w:val="0"/>
      <w:marRight w:val="0"/>
      <w:marTop w:val="0"/>
      <w:marBottom w:val="0"/>
      <w:divBdr>
        <w:top w:val="none" w:sz="0" w:space="0" w:color="auto"/>
        <w:left w:val="none" w:sz="0" w:space="0" w:color="auto"/>
        <w:bottom w:val="none" w:sz="0" w:space="0" w:color="auto"/>
        <w:right w:val="none" w:sz="0" w:space="0" w:color="auto"/>
      </w:divBdr>
    </w:div>
    <w:div w:id="472256730">
      <w:bodyDiv w:val="1"/>
      <w:marLeft w:val="0"/>
      <w:marRight w:val="0"/>
      <w:marTop w:val="0"/>
      <w:marBottom w:val="0"/>
      <w:divBdr>
        <w:top w:val="none" w:sz="0" w:space="0" w:color="auto"/>
        <w:left w:val="none" w:sz="0" w:space="0" w:color="auto"/>
        <w:bottom w:val="none" w:sz="0" w:space="0" w:color="auto"/>
        <w:right w:val="none" w:sz="0" w:space="0" w:color="auto"/>
      </w:divBdr>
    </w:div>
    <w:div w:id="473259039">
      <w:bodyDiv w:val="1"/>
      <w:marLeft w:val="0"/>
      <w:marRight w:val="0"/>
      <w:marTop w:val="0"/>
      <w:marBottom w:val="0"/>
      <w:divBdr>
        <w:top w:val="none" w:sz="0" w:space="0" w:color="auto"/>
        <w:left w:val="none" w:sz="0" w:space="0" w:color="auto"/>
        <w:bottom w:val="none" w:sz="0" w:space="0" w:color="auto"/>
        <w:right w:val="none" w:sz="0" w:space="0" w:color="auto"/>
      </w:divBdr>
    </w:div>
    <w:div w:id="474103741">
      <w:bodyDiv w:val="1"/>
      <w:marLeft w:val="0"/>
      <w:marRight w:val="0"/>
      <w:marTop w:val="0"/>
      <w:marBottom w:val="0"/>
      <w:divBdr>
        <w:top w:val="none" w:sz="0" w:space="0" w:color="auto"/>
        <w:left w:val="none" w:sz="0" w:space="0" w:color="auto"/>
        <w:bottom w:val="none" w:sz="0" w:space="0" w:color="auto"/>
        <w:right w:val="none" w:sz="0" w:space="0" w:color="auto"/>
      </w:divBdr>
    </w:div>
    <w:div w:id="476187625">
      <w:bodyDiv w:val="1"/>
      <w:marLeft w:val="0"/>
      <w:marRight w:val="0"/>
      <w:marTop w:val="0"/>
      <w:marBottom w:val="0"/>
      <w:divBdr>
        <w:top w:val="none" w:sz="0" w:space="0" w:color="auto"/>
        <w:left w:val="none" w:sz="0" w:space="0" w:color="auto"/>
        <w:bottom w:val="none" w:sz="0" w:space="0" w:color="auto"/>
        <w:right w:val="none" w:sz="0" w:space="0" w:color="auto"/>
      </w:divBdr>
    </w:div>
    <w:div w:id="476536222">
      <w:bodyDiv w:val="1"/>
      <w:marLeft w:val="0"/>
      <w:marRight w:val="0"/>
      <w:marTop w:val="0"/>
      <w:marBottom w:val="0"/>
      <w:divBdr>
        <w:top w:val="none" w:sz="0" w:space="0" w:color="auto"/>
        <w:left w:val="none" w:sz="0" w:space="0" w:color="auto"/>
        <w:bottom w:val="none" w:sz="0" w:space="0" w:color="auto"/>
        <w:right w:val="none" w:sz="0" w:space="0" w:color="auto"/>
      </w:divBdr>
    </w:div>
    <w:div w:id="476725258">
      <w:bodyDiv w:val="1"/>
      <w:marLeft w:val="0"/>
      <w:marRight w:val="0"/>
      <w:marTop w:val="0"/>
      <w:marBottom w:val="0"/>
      <w:divBdr>
        <w:top w:val="none" w:sz="0" w:space="0" w:color="auto"/>
        <w:left w:val="none" w:sz="0" w:space="0" w:color="auto"/>
        <w:bottom w:val="none" w:sz="0" w:space="0" w:color="auto"/>
        <w:right w:val="none" w:sz="0" w:space="0" w:color="auto"/>
      </w:divBdr>
    </w:div>
    <w:div w:id="477773111">
      <w:bodyDiv w:val="1"/>
      <w:marLeft w:val="0"/>
      <w:marRight w:val="0"/>
      <w:marTop w:val="0"/>
      <w:marBottom w:val="0"/>
      <w:divBdr>
        <w:top w:val="none" w:sz="0" w:space="0" w:color="auto"/>
        <w:left w:val="none" w:sz="0" w:space="0" w:color="auto"/>
        <w:bottom w:val="none" w:sz="0" w:space="0" w:color="auto"/>
        <w:right w:val="none" w:sz="0" w:space="0" w:color="auto"/>
      </w:divBdr>
    </w:div>
    <w:div w:id="479929026">
      <w:bodyDiv w:val="1"/>
      <w:marLeft w:val="0"/>
      <w:marRight w:val="0"/>
      <w:marTop w:val="0"/>
      <w:marBottom w:val="0"/>
      <w:divBdr>
        <w:top w:val="none" w:sz="0" w:space="0" w:color="auto"/>
        <w:left w:val="none" w:sz="0" w:space="0" w:color="auto"/>
        <w:bottom w:val="none" w:sz="0" w:space="0" w:color="auto"/>
        <w:right w:val="none" w:sz="0" w:space="0" w:color="auto"/>
      </w:divBdr>
    </w:div>
    <w:div w:id="480073796">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86482704">
      <w:bodyDiv w:val="1"/>
      <w:marLeft w:val="0"/>
      <w:marRight w:val="0"/>
      <w:marTop w:val="0"/>
      <w:marBottom w:val="0"/>
      <w:divBdr>
        <w:top w:val="none" w:sz="0" w:space="0" w:color="auto"/>
        <w:left w:val="none" w:sz="0" w:space="0" w:color="auto"/>
        <w:bottom w:val="none" w:sz="0" w:space="0" w:color="auto"/>
        <w:right w:val="none" w:sz="0" w:space="0" w:color="auto"/>
      </w:divBdr>
    </w:div>
    <w:div w:id="487480386">
      <w:bodyDiv w:val="1"/>
      <w:marLeft w:val="0"/>
      <w:marRight w:val="0"/>
      <w:marTop w:val="0"/>
      <w:marBottom w:val="0"/>
      <w:divBdr>
        <w:top w:val="none" w:sz="0" w:space="0" w:color="auto"/>
        <w:left w:val="none" w:sz="0" w:space="0" w:color="auto"/>
        <w:bottom w:val="none" w:sz="0" w:space="0" w:color="auto"/>
        <w:right w:val="none" w:sz="0" w:space="0" w:color="auto"/>
      </w:divBdr>
    </w:div>
    <w:div w:id="487983101">
      <w:bodyDiv w:val="1"/>
      <w:marLeft w:val="0"/>
      <w:marRight w:val="0"/>
      <w:marTop w:val="0"/>
      <w:marBottom w:val="0"/>
      <w:divBdr>
        <w:top w:val="none" w:sz="0" w:space="0" w:color="auto"/>
        <w:left w:val="none" w:sz="0" w:space="0" w:color="auto"/>
        <w:bottom w:val="none" w:sz="0" w:space="0" w:color="auto"/>
        <w:right w:val="none" w:sz="0" w:space="0" w:color="auto"/>
      </w:divBdr>
    </w:div>
    <w:div w:id="488331872">
      <w:bodyDiv w:val="1"/>
      <w:marLeft w:val="0"/>
      <w:marRight w:val="0"/>
      <w:marTop w:val="0"/>
      <w:marBottom w:val="0"/>
      <w:divBdr>
        <w:top w:val="none" w:sz="0" w:space="0" w:color="auto"/>
        <w:left w:val="none" w:sz="0" w:space="0" w:color="auto"/>
        <w:bottom w:val="none" w:sz="0" w:space="0" w:color="auto"/>
        <w:right w:val="none" w:sz="0" w:space="0" w:color="auto"/>
      </w:divBdr>
    </w:div>
    <w:div w:id="489058397">
      <w:bodyDiv w:val="1"/>
      <w:marLeft w:val="0"/>
      <w:marRight w:val="0"/>
      <w:marTop w:val="0"/>
      <w:marBottom w:val="0"/>
      <w:divBdr>
        <w:top w:val="none" w:sz="0" w:space="0" w:color="auto"/>
        <w:left w:val="none" w:sz="0" w:space="0" w:color="auto"/>
        <w:bottom w:val="none" w:sz="0" w:space="0" w:color="auto"/>
        <w:right w:val="none" w:sz="0" w:space="0" w:color="auto"/>
      </w:divBdr>
    </w:div>
    <w:div w:id="490028614">
      <w:bodyDiv w:val="1"/>
      <w:marLeft w:val="0"/>
      <w:marRight w:val="0"/>
      <w:marTop w:val="0"/>
      <w:marBottom w:val="0"/>
      <w:divBdr>
        <w:top w:val="none" w:sz="0" w:space="0" w:color="auto"/>
        <w:left w:val="none" w:sz="0" w:space="0" w:color="auto"/>
        <w:bottom w:val="none" w:sz="0" w:space="0" w:color="auto"/>
        <w:right w:val="none" w:sz="0" w:space="0" w:color="auto"/>
      </w:divBdr>
    </w:div>
    <w:div w:id="490171623">
      <w:bodyDiv w:val="1"/>
      <w:marLeft w:val="0"/>
      <w:marRight w:val="0"/>
      <w:marTop w:val="0"/>
      <w:marBottom w:val="0"/>
      <w:divBdr>
        <w:top w:val="none" w:sz="0" w:space="0" w:color="auto"/>
        <w:left w:val="none" w:sz="0" w:space="0" w:color="auto"/>
        <w:bottom w:val="none" w:sz="0" w:space="0" w:color="auto"/>
        <w:right w:val="none" w:sz="0" w:space="0" w:color="auto"/>
      </w:divBdr>
    </w:div>
    <w:div w:id="493684316">
      <w:bodyDiv w:val="1"/>
      <w:marLeft w:val="0"/>
      <w:marRight w:val="0"/>
      <w:marTop w:val="0"/>
      <w:marBottom w:val="0"/>
      <w:divBdr>
        <w:top w:val="none" w:sz="0" w:space="0" w:color="auto"/>
        <w:left w:val="none" w:sz="0" w:space="0" w:color="auto"/>
        <w:bottom w:val="none" w:sz="0" w:space="0" w:color="auto"/>
        <w:right w:val="none" w:sz="0" w:space="0" w:color="auto"/>
      </w:divBdr>
    </w:div>
    <w:div w:id="496114198">
      <w:bodyDiv w:val="1"/>
      <w:marLeft w:val="0"/>
      <w:marRight w:val="0"/>
      <w:marTop w:val="0"/>
      <w:marBottom w:val="0"/>
      <w:divBdr>
        <w:top w:val="none" w:sz="0" w:space="0" w:color="auto"/>
        <w:left w:val="none" w:sz="0" w:space="0" w:color="auto"/>
        <w:bottom w:val="none" w:sz="0" w:space="0" w:color="auto"/>
        <w:right w:val="none" w:sz="0" w:space="0" w:color="auto"/>
      </w:divBdr>
    </w:div>
    <w:div w:id="496306152">
      <w:bodyDiv w:val="1"/>
      <w:marLeft w:val="0"/>
      <w:marRight w:val="0"/>
      <w:marTop w:val="0"/>
      <w:marBottom w:val="0"/>
      <w:divBdr>
        <w:top w:val="none" w:sz="0" w:space="0" w:color="auto"/>
        <w:left w:val="none" w:sz="0" w:space="0" w:color="auto"/>
        <w:bottom w:val="none" w:sz="0" w:space="0" w:color="auto"/>
        <w:right w:val="none" w:sz="0" w:space="0" w:color="auto"/>
      </w:divBdr>
    </w:div>
    <w:div w:id="496728521">
      <w:bodyDiv w:val="1"/>
      <w:marLeft w:val="0"/>
      <w:marRight w:val="0"/>
      <w:marTop w:val="0"/>
      <w:marBottom w:val="0"/>
      <w:divBdr>
        <w:top w:val="none" w:sz="0" w:space="0" w:color="auto"/>
        <w:left w:val="none" w:sz="0" w:space="0" w:color="auto"/>
        <w:bottom w:val="none" w:sz="0" w:space="0" w:color="auto"/>
        <w:right w:val="none" w:sz="0" w:space="0" w:color="auto"/>
      </w:divBdr>
    </w:div>
    <w:div w:id="499392972">
      <w:bodyDiv w:val="1"/>
      <w:marLeft w:val="0"/>
      <w:marRight w:val="0"/>
      <w:marTop w:val="0"/>
      <w:marBottom w:val="0"/>
      <w:divBdr>
        <w:top w:val="none" w:sz="0" w:space="0" w:color="auto"/>
        <w:left w:val="none" w:sz="0" w:space="0" w:color="auto"/>
        <w:bottom w:val="none" w:sz="0" w:space="0" w:color="auto"/>
        <w:right w:val="none" w:sz="0" w:space="0" w:color="auto"/>
      </w:divBdr>
    </w:div>
    <w:div w:id="501315384">
      <w:bodyDiv w:val="1"/>
      <w:marLeft w:val="0"/>
      <w:marRight w:val="0"/>
      <w:marTop w:val="0"/>
      <w:marBottom w:val="0"/>
      <w:divBdr>
        <w:top w:val="none" w:sz="0" w:space="0" w:color="auto"/>
        <w:left w:val="none" w:sz="0" w:space="0" w:color="auto"/>
        <w:bottom w:val="none" w:sz="0" w:space="0" w:color="auto"/>
        <w:right w:val="none" w:sz="0" w:space="0" w:color="auto"/>
      </w:divBdr>
    </w:div>
    <w:div w:id="501511095">
      <w:bodyDiv w:val="1"/>
      <w:marLeft w:val="0"/>
      <w:marRight w:val="0"/>
      <w:marTop w:val="0"/>
      <w:marBottom w:val="0"/>
      <w:divBdr>
        <w:top w:val="none" w:sz="0" w:space="0" w:color="auto"/>
        <w:left w:val="none" w:sz="0" w:space="0" w:color="auto"/>
        <w:bottom w:val="none" w:sz="0" w:space="0" w:color="auto"/>
        <w:right w:val="none" w:sz="0" w:space="0" w:color="auto"/>
      </w:divBdr>
    </w:div>
    <w:div w:id="504054123">
      <w:bodyDiv w:val="1"/>
      <w:marLeft w:val="0"/>
      <w:marRight w:val="0"/>
      <w:marTop w:val="0"/>
      <w:marBottom w:val="0"/>
      <w:divBdr>
        <w:top w:val="none" w:sz="0" w:space="0" w:color="auto"/>
        <w:left w:val="none" w:sz="0" w:space="0" w:color="auto"/>
        <w:bottom w:val="none" w:sz="0" w:space="0" w:color="auto"/>
        <w:right w:val="none" w:sz="0" w:space="0" w:color="auto"/>
      </w:divBdr>
    </w:div>
    <w:div w:id="504517073">
      <w:bodyDiv w:val="1"/>
      <w:marLeft w:val="0"/>
      <w:marRight w:val="0"/>
      <w:marTop w:val="0"/>
      <w:marBottom w:val="0"/>
      <w:divBdr>
        <w:top w:val="none" w:sz="0" w:space="0" w:color="auto"/>
        <w:left w:val="none" w:sz="0" w:space="0" w:color="auto"/>
        <w:bottom w:val="none" w:sz="0" w:space="0" w:color="auto"/>
        <w:right w:val="none" w:sz="0" w:space="0" w:color="auto"/>
      </w:divBdr>
    </w:div>
    <w:div w:id="507446820">
      <w:bodyDiv w:val="1"/>
      <w:marLeft w:val="0"/>
      <w:marRight w:val="0"/>
      <w:marTop w:val="0"/>
      <w:marBottom w:val="0"/>
      <w:divBdr>
        <w:top w:val="none" w:sz="0" w:space="0" w:color="auto"/>
        <w:left w:val="none" w:sz="0" w:space="0" w:color="auto"/>
        <w:bottom w:val="none" w:sz="0" w:space="0" w:color="auto"/>
        <w:right w:val="none" w:sz="0" w:space="0" w:color="auto"/>
      </w:divBdr>
    </w:div>
    <w:div w:id="507642953">
      <w:bodyDiv w:val="1"/>
      <w:marLeft w:val="0"/>
      <w:marRight w:val="0"/>
      <w:marTop w:val="0"/>
      <w:marBottom w:val="0"/>
      <w:divBdr>
        <w:top w:val="none" w:sz="0" w:space="0" w:color="auto"/>
        <w:left w:val="none" w:sz="0" w:space="0" w:color="auto"/>
        <w:bottom w:val="none" w:sz="0" w:space="0" w:color="auto"/>
        <w:right w:val="none" w:sz="0" w:space="0" w:color="auto"/>
      </w:divBdr>
    </w:div>
    <w:div w:id="507870803">
      <w:bodyDiv w:val="1"/>
      <w:marLeft w:val="0"/>
      <w:marRight w:val="0"/>
      <w:marTop w:val="0"/>
      <w:marBottom w:val="0"/>
      <w:divBdr>
        <w:top w:val="none" w:sz="0" w:space="0" w:color="auto"/>
        <w:left w:val="none" w:sz="0" w:space="0" w:color="auto"/>
        <w:bottom w:val="none" w:sz="0" w:space="0" w:color="auto"/>
        <w:right w:val="none" w:sz="0" w:space="0" w:color="auto"/>
      </w:divBdr>
    </w:div>
    <w:div w:id="510411824">
      <w:bodyDiv w:val="1"/>
      <w:marLeft w:val="0"/>
      <w:marRight w:val="0"/>
      <w:marTop w:val="0"/>
      <w:marBottom w:val="0"/>
      <w:divBdr>
        <w:top w:val="none" w:sz="0" w:space="0" w:color="auto"/>
        <w:left w:val="none" w:sz="0" w:space="0" w:color="auto"/>
        <w:bottom w:val="none" w:sz="0" w:space="0" w:color="auto"/>
        <w:right w:val="none" w:sz="0" w:space="0" w:color="auto"/>
      </w:divBdr>
    </w:div>
    <w:div w:id="514422000">
      <w:bodyDiv w:val="1"/>
      <w:marLeft w:val="0"/>
      <w:marRight w:val="0"/>
      <w:marTop w:val="0"/>
      <w:marBottom w:val="0"/>
      <w:divBdr>
        <w:top w:val="none" w:sz="0" w:space="0" w:color="auto"/>
        <w:left w:val="none" w:sz="0" w:space="0" w:color="auto"/>
        <w:bottom w:val="none" w:sz="0" w:space="0" w:color="auto"/>
        <w:right w:val="none" w:sz="0" w:space="0" w:color="auto"/>
      </w:divBdr>
    </w:div>
    <w:div w:id="515073331">
      <w:bodyDiv w:val="1"/>
      <w:marLeft w:val="0"/>
      <w:marRight w:val="0"/>
      <w:marTop w:val="0"/>
      <w:marBottom w:val="0"/>
      <w:divBdr>
        <w:top w:val="none" w:sz="0" w:space="0" w:color="auto"/>
        <w:left w:val="none" w:sz="0" w:space="0" w:color="auto"/>
        <w:bottom w:val="none" w:sz="0" w:space="0" w:color="auto"/>
        <w:right w:val="none" w:sz="0" w:space="0" w:color="auto"/>
      </w:divBdr>
    </w:div>
    <w:div w:id="515074388">
      <w:bodyDiv w:val="1"/>
      <w:marLeft w:val="0"/>
      <w:marRight w:val="0"/>
      <w:marTop w:val="0"/>
      <w:marBottom w:val="0"/>
      <w:divBdr>
        <w:top w:val="none" w:sz="0" w:space="0" w:color="auto"/>
        <w:left w:val="none" w:sz="0" w:space="0" w:color="auto"/>
        <w:bottom w:val="none" w:sz="0" w:space="0" w:color="auto"/>
        <w:right w:val="none" w:sz="0" w:space="0" w:color="auto"/>
      </w:divBdr>
    </w:div>
    <w:div w:id="515536808">
      <w:bodyDiv w:val="1"/>
      <w:marLeft w:val="0"/>
      <w:marRight w:val="0"/>
      <w:marTop w:val="0"/>
      <w:marBottom w:val="0"/>
      <w:divBdr>
        <w:top w:val="none" w:sz="0" w:space="0" w:color="auto"/>
        <w:left w:val="none" w:sz="0" w:space="0" w:color="auto"/>
        <w:bottom w:val="none" w:sz="0" w:space="0" w:color="auto"/>
        <w:right w:val="none" w:sz="0" w:space="0" w:color="auto"/>
      </w:divBdr>
    </w:div>
    <w:div w:id="520093963">
      <w:bodyDiv w:val="1"/>
      <w:marLeft w:val="0"/>
      <w:marRight w:val="0"/>
      <w:marTop w:val="0"/>
      <w:marBottom w:val="0"/>
      <w:divBdr>
        <w:top w:val="none" w:sz="0" w:space="0" w:color="auto"/>
        <w:left w:val="none" w:sz="0" w:space="0" w:color="auto"/>
        <w:bottom w:val="none" w:sz="0" w:space="0" w:color="auto"/>
        <w:right w:val="none" w:sz="0" w:space="0" w:color="auto"/>
      </w:divBdr>
    </w:div>
    <w:div w:id="522015120">
      <w:bodyDiv w:val="1"/>
      <w:marLeft w:val="0"/>
      <w:marRight w:val="0"/>
      <w:marTop w:val="0"/>
      <w:marBottom w:val="0"/>
      <w:divBdr>
        <w:top w:val="none" w:sz="0" w:space="0" w:color="auto"/>
        <w:left w:val="none" w:sz="0" w:space="0" w:color="auto"/>
        <w:bottom w:val="none" w:sz="0" w:space="0" w:color="auto"/>
        <w:right w:val="none" w:sz="0" w:space="0" w:color="auto"/>
      </w:divBdr>
    </w:div>
    <w:div w:id="523786563">
      <w:bodyDiv w:val="1"/>
      <w:marLeft w:val="0"/>
      <w:marRight w:val="0"/>
      <w:marTop w:val="0"/>
      <w:marBottom w:val="0"/>
      <w:divBdr>
        <w:top w:val="none" w:sz="0" w:space="0" w:color="auto"/>
        <w:left w:val="none" w:sz="0" w:space="0" w:color="auto"/>
        <w:bottom w:val="none" w:sz="0" w:space="0" w:color="auto"/>
        <w:right w:val="none" w:sz="0" w:space="0" w:color="auto"/>
      </w:divBdr>
    </w:div>
    <w:div w:id="526456365">
      <w:bodyDiv w:val="1"/>
      <w:marLeft w:val="0"/>
      <w:marRight w:val="0"/>
      <w:marTop w:val="0"/>
      <w:marBottom w:val="0"/>
      <w:divBdr>
        <w:top w:val="none" w:sz="0" w:space="0" w:color="auto"/>
        <w:left w:val="none" w:sz="0" w:space="0" w:color="auto"/>
        <w:bottom w:val="none" w:sz="0" w:space="0" w:color="auto"/>
        <w:right w:val="none" w:sz="0" w:space="0" w:color="auto"/>
      </w:divBdr>
    </w:div>
    <w:div w:id="526988652">
      <w:bodyDiv w:val="1"/>
      <w:marLeft w:val="0"/>
      <w:marRight w:val="0"/>
      <w:marTop w:val="0"/>
      <w:marBottom w:val="0"/>
      <w:divBdr>
        <w:top w:val="none" w:sz="0" w:space="0" w:color="auto"/>
        <w:left w:val="none" w:sz="0" w:space="0" w:color="auto"/>
        <w:bottom w:val="none" w:sz="0" w:space="0" w:color="auto"/>
        <w:right w:val="none" w:sz="0" w:space="0" w:color="auto"/>
      </w:divBdr>
    </w:div>
    <w:div w:id="529801565">
      <w:bodyDiv w:val="1"/>
      <w:marLeft w:val="0"/>
      <w:marRight w:val="0"/>
      <w:marTop w:val="0"/>
      <w:marBottom w:val="0"/>
      <w:divBdr>
        <w:top w:val="none" w:sz="0" w:space="0" w:color="auto"/>
        <w:left w:val="none" w:sz="0" w:space="0" w:color="auto"/>
        <w:bottom w:val="none" w:sz="0" w:space="0" w:color="auto"/>
        <w:right w:val="none" w:sz="0" w:space="0" w:color="auto"/>
      </w:divBdr>
    </w:div>
    <w:div w:id="530188855">
      <w:bodyDiv w:val="1"/>
      <w:marLeft w:val="0"/>
      <w:marRight w:val="0"/>
      <w:marTop w:val="0"/>
      <w:marBottom w:val="0"/>
      <w:divBdr>
        <w:top w:val="none" w:sz="0" w:space="0" w:color="auto"/>
        <w:left w:val="none" w:sz="0" w:space="0" w:color="auto"/>
        <w:bottom w:val="none" w:sz="0" w:space="0" w:color="auto"/>
        <w:right w:val="none" w:sz="0" w:space="0" w:color="auto"/>
      </w:divBdr>
    </w:div>
    <w:div w:id="530411877">
      <w:bodyDiv w:val="1"/>
      <w:marLeft w:val="0"/>
      <w:marRight w:val="0"/>
      <w:marTop w:val="0"/>
      <w:marBottom w:val="0"/>
      <w:divBdr>
        <w:top w:val="none" w:sz="0" w:space="0" w:color="auto"/>
        <w:left w:val="none" w:sz="0" w:space="0" w:color="auto"/>
        <w:bottom w:val="none" w:sz="0" w:space="0" w:color="auto"/>
        <w:right w:val="none" w:sz="0" w:space="0" w:color="auto"/>
      </w:divBdr>
    </w:div>
    <w:div w:id="532688211">
      <w:bodyDiv w:val="1"/>
      <w:marLeft w:val="0"/>
      <w:marRight w:val="0"/>
      <w:marTop w:val="0"/>
      <w:marBottom w:val="0"/>
      <w:divBdr>
        <w:top w:val="none" w:sz="0" w:space="0" w:color="auto"/>
        <w:left w:val="none" w:sz="0" w:space="0" w:color="auto"/>
        <w:bottom w:val="none" w:sz="0" w:space="0" w:color="auto"/>
        <w:right w:val="none" w:sz="0" w:space="0" w:color="auto"/>
      </w:divBdr>
    </w:div>
    <w:div w:id="533034882">
      <w:bodyDiv w:val="1"/>
      <w:marLeft w:val="0"/>
      <w:marRight w:val="0"/>
      <w:marTop w:val="0"/>
      <w:marBottom w:val="0"/>
      <w:divBdr>
        <w:top w:val="none" w:sz="0" w:space="0" w:color="auto"/>
        <w:left w:val="none" w:sz="0" w:space="0" w:color="auto"/>
        <w:bottom w:val="none" w:sz="0" w:space="0" w:color="auto"/>
        <w:right w:val="none" w:sz="0" w:space="0" w:color="auto"/>
      </w:divBdr>
    </w:div>
    <w:div w:id="534007261">
      <w:bodyDiv w:val="1"/>
      <w:marLeft w:val="0"/>
      <w:marRight w:val="0"/>
      <w:marTop w:val="0"/>
      <w:marBottom w:val="0"/>
      <w:divBdr>
        <w:top w:val="none" w:sz="0" w:space="0" w:color="auto"/>
        <w:left w:val="none" w:sz="0" w:space="0" w:color="auto"/>
        <w:bottom w:val="none" w:sz="0" w:space="0" w:color="auto"/>
        <w:right w:val="none" w:sz="0" w:space="0" w:color="auto"/>
      </w:divBdr>
    </w:div>
    <w:div w:id="534778139">
      <w:bodyDiv w:val="1"/>
      <w:marLeft w:val="0"/>
      <w:marRight w:val="0"/>
      <w:marTop w:val="0"/>
      <w:marBottom w:val="0"/>
      <w:divBdr>
        <w:top w:val="none" w:sz="0" w:space="0" w:color="auto"/>
        <w:left w:val="none" w:sz="0" w:space="0" w:color="auto"/>
        <w:bottom w:val="none" w:sz="0" w:space="0" w:color="auto"/>
        <w:right w:val="none" w:sz="0" w:space="0" w:color="auto"/>
      </w:divBdr>
    </w:div>
    <w:div w:id="535317402">
      <w:bodyDiv w:val="1"/>
      <w:marLeft w:val="0"/>
      <w:marRight w:val="0"/>
      <w:marTop w:val="0"/>
      <w:marBottom w:val="0"/>
      <w:divBdr>
        <w:top w:val="none" w:sz="0" w:space="0" w:color="auto"/>
        <w:left w:val="none" w:sz="0" w:space="0" w:color="auto"/>
        <w:bottom w:val="none" w:sz="0" w:space="0" w:color="auto"/>
        <w:right w:val="none" w:sz="0" w:space="0" w:color="auto"/>
      </w:divBdr>
    </w:div>
    <w:div w:id="535972818">
      <w:bodyDiv w:val="1"/>
      <w:marLeft w:val="0"/>
      <w:marRight w:val="0"/>
      <w:marTop w:val="0"/>
      <w:marBottom w:val="0"/>
      <w:divBdr>
        <w:top w:val="none" w:sz="0" w:space="0" w:color="auto"/>
        <w:left w:val="none" w:sz="0" w:space="0" w:color="auto"/>
        <w:bottom w:val="none" w:sz="0" w:space="0" w:color="auto"/>
        <w:right w:val="none" w:sz="0" w:space="0" w:color="auto"/>
      </w:divBdr>
    </w:div>
    <w:div w:id="536283146">
      <w:bodyDiv w:val="1"/>
      <w:marLeft w:val="0"/>
      <w:marRight w:val="0"/>
      <w:marTop w:val="0"/>
      <w:marBottom w:val="0"/>
      <w:divBdr>
        <w:top w:val="none" w:sz="0" w:space="0" w:color="auto"/>
        <w:left w:val="none" w:sz="0" w:space="0" w:color="auto"/>
        <w:bottom w:val="none" w:sz="0" w:space="0" w:color="auto"/>
        <w:right w:val="none" w:sz="0" w:space="0" w:color="auto"/>
      </w:divBdr>
    </w:div>
    <w:div w:id="536701575">
      <w:bodyDiv w:val="1"/>
      <w:marLeft w:val="0"/>
      <w:marRight w:val="0"/>
      <w:marTop w:val="0"/>
      <w:marBottom w:val="0"/>
      <w:divBdr>
        <w:top w:val="none" w:sz="0" w:space="0" w:color="auto"/>
        <w:left w:val="none" w:sz="0" w:space="0" w:color="auto"/>
        <w:bottom w:val="none" w:sz="0" w:space="0" w:color="auto"/>
        <w:right w:val="none" w:sz="0" w:space="0" w:color="auto"/>
      </w:divBdr>
    </w:div>
    <w:div w:id="538205119">
      <w:bodyDiv w:val="1"/>
      <w:marLeft w:val="0"/>
      <w:marRight w:val="0"/>
      <w:marTop w:val="0"/>
      <w:marBottom w:val="0"/>
      <w:divBdr>
        <w:top w:val="none" w:sz="0" w:space="0" w:color="auto"/>
        <w:left w:val="none" w:sz="0" w:space="0" w:color="auto"/>
        <w:bottom w:val="none" w:sz="0" w:space="0" w:color="auto"/>
        <w:right w:val="none" w:sz="0" w:space="0" w:color="auto"/>
      </w:divBdr>
    </w:div>
    <w:div w:id="538400737">
      <w:bodyDiv w:val="1"/>
      <w:marLeft w:val="0"/>
      <w:marRight w:val="0"/>
      <w:marTop w:val="0"/>
      <w:marBottom w:val="0"/>
      <w:divBdr>
        <w:top w:val="none" w:sz="0" w:space="0" w:color="auto"/>
        <w:left w:val="none" w:sz="0" w:space="0" w:color="auto"/>
        <w:bottom w:val="none" w:sz="0" w:space="0" w:color="auto"/>
        <w:right w:val="none" w:sz="0" w:space="0" w:color="auto"/>
      </w:divBdr>
    </w:div>
    <w:div w:id="539436036">
      <w:bodyDiv w:val="1"/>
      <w:marLeft w:val="0"/>
      <w:marRight w:val="0"/>
      <w:marTop w:val="0"/>
      <w:marBottom w:val="0"/>
      <w:divBdr>
        <w:top w:val="none" w:sz="0" w:space="0" w:color="auto"/>
        <w:left w:val="none" w:sz="0" w:space="0" w:color="auto"/>
        <w:bottom w:val="none" w:sz="0" w:space="0" w:color="auto"/>
        <w:right w:val="none" w:sz="0" w:space="0" w:color="auto"/>
      </w:divBdr>
    </w:div>
    <w:div w:id="543759915">
      <w:bodyDiv w:val="1"/>
      <w:marLeft w:val="0"/>
      <w:marRight w:val="0"/>
      <w:marTop w:val="0"/>
      <w:marBottom w:val="0"/>
      <w:divBdr>
        <w:top w:val="none" w:sz="0" w:space="0" w:color="auto"/>
        <w:left w:val="none" w:sz="0" w:space="0" w:color="auto"/>
        <w:bottom w:val="none" w:sz="0" w:space="0" w:color="auto"/>
        <w:right w:val="none" w:sz="0" w:space="0" w:color="auto"/>
      </w:divBdr>
    </w:div>
    <w:div w:id="544105307">
      <w:bodyDiv w:val="1"/>
      <w:marLeft w:val="0"/>
      <w:marRight w:val="0"/>
      <w:marTop w:val="0"/>
      <w:marBottom w:val="0"/>
      <w:divBdr>
        <w:top w:val="none" w:sz="0" w:space="0" w:color="auto"/>
        <w:left w:val="none" w:sz="0" w:space="0" w:color="auto"/>
        <w:bottom w:val="none" w:sz="0" w:space="0" w:color="auto"/>
        <w:right w:val="none" w:sz="0" w:space="0" w:color="auto"/>
      </w:divBdr>
    </w:div>
    <w:div w:id="545217002">
      <w:bodyDiv w:val="1"/>
      <w:marLeft w:val="0"/>
      <w:marRight w:val="0"/>
      <w:marTop w:val="0"/>
      <w:marBottom w:val="0"/>
      <w:divBdr>
        <w:top w:val="none" w:sz="0" w:space="0" w:color="auto"/>
        <w:left w:val="none" w:sz="0" w:space="0" w:color="auto"/>
        <w:bottom w:val="none" w:sz="0" w:space="0" w:color="auto"/>
        <w:right w:val="none" w:sz="0" w:space="0" w:color="auto"/>
      </w:divBdr>
    </w:div>
    <w:div w:id="547380461">
      <w:bodyDiv w:val="1"/>
      <w:marLeft w:val="0"/>
      <w:marRight w:val="0"/>
      <w:marTop w:val="0"/>
      <w:marBottom w:val="0"/>
      <w:divBdr>
        <w:top w:val="none" w:sz="0" w:space="0" w:color="auto"/>
        <w:left w:val="none" w:sz="0" w:space="0" w:color="auto"/>
        <w:bottom w:val="none" w:sz="0" w:space="0" w:color="auto"/>
        <w:right w:val="none" w:sz="0" w:space="0" w:color="auto"/>
      </w:divBdr>
    </w:div>
    <w:div w:id="547954385">
      <w:bodyDiv w:val="1"/>
      <w:marLeft w:val="0"/>
      <w:marRight w:val="0"/>
      <w:marTop w:val="0"/>
      <w:marBottom w:val="0"/>
      <w:divBdr>
        <w:top w:val="none" w:sz="0" w:space="0" w:color="auto"/>
        <w:left w:val="none" w:sz="0" w:space="0" w:color="auto"/>
        <w:bottom w:val="none" w:sz="0" w:space="0" w:color="auto"/>
        <w:right w:val="none" w:sz="0" w:space="0" w:color="auto"/>
      </w:divBdr>
    </w:div>
    <w:div w:id="549653364">
      <w:bodyDiv w:val="1"/>
      <w:marLeft w:val="0"/>
      <w:marRight w:val="0"/>
      <w:marTop w:val="0"/>
      <w:marBottom w:val="0"/>
      <w:divBdr>
        <w:top w:val="none" w:sz="0" w:space="0" w:color="auto"/>
        <w:left w:val="none" w:sz="0" w:space="0" w:color="auto"/>
        <w:bottom w:val="none" w:sz="0" w:space="0" w:color="auto"/>
        <w:right w:val="none" w:sz="0" w:space="0" w:color="auto"/>
      </w:divBdr>
    </w:div>
    <w:div w:id="549734029">
      <w:bodyDiv w:val="1"/>
      <w:marLeft w:val="0"/>
      <w:marRight w:val="0"/>
      <w:marTop w:val="0"/>
      <w:marBottom w:val="0"/>
      <w:divBdr>
        <w:top w:val="none" w:sz="0" w:space="0" w:color="auto"/>
        <w:left w:val="none" w:sz="0" w:space="0" w:color="auto"/>
        <w:bottom w:val="none" w:sz="0" w:space="0" w:color="auto"/>
        <w:right w:val="none" w:sz="0" w:space="0" w:color="auto"/>
      </w:divBdr>
    </w:div>
    <w:div w:id="549809681">
      <w:bodyDiv w:val="1"/>
      <w:marLeft w:val="0"/>
      <w:marRight w:val="0"/>
      <w:marTop w:val="0"/>
      <w:marBottom w:val="0"/>
      <w:divBdr>
        <w:top w:val="none" w:sz="0" w:space="0" w:color="auto"/>
        <w:left w:val="none" w:sz="0" w:space="0" w:color="auto"/>
        <w:bottom w:val="none" w:sz="0" w:space="0" w:color="auto"/>
        <w:right w:val="none" w:sz="0" w:space="0" w:color="auto"/>
      </w:divBdr>
    </w:div>
    <w:div w:id="550269359">
      <w:bodyDiv w:val="1"/>
      <w:marLeft w:val="0"/>
      <w:marRight w:val="0"/>
      <w:marTop w:val="0"/>
      <w:marBottom w:val="0"/>
      <w:divBdr>
        <w:top w:val="none" w:sz="0" w:space="0" w:color="auto"/>
        <w:left w:val="none" w:sz="0" w:space="0" w:color="auto"/>
        <w:bottom w:val="none" w:sz="0" w:space="0" w:color="auto"/>
        <w:right w:val="none" w:sz="0" w:space="0" w:color="auto"/>
      </w:divBdr>
    </w:div>
    <w:div w:id="553393995">
      <w:bodyDiv w:val="1"/>
      <w:marLeft w:val="0"/>
      <w:marRight w:val="0"/>
      <w:marTop w:val="0"/>
      <w:marBottom w:val="0"/>
      <w:divBdr>
        <w:top w:val="none" w:sz="0" w:space="0" w:color="auto"/>
        <w:left w:val="none" w:sz="0" w:space="0" w:color="auto"/>
        <w:bottom w:val="none" w:sz="0" w:space="0" w:color="auto"/>
        <w:right w:val="none" w:sz="0" w:space="0" w:color="auto"/>
      </w:divBdr>
    </w:div>
    <w:div w:id="554269515">
      <w:bodyDiv w:val="1"/>
      <w:marLeft w:val="0"/>
      <w:marRight w:val="0"/>
      <w:marTop w:val="0"/>
      <w:marBottom w:val="0"/>
      <w:divBdr>
        <w:top w:val="none" w:sz="0" w:space="0" w:color="auto"/>
        <w:left w:val="none" w:sz="0" w:space="0" w:color="auto"/>
        <w:bottom w:val="none" w:sz="0" w:space="0" w:color="auto"/>
        <w:right w:val="none" w:sz="0" w:space="0" w:color="auto"/>
      </w:divBdr>
    </w:div>
    <w:div w:id="554700571">
      <w:bodyDiv w:val="1"/>
      <w:marLeft w:val="0"/>
      <w:marRight w:val="0"/>
      <w:marTop w:val="0"/>
      <w:marBottom w:val="0"/>
      <w:divBdr>
        <w:top w:val="none" w:sz="0" w:space="0" w:color="auto"/>
        <w:left w:val="none" w:sz="0" w:space="0" w:color="auto"/>
        <w:bottom w:val="none" w:sz="0" w:space="0" w:color="auto"/>
        <w:right w:val="none" w:sz="0" w:space="0" w:color="auto"/>
      </w:divBdr>
    </w:div>
    <w:div w:id="557016687">
      <w:bodyDiv w:val="1"/>
      <w:marLeft w:val="0"/>
      <w:marRight w:val="0"/>
      <w:marTop w:val="0"/>
      <w:marBottom w:val="0"/>
      <w:divBdr>
        <w:top w:val="none" w:sz="0" w:space="0" w:color="auto"/>
        <w:left w:val="none" w:sz="0" w:space="0" w:color="auto"/>
        <w:bottom w:val="none" w:sz="0" w:space="0" w:color="auto"/>
        <w:right w:val="none" w:sz="0" w:space="0" w:color="auto"/>
      </w:divBdr>
    </w:div>
    <w:div w:id="557591030">
      <w:bodyDiv w:val="1"/>
      <w:marLeft w:val="0"/>
      <w:marRight w:val="0"/>
      <w:marTop w:val="0"/>
      <w:marBottom w:val="0"/>
      <w:divBdr>
        <w:top w:val="none" w:sz="0" w:space="0" w:color="auto"/>
        <w:left w:val="none" w:sz="0" w:space="0" w:color="auto"/>
        <w:bottom w:val="none" w:sz="0" w:space="0" w:color="auto"/>
        <w:right w:val="none" w:sz="0" w:space="0" w:color="auto"/>
      </w:divBdr>
    </w:div>
    <w:div w:id="557857697">
      <w:bodyDiv w:val="1"/>
      <w:marLeft w:val="0"/>
      <w:marRight w:val="0"/>
      <w:marTop w:val="0"/>
      <w:marBottom w:val="0"/>
      <w:divBdr>
        <w:top w:val="none" w:sz="0" w:space="0" w:color="auto"/>
        <w:left w:val="none" w:sz="0" w:space="0" w:color="auto"/>
        <w:bottom w:val="none" w:sz="0" w:space="0" w:color="auto"/>
        <w:right w:val="none" w:sz="0" w:space="0" w:color="auto"/>
      </w:divBdr>
    </w:div>
    <w:div w:id="558327487">
      <w:bodyDiv w:val="1"/>
      <w:marLeft w:val="0"/>
      <w:marRight w:val="0"/>
      <w:marTop w:val="0"/>
      <w:marBottom w:val="0"/>
      <w:divBdr>
        <w:top w:val="none" w:sz="0" w:space="0" w:color="auto"/>
        <w:left w:val="none" w:sz="0" w:space="0" w:color="auto"/>
        <w:bottom w:val="none" w:sz="0" w:space="0" w:color="auto"/>
        <w:right w:val="none" w:sz="0" w:space="0" w:color="auto"/>
      </w:divBdr>
    </w:div>
    <w:div w:id="558638774">
      <w:bodyDiv w:val="1"/>
      <w:marLeft w:val="0"/>
      <w:marRight w:val="0"/>
      <w:marTop w:val="0"/>
      <w:marBottom w:val="0"/>
      <w:divBdr>
        <w:top w:val="none" w:sz="0" w:space="0" w:color="auto"/>
        <w:left w:val="none" w:sz="0" w:space="0" w:color="auto"/>
        <w:bottom w:val="none" w:sz="0" w:space="0" w:color="auto"/>
        <w:right w:val="none" w:sz="0" w:space="0" w:color="auto"/>
      </w:divBdr>
    </w:div>
    <w:div w:id="559250353">
      <w:bodyDiv w:val="1"/>
      <w:marLeft w:val="0"/>
      <w:marRight w:val="0"/>
      <w:marTop w:val="0"/>
      <w:marBottom w:val="0"/>
      <w:divBdr>
        <w:top w:val="none" w:sz="0" w:space="0" w:color="auto"/>
        <w:left w:val="none" w:sz="0" w:space="0" w:color="auto"/>
        <w:bottom w:val="none" w:sz="0" w:space="0" w:color="auto"/>
        <w:right w:val="none" w:sz="0" w:space="0" w:color="auto"/>
      </w:divBdr>
    </w:div>
    <w:div w:id="560335127">
      <w:bodyDiv w:val="1"/>
      <w:marLeft w:val="0"/>
      <w:marRight w:val="0"/>
      <w:marTop w:val="0"/>
      <w:marBottom w:val="0"/>
      <w:divBdr>
        <w:top w:val="none" w:sz="0" w:space="0" w:color="auto"/>
        <w:left w:val="none" w:sz="0" w:space="0" w:color="auto"/>
        <w:bottom w:val="none" w:sz="0" w:space="0" w:color="auto"/>
        <w:right w:val="none" w:sz="0" w:space="0" w:color="auto"/>
      </w:divBdr>
    </w:div>
    <w:div w:id="560992466">
      <w:bodyDiv w:val="1"/>
      <w:marLeft w:val="0"/>
      <w:marRight w:val="0"/>
      <w:marTop w:val="0"/>
      <w:marBottom w:val="0"/>
      <w:divBdr>
        <w:top w:val="none" w:sz="0" w:space="0" w:color="auto"/>
        <w:left w:val="none" w:sz="0" w:space="0" w:color="auto"/>
        <w:bottom w:val="none" w:sz="0" w:space="0" w:color="auto"/>
        <w:right w:val="none" w:sz="0" w:space="0" w:color="auto"/>
      </w:divBdr>
    </w:div>
    <w:div w:id="561019542">
      <w:bodyDiv w:val="1"/>
      <w:marLeft w:val="0"/>
      <w:marRight w:val="0"/>
      <w:marTop w:val="0"/>
      <w:marBottom w:val="0"/>
      <w:divBdr>
        <w:top w:val="none" w:sz="0" w:space="0" w:color="auto"/>
        <w:left w:val="none" w:sz="0" w:space="0" w:color="auto"/>
        <w:bottom w:val="none" w:sz="0" w:space="0" w:color="auto"/>
        <w:right w:val="none" w:sz="0" w:space="0" w:color="auto"/>
      </w:divBdr>
    </w:div>
    <w:div w:id="561717116">
      <w:bodyDiv w:val="1"/>
      <w:marLeft w:val="0"/>
      <w:marRight w:val="0"/>
      <w:marTop w:val="0"/>
      <w:marBottom w:val="0"/>
      <w:divBdr>
        <w:top w:val="none" w:sz="0" w:space="0" w:color="auto"/>
        <w:left w:val="none" w:sz="0" w:space="0" w:color="auto"/>
        <w:bottom w:val="none" w:sz="0" w:space="0" w:color="auto"/>
        <w:right w:val="none" w:sz="0" w:space="0" w:color="auto"/>
      </w:divBdr>
    </w:div>
    <w:div w:id="564413220">
      <w:bodyDiv w:val="1"/>
      <w:marLeft w:val="0"/>
      <w:marRight w:val="0"/>
      <w:marTop w:val="0"/>
      <w:marBottom w:val="0"/>
      <w:divBdr>
        <w:top w:val="none" w:sz="0" w:space="0" w:color="auto"/>
        <w:left w:val="none" w:sz="0" w:space="0" w:color="auto"/>
        <w:bottom w:val="none" w:sz="0" w:space="0" w:color="auto"/>
        <w:right w:val="none" w:sz="0" w:space="0" w:color="auto"/>
      </w:divBdr>
    </w:div>
    <w:div w:id="569770423">
      <w:bodyDiv w:val="1"/>
      <w:marLeft w:val="0"/>
      <w:marRight w:val="0"/>
      <w:marTop w:val="0"/>
      <w:marBottom w:val="0"/>
      <w:divBdr>
        <w:top w:val="none" w:sz="0" w:space="0" w:color="auto"/>
        <w:left w:val="none" w:sz="0" w:space="0" w:color="auto"/>
        <w:bottom w:val="none" w:sz="0" w:space="0" w:color="auto"/>
        <w:right w:val="none" w:sz="0" w:space="0" w:color="auto"/>
      </w:divBdr>
    </w:div>
    <w:div w:id="571277816">
      <w:bodyDiv w:val="1"/>
      <w:marLeft w:val="0"/>
      <w:marRight w:val="0"/>
      <w:marTop w:val="0"/>
      <w:marBottom w:val="0"/>
      <w:divBdr>
        <w:top w:val="none" w:sz="0" w:space="0" w:color="auto"/>
        <w:left w:val="none" w:sz="0" w:space="0" w:color="auto"/>
        <w:bottom w:val="none" w:sz="0" w:space="0" w:color="auto"/>
        <w:right w:val="none" w:sz="0" w:space="0" w:color="auto"/>
      </w:divBdr>
    </w:div>
    <w:div w:id="572744729">
      <w:bodyDiv w:val="1"/>
      <w:marLeft w:val="0"/>
      <w:marRight w:val="0"/>
      <w:marTop w:val="0"/>
      <w:marBottom w:val="0"/>
      <w:divBdr>
        <w:top w:val="none" w:sz="0" w:space="0" w:color="auto"/>
        <w:left w:val="none" w:sz="0" w:space="0" w:color="auto"/>
        <w:bottom w:val="none" w:sz="0" w:space="0" w:color="auto"/>
        <w:right w:val="none" w:sz="0" w:space="0" w:color="auto"/>
      </w:divBdr>
    </w:div>
    <w:div w:id="575018407">
      <w:bodyDiv w:val="1"/>
      <w:marLeft w:val="0"/>
      <w:marRight w:val="0"/>
      <w:marTop w:val="0"/>
      <w:marBottom w:val="0"/>
      <w:divBdr>
        <w:top w:val="none" w:sz="0" w:space="0" w:color="auto"/>
        <w:left w:val="none" w:sz="0" w:space="0" w:color="auto"/>
        <w:bottom w:val="none" w:sz="0" w:space="0" w:color="auto"/>
        <w:right w:val="none" w:sz="0" w:space="0" w:color="auto"/>
      </w:divBdr>
    </w:div>
    <w:div w:id="578177188">
      <w:bodyDiv w:val="1"/>
      <w:marLeft w:val="0"/>
      <w:marRight w:val="0"/>
      <w:marTop w:val="0"/>
      <w:marBottom w:val="0"/>
      <w:divBdr>
        <w:top w:val="none" w:sz="0" w:space="0" w:color="auto"/>
        <w:left w:val="none" w:sz="0" w:space="0" w:color="auto"/>
        <w:bottom w:val="none" w:sz="0" w:space="0" w:color="auto"/>
        <w:right w:val="none" w:sz="0" w:space="0" w:color="auto"/>
      </w:divBdr>
    </w:div>
    <w:div w:id="580532204">
      <w:bodyDiv w:val="1"/>
      <w:marLeft w:val="0"/>
      <w:marRight w:val="0"/>
      <w:marTop w:val="0"/>
      <w:marBottom w:val="0"/>
      <w:divBdr>
        <w:top w:val="none" w:sz="0" w:space="0" w:color="auto"/>
        <w:left w:val="none" w:sz="0" w:space="0" w:color="auto"/>
        <w:bottom w:val="none" w:sz="0" w:space="0" w:color="auto"/>
        <w:right w:val="none" w:sz="0" w:space="0" w:color="auto"/>
      </w:divBdr>
    </w:div>
    <w:div w:id="583340589">
      <w:bodyDiv w:val="1"/>
      <w:marLeft w:val="0"/>
      <w:marRight w:val="0"/>
      <w:marTop w:val="0"/>
      <w:marBottom w:val="0"/>
      <w:divBdr>
        <w:top w:val="none" w:sz="0" w:space="0" w:color="auto"/>
        <w:left w:val="none" w:sz="0" w:space="0" w:color="auto"/>
        <w:bottom w:val="none" w:sz="0" w:space="0" w:color="auto"/>
        <w:right w:val="none" w:sz="0" w:space="0" w:color="auto"/>
      </w:divBdr>
    </w:div>
    <w:div w:id="584262324">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7619106">
      <w:bodyDiv w:val="1"/>
      <w:marLeft w:val="0"/>
      <w:marRight w:val="0"/>
      <w:marTop w:val="0"/>
      <w:marBottom w:val="0"/>
      <w:divBdr>
        <w:top w:val="none" w:sz="0" w:space="0" w:color="auto"/>
        <w:left w:val="none" w:sz="0" w:space="0" w:color="auto"/>
        <w:bottom w:val="none" w:sz="0" w:space="0" w:color="auto"/>
        <w:right w:val="none" w:sz="0" w:space="0" w:color="auto"/>
      </w:divBdr>
    </w:div>
    <w:div w:id="588268807">
      <w:bodyDiv w:val="1"/>
      <w:marLeft w:val="0"/>
      <w:marRight w:val="0"/>
      <w:marTop w:val="0"/>
      <w:marBottom w:val="0"/>
      <w:divBdr>
        <w:top w:val="none" w:sz="0" w:space="0" w:color="auto"/>
        <w:left w:val="none" w:sz="0" w:space="0" w:color="auto"/>
        <w:bottom w:val="none" w:sz="0" w:space="0" w:color="auto"/>
        <w:right w:val="none" w:sz="0" w:space="0" w:color="auto"/>
      </w:divBdr>
    </w:div>
    <w:div w:id="589043696">
      <w:bodyDiv w:val="1"/>
      <w:marLeft w:val="0"/>
      <w:marRight w:val="0"/>
      <w:marTop w:val="0"/>
      <w:marBottom w:val="0"/>
      <w:divBdr>
        <w:top w:val="none" w:sz="0" w:space="0" w:color="auto"/>
        <w:left w:val="none" w:sz="0" w:space="0" w:color="auto"/>
        <w:bottom w:val="none" w:sz="0" w:space="0" w:color="auto"/>
        <w:right w:val="none" w:sz="0" w:space="0" w:color="auto"/>
      </w:divBdr>
    </w:div>
    <w:div w:id="589194647">
      <w:bodyDiv w:val="1"/>
      <w:marLeft w:val="0"/>
      <w:marRight w:val="0"/>
      <w:marTop w:val="0"/>
      <w:marBottom w:val="0"/>
      <w:divBdr>
        <w:top w:val="none" w:sz="0" w:space="0" w:color="auto"/>
        <w:left w:val="none" w:sz="0" w:space="0" w:color="auto"/>
        <w:bottom w:val="none" w:sz="0" w:space="0" w:color="auto"/>
        <w:right w:val="none" w:sz="0" w:space="0" w:color="auto"/>
      </w:divBdr>
    </w:div>
    <w:div w:id="589512405">
      <w:bodyDiv w:val="1"/>
      <w:marLeft w:val="0"/>
      <w:marRight w:val="0"/>
      <w:marTop w:val="0"/>
      <w:marBottom w:val="0"/>
      <w:divBdr>
        <w:top w:val="none" w:sz="0" w:space="0" w:color="auto"/>
        <w:left w:val="none" w:sz="0" w:space="0" w:color="auto"/>
        <w:bottom w:val="none" w:sz="0" w:space="0" w:color="auto"/>
        <w:right w:val="none" w:sz="0" w:space="0" w:color="auto"/>
      </w:divBdr>
    </w:div>
    <w:div w:id="591278102">
      <w:bodyDiv w:val="1"/>
      <w:marLeft w:val="0"/>
      <w:marRight w:val="0"/>
      <w:marTop w:val="0"/>
      <w:marBottom w:val="0"/>
      <w:divBdr>
        <w:top w:val="none" w:sz="0" w:space="0" w:color="auto"/>
        <w:left w:val="none" w:sz="0" w:space="0" w:color="auto"/>
        <w:bottom w:val="none" w:sz="0" w:space="0" w:color="auto"/>
        <w:right w:val="none" w:sz="0" w:space="0" w:color="auto"/>
      </w:divBdr>
    </w:div>
    <w:div w:id="593516818">
      <w:bodyDiv w:val="1"/>
      <w:marLeft w:val="0"/>
      <w:marRight w:val="0"/>
      <w:marTop w:val="0"/>
      <w:marBottom w:val="0"/>
      <w:divBdr>
        <w:top w:val="none" w:sz="0" w:space="0" w:color="auto"/>
        <w:left w:val="none" w:sz="0" w:space="0" w:color="auto"/>
        <w:bottom w:val="none" w:sz="0" w:space="0" w:color="auto"/>
        <w:right w:val="none" w:sz="0" w:space="0" w:color="auto"/>
      </w:divBdr>
    </w:div>
    <w:div w:id="595599391">
      <w:bodyDiv w:val="1"/>
      <w:marLeft w:val="0"/>
      <w:marRight w:val="0"/>
      <w:marTop w:val="0"/>
      <w:marBottom w:val="0"/>
      <w:divBdr>
        <w:top w:val="none" w:sz="0" w:space="0" w:color="auto"/>
        <w:left w:val="none" w:sz="0" w:space="0" w:color="auto"/>
        <w:bottom w:val="none" w:sz="0" w:space="0" w:color="auto"/>
        <w:right w:val="none" w:sz="0" w:space="0" w:color="auto"/>
      </w:divBdr>
    </w:div>
    <w:div w:id="596402658">
      <w:bodyDiv w:val="1"/>
      <w:marLeft w:val="0"/>
      <w:marRight w:val="0"/>
      <w:marTop w:val="0"/>
      <w:marBottom w:val="0"/>
      <w:divBdr>
        <w:top w:val="none" w:sz="0" w:space="0" w:color="auto"/>
        <w:left w:val="none" w:sz="0" w:space="0" w:color="auto"/>
        <w:bottom w:val="none" w:sz="0" w:space="0" w:color="auto"/>
        <w:right w:val="none" w:sz="0" w:space="0" w:color="auto"/>
      </w:divBdr>
    </w:div>
    <w:div w:id="597493726">
      <w:bodyDiv w:val="1"/>
      <w:marLeft w:val="0"/>
      <w:marRight w:val="0"/>
      <w:marTop w:val="0"/>
      <w:marBottom w:val="0"/>
      <w:divBdr>
        <w:top w:val="none" w:sz="0" w:space="0" w:color="auto"/>
        <w:left w:val="none" w:sz="0" w:space="0" w:color="auto"/>
        <w:bottom w:val="none" w:sz="0" w:space="0" w:color="auto"/>
        <w:right w:val="none" w:sz="0" w:space="0" w:color="auto"/>
      </w:divBdr>
    </w:div>
    <w:div w:id="598831279">
      <w:bodyDiv w:val="1"/>
      <w:marLeft w:val="0"/>
      <w:marRight w:val="0"/>
      <w:marTop w:val="0"/>
      <w:marBottom w:val="0"/>
      <w:divBdr>
        <w:top w:val="none" w:sz="0" w:space="0" w:color="auto"/>
        <w:left w:val="none" w:sz="0" w:space="0" w:color="auto"/>
        <w:bottom w:val="none" w:sz="0" w:space="0" w:color="auto"/>
        <w:right w:val="none" w:sz="0" w:space="0" w:color="auto"/>
      </w:divBdr>
    </w:div>
    <w:div w:id="600643697">
      <w:bodyDiv w:val="1"/>
      <w:marLeft w:val="0"/>
      <w:marRight w:val="0"/>
      <w:marTop w:val="0"/>
      <w:marBottom w:val="0"/>
      <w:divBdr>
        <w:top w:val="none" w:sz="0" w:space="0" w:color="auto"/>
        <w:left w:val="none" w:sz="0" w:space="0" w:color="auto"/>
        <w:bottom w:val="none" w:sz="0" w:space="0" w:color="auto"/>
        <w:right w:val="none" w:sz="0" w:space="0" w:color="auto"/>
      </w:divBdr>
    </w:div>
    <w:div w:id="607468314">
      <w:bodyDiv w:val="1"/>
      <w:marLeft w:val="0"/>
      <w:marRight w:val="0"/>
      <w:marTop w:val="0"/>
      <w:marBottom w:val="0"/>
      <w:divBdr>
        <w:top w:val="none" w:sz="0" w:space="0" w:color="auto"/>
        <w:left w:val="none" w:sz="0" w:space="0" w:color="auto"/>
        <w:bottom w:val="none" w:sz="0" w:space="0" w:color="auto"/>
        <w:right w:val="none" w:sz="0" w:space="0" w:color="auto"/>
      </w:divBdr>
    </w:div>
    <w:div w:id="609703738">
      <w:bodyDiv w:val="1"/>
      <w:marLeft w:val="0"/>
      <w:marRight w:val="0"/>
      <w:marTop w:val="0"/>
      <w:marBottom w:val="0"/>
      <w:divBdr>
        <w:top w:val="none" w:sz="0" w:space="0" w:color="auto"/>
        <w:left w:val="none" w:sz="0" w:space="0" w:color="auto"/>
        <w:bottom w:val="none" w:sz="0" w:space="0" w:color="auto"/>
        <w:right w:val="none" w:sz="0" w:space="0" w:color="auto"/>
      </w:divBdr>
    </w:div>
    <w:div w:id="610206363">
      <w:bodyDiv w:val="1"/>
      <w:marLeft w:val="0"/>
      <w:marRight w:val="0"/>
      <w:marTop w:val="0"/>
      <w:marBottom w:val="0"/>
      <w:divBdr>
        <w:top w:val="none" w:sz="0" w:space="0" w:color="auto"/>
        <w:left w:val="none" w:sz="0" w:space="0" w:color="auto"/>
        <w:bottom w:val="none" w:sz="0" w:space="0" w:color="auto"/>
        <w:right w:val="none" w:sz="0" w:space="0" w:color="auto"/>
      </w:divBdr>
    </w:div>
    <w:div w:id="610405509">
      <w:bodyDiv w:val="1"/>
      <w:marLeft w:val="0"/>
      <w:marRight w:val="0"/>
      <w:marTop w:val="0"/>
      <w:marBottom w:val="0"/>
      <w:divBdr>
        <w:top w:val="none" w:sz="0" w:space="0" w:color="auto"/>
        <w:left w:val="none" w:sz="0" w:space="0" w:color="auto"/>
        <w:bottom w:val="none" w:sz="0" w:space="0" w:color="auto"/>
        <w:right w:val="none" w:sz="0" w:space="0" w:color="auto"/>
      </w:divBdr>
    </w:div>
    <w:div w:id="611397718">
      <w:bodyDiv w:val="1"/>
      <w:marLeft w:val="0"/>
      <w:marRight w:val="0"/>
      <w:marTop w:val="0"/>
      <w:marBottom w:val="0"/>
      <w:divBdr>
        <w:top w:val="none" w:sz="0" w:space="0" w:color="auto"/>
        <w:left w:val="none" w:sz="0" w:space="0" w:color="auto"/>
        <w:bottom w:val="none" w:sz="0" w:space="0" w:color="auto"/>
        <w:right w:val="none" w:sz="0" w:space="0" w:color="auto"/>
      </w:divBdr>
    </w:div>
    <w:div w:id="611863728">
      <w:bodyDiv w:val="1"/>
      <w:marLeft w:val="0"/>
      <w:marRight w:val="0"/>
      <w:marTop w:val="0"/>
      <w:marBottom w:val="0"/>
      <w:divBdr>
        <w:top w:val="none" w:sz="0" w:space="0" w:color="auto"/>
        <w:left w:val="none" w:sz="0" w:space="0" w:color="auto"/>
        <w:bottom w:val="none" w:sz="0" w:space="0" w:color="auto"/>
        <w:right w:val="none" w:sz="0" w:space="0" w:color="auto"/>
      </w:divBdr>
    </w:div>
    <w:div w:id="612440956">
      <w:bodyDiv w:val="1"/>
      <w:marLeft w:val="0"/>
      <w:marRight w:val="0"/>
      <w:marTop w:val="0"/>
      <w:marBottom w:val="0"/>
      <w:divBdr>
        <w:top w:val="none" w:sz="0" w:space="0" w:color="auto"/>
        <w:left w:val="none" w:sz="0" w:space="0" w:color="auto"/>
        <w:bottom w:val="none" w:sz="0" w:space="0" w:color="auto"/>
        <w:right w:val="none" w:sz="0" w:space="0" w:color="auto"/>
      </w:divBdr>
    </w:div>
    <w:div w:id="612516533">
      <w:bodyDiv w:val="1"/>
      <w:marLeft w:val="0"/>
      <w:marRight w:val="0"/>
      <w:marTop w:val="0"/>
      <w:marBottom w:val="0"/>
      <w:divBdr>
        <w:top w:val="none" w:sz="0" w:space="0" w:color="auto"/>
        <w:left w:val="none" w:sz="0" w:space="0" w:color="auto"/>
        <w:bottom w:val="none" w:sz="0" w:space="0" w:color="auto"/>
        <w:right w:val="none" w:sz="0" w:space="0" w:color="auto"/>
      </w:divBdr>
    </w:div>
    <w:div w:id="614674182">
      <w:bodyDiv w:val="1"/>
      <w:marLeft w:val="0"/>
      <w:marRight w:val="0"/>
      <w:marTop w:val="0"/>
      <w:marBottom w:val="0"/>
      <w:divBdr>
        <w:top w:val="none" w:sz="0" w:space="0" w:color="auto"/>
        <w:left w:val="none" w:sz="0" w:space="0" w:color="auto"/>
        <w:bottom w:val="none" w:sz="0" w:space="0" w:color="auto"/>
        <w:right w:val="none" w:sz="0" w:space="0" w:color="auto"/>
      </w:divBdr>
    </w:div>
    <w:div w:id="615407459">
      <w:bodyDiv w:val="1"/>
      <w:marLeft w:val="0"/>
      <w:marRight w:val="0"/>
      <w:marTop w:val="0"/>
      <w:marBottom w:val="0"/>
      <w:divBdr>
        <w:top w:val="none" w:sz="0" w:space="0" w:color="auto"/>
        <w:left w:val="none" w:sz="0" w:space="0" w:color="auto"/>
        <w:bottom w:val="none" w:sz="0" w:space="0" w:color="auto"/>
        <w:right w:val="none" w:sz="0" w:space="0" w:color="auto"/>
      </w:divBdr>
    </w:div>
    <w:div w:id="615717265">
      <w:bodyDiv w:val="1"/>
      <w:marLeft w:val="0"/>
      <w:marRight w:val="0"/>
      <w:marTop w:val="0"/>
      <w:marBottom w:val="0"/>
      <w:divBdr>
        <w:top w:val="none" w:sz="0" w:space="0" w:color="auto"/>
        <w:left w:val="none" w:sz="0" w:space="0" w:color="auto"/>
        <w:bottom w:val="none" w:sz="0" w:space="0" w:color="auto"/>
        <w:right w:val="none" w:sz="0" w:space="0" w:color="auto"/>
      </w:divBdr>
    </w:div>
    <w:div w:id="619649494">
      <w:bodyDiv w:val="1"/>
      <w:marLeft w:val="0"/>
      <w:marRight w:val="0"/>
      <w:marTop w:val="0"/>
      <w:marBottom w:val="0"/>
      <w:divBdr>
        <w:top w:val="none" w:sz="0" w:space="0" w:color="auto"/>
        <w:left w:val="none" w:sz="0" w:space="0" w:color="auto"/>
        <w:bottom w:val="none" w:sz="0" w:space="0" w:color="auto"/>
        <w:right w:val="none" w:sz="0" w:space="0" w:color="auto"/>
      </w:divBdr>
    </w:div>
    <w:div w:id="620844422">
      <w:bodyDiv w:val="1"/>
      <w:marLeft w:val="0"/>
      <w:marRight w:val="0"/>
      <w:marTop w:val="0"/>
      <w:marBottom w:val="0"/>
      <w:divBdr>
        <w:top w:val="none" w:sz="0" w:space="0" w:color="auto"/>
        <w:left w:val="none" w:sz="0" w:space="0" w:color="auto"/>
        <w:bottom w:val="none" w:sz="0" w:space="0" w:color="auto"/>
        <w:right w:val="none" w:sz="0" w:space="0" w:color="auto"/>
      </w:divBdr>
    </w:div>
    <w:div w:id="621499761">
      <w:bodyDiv w:val="1"/>
      <w:marLeft w:val="0"/>
      <w:marRight w:val="0"/>
      <w:marTop w:val="0"/>
      <w:marBottom w:val="0"/>
      <w:divBdr>
        <w:top w:val="none" w:sz="0" w:space="0" w:color="auto"/>
        <w:left w:val="none" w:sz="0" w:space="0" w:color="auto"/>
        <w:bottom w:val="none" w:sz="0" w:space="0" w:color="auto"/>
        <w:right w:val="none" w:sz="0" w:space="0" w:color="auto"/>
      </w:divBdr>
    </w:div>
    <w:div w:id="622199766">
      <w:bodyDiv w:val="1"/>
      <w:marLeft w:val="0"/>
      <w:marRight w:val="0"/>
      <w:marTop w:val="0"/>
      <w:marBottom w:val="0"/>
      <w:divBdr>
        <w:top w:val="none" w:sz="0" w:space="0" w:color="auto"/>
        <w:left w:val="none" w:sz="0" w:space="0" w:color="auto"/>
        <w:bottom w:val="none" w:sz="0" w:space="0" w:color="auto"/>
        <w:right w:val="none" w:sz="0" w:space="0" w:color="auto"/>
      </w:divBdr>
    </w:div>
    <w:div w:id="624509026">
      <w:bodyDiv w:val="1"/>
      <w:marLeft w:val="0"/>
      <w:marRight w:val="0"/>
      <w:marTop w:val="0"/>
      <w:marBottom w:val="0"/>
      <w:divBdr>
        <w:top w:val="none" w:sz="0" w:space="0" w:color="auto"/>
        <w:left w:val="none" w:sz="0" w:space="0" w:color="auto"/>
        <w:bottom w:val="none" w:sz="0" w:space="0" w:color="auto"/>
        <w:right w:val="none" w:sz="0" w:space="0" w:color="auto"/>
      </w:divBdr>
    </w:div>
    <w:div w:id="625309250">
      <w:bodyDiv w:val="1"/>
      <w:marLeft w:val="0"/>
      <w:marRight w:val="0"/>
      <w:marTop w:val="0"/>
      <w:marBottom w:val="0"/>
      <w:divBdr>
        <w:top w:val="none" w:sz="0" w:space="0" w:color="auto"/>
        <w:left w:val="none" w:sz="0" w:space="0" w:color="auto"/>
        <w:bottom w:val="none" w:sz="0" w:space="0" w:color="auto"/>
        <w:right w:val="none" w:sz="0" w:space="0" w:color="auto"/>
      </w:divBdr>
    </w:div>
    <w:div w:id="628512091">
      <w:bodyDiv w:val="1"/>
      <w:marLeft w:val="0"/>
      <w:marRight w:val="0"/>
      <w:marTop w:val="0"/>
      <w:marBottom w:val="0"/>
      <w:divBdr>
        <w:top w:val="none" w:sz="0" w:space="0" w:color="auto"/>
        <w:left w:val="none" w:sz="0" w:space="0" w:color="auto"/>
        <w:bottom w:val="none" w:sz="0" w:space="0" w:color="auto"/>
        <w:right w:val="none" w:sz="0" w:space="0" w:color="auto"/>
      </w:divBdr>
    </w:div>
    <w:div w:id="630092147">
      <w:bodyDiv w:val="1"/>
      <w:marLeft w:val="0"/>
      <w:marRight w:val="0"/>
      <w:marTop w:val="0"/>
      <w:marBottom w:val="0"/>
      <w:divBdr>
        <w:top w:val="none" w:sz="0" w:space="0" w:color="auto"/>
        <w:left w:val="none" w:sz="0" w:space="0" w:color="auto"/>
        <w:bottom w:val="none" w:sz="0" w:space="0" w:color="auto"/>
        <w:right w:val="none" w:sz="0" w:space="0" w:color="auto"/>
      </w:divBdr>
    </w:div>
    <w:div w:id="632828494">
      <w:bodyDiv w:val="1"/>
      <w:marLeft w:val="0"/>
      <w:marRight w:val="0"/>
      <w:marTop w:val="0"/>
      <w:marBottom w:val="0"/>
      <w:divBdr>
        <w:top w:val="none" w:sz="0" w:space="0" w:color="auto"/>
        <w:left w:val="none" w:sz="0" w:space="0" w:color="auto"/>
        <w:bottom w:val="none" w:sz="0" w:space="0" w:color="auto"/>
        <w:right w:val="none" w:sz="0" w:space="0" w:color="auto"/>
      </w:divBdr>
    </w:div>
    <w:div w:id="633218737">
      <w:bodyDiv w:val="1"/>
      <w:marLeft w:val="0"/>
      <w:marRight w:val="0"/>
      <w:marTop w:val="0"/>
      <w:marBottom w:val="0"/>
      <w:divBdr>
        <w:top w:val="none" w:sz="0" w:space="0" w:color="auto"/>
        <w:left w:val="none" w:sz="0" w:space="0" w:color="auto"/>
        <w:bottom w:val="none" w:sz="0" w:space="0" w:color="auto"/>
        <w:right w:val="none" w:sz="0" w:space="0" w:color="auto"/>
      </w:divBdr>
    </w:div>
    <w:div w:id="633488284">
      <w:bodyDiv w:val="1"/>
      <w:marLeft w:val="0"/>
      <w:marRight w:val="0"/>
      <w:marTop w:val="0"/>
      <w:marBottom w:val="0"/>
      <w:divBdr>
        <w:top w:val="none" w:sz="0" w:space="0" w:color="auto"/>
        <w:left w:val="none" w:sz="0" w:space="0" w:color="auto"/>
        <w:bottom w:val="none" w:sz="0" w:space="0" w:color="auto"/>
        <w:right w:val="none" w:sz="0" w:space="0" w:color="auto"/>
      </w:divBdr>
    </w:div>
    <w:div w:id="634912963">
      <w:bodyDiv w:val="1"/>
      <w:marLeft w:val="0"/>
      <w:marRight w:val="0"/>
      <w:marTop w:val="0"/>
      <w:marBottom w:val="0"/>
      <w:divBdr>
        <w:top w:val="none" w:sz="0" w:space="0" w:color="auto"/>
        <w:left w:val="none" w:sz="0" w:space="0" w:color="auto"/>
        <w:bottom w:val="none" w:sz="0" w:space="0" w:color="auto"/>
        <w:right w:val="none" w:sz="0" w:space="0" w:color="auto"/>
      </w:divBdr>
    </w:div>
    <w:div w:id="637148924">
      <w:bodyDiv w:val="1"/>
      <w:marLeft w:val="0"/>
      <w:marRight w:val="0"/>
      <w:marTop w:val="0"/>
      <w:marBottom w:val="0"/>
      <w:divBdr>
        <w:top w:val="none" w:sz="0" w:space="0" w:color="auto"/>
        <w:left w:val="none" w:sz="0" w:space="0" w:color="auto"/>
        <w:bottom w:val="none" w:sz="0" w:space="0" w:color="auto"/>
        <w:right w:val="none" w:sz="0" w:space="0" w:color="auto"/>
      </w:divBdr>
    </w:div>
    <w:div w:id="637489528">
      <w:bodyDiv w:val="1"/>
      <w:marLeft w:val="0"/>
      <w:marRight w:val="0"/>
      <w:marTop w:val="0"/>
      <w:marBottom w:val="0"/>
      <w:divBdr>
        <w:top w:val="none" w:sz="0" w:space="0" w:color="auto"/>
        <w:left w:val="none" w:sz="0" w:space="0" w:color="auto"/>
        <w:bottom w:val="none" w:sz="0" w:space="0" w:color="auto"/>
        <w:right w:val="none" w:sz="0" w:space="0" w:color="auto"/>
      </w:divBdr>
    </w:div>
    <w:div w:id="638457789">
      <w:bodyDiv w:val="1"/>
      <w:marLeft w:val="0"/>
      <w:marRight w:val="0"/>
      <w:marTop w:val="0"/>
      <w:marBottom w:val="0"/>
      <w:divBdr>
        <w:top w:val="none" w:sz="0" w:space="0" w:color="auto"/>
        <w:left w:val="none" w:sz="0" w:space="0" w:color="auto"/>
        <w:bottom w:val="none" w:sz="0" w:space="0" w:color="auto"/>
        <w:right w:val="none" w:sz="0" w:space="0" w:color="auto"/>
      </w:divBdr>
    </w:div>
    <w:div w:id="639463377">
      <w:bodyDiv w:val="1"/>
      <w:marLeft w:val="0"/>
      <w:marRight w:val="0"/>
      <w:marTop w:val="0"/>
      <w:marBottom w:val="0"/>
      <w:divBdr>
        <w:top w:val="none" w:sz="0" w:space="0" w:color="auto"/>
        <w:left w:val="none" w:sz="0" w:space="0" w:color="auto"/>
        <w:bottom w:val="none" w:sz="0" w:space="0" w:color="auto"/>
        <w:right w:val="none" w:sz="0" w:space="0" w:color="auto"/>
      </w:divBdr>
    </w:div>
    <w:div w:id="640696314">
      <w:bodyDiv w:val="1"/>
      <w:marLeft w:val="0"/>
      <w:marRight w:val="0"/>
      <w:marTop w:val="0"/>
      <w:marBottom w:val="0"/>
      <w:divBdr>
        <w:top w:val="none" w:sz="0" w:space="0" w:color="auto"/>
        <w:left w:val="none" w:sz="0" w:space="0" w:color="auto"/>
        <w:bottom w:val="none" w:sz="0" w:space="0" w:color="auto"/>
        <w:right w:val="none" w:sz="0" w:space="0" w:color="auto"/>
      </w:divBdr>
    </w:div>
    <w:div w:id="641040305">
      <w:bodyDiv w:val="1"/>
      <w:marLeft w:val="0"/>
      <w:marRight w:val="0"/>
      <w:marTop w:val="0"/>
      <w:marBottom w:val="0"/>
      <w:divBdr>
        <w:top w:val="none" w:sz="0" w:space="0" w:color="auto"/>
        <w:left w:val="none" w:sz="0" w:space="0" w:color="auto"/>
        <w:bottom w:val="none" w:sz="0" w:space="0" w:color="auto"/>
        <w:right w:val="none" w:sz="0" w:space="0" w:color="auto"/>
      </w:divBdr>
    </w:div>
    <w:div w:id="641732398">
      <w:bodyDiv w:val="1"/>
      <w:marLeft w:val="0"/>
      <w:marRight w:val="0"/>
      <w:marTop w:val="0"/>
      <w:marBottom w:val="0"/>
      <w:divBdr>
        <w:top w:val="none" w:sz="0" w:space="0" w:color="auto"/>
        <w:left w:val="none" w:sz="0" w:space="0" w:color="auto"/>
        <w:bottom w:val="none" w:sz="0" w:space="0" w:color="auto"/>
        <w:right w:val="none" w:sz="0" w:space="0" w:color="auto"/>
      </w:divBdr>
    </w:div>
    <w:div w:id="641807622">
      <w:bodyDiv w:val="1"/>
      <w:marLeft w:val="0"/>
      <w:marRight w:val="0"/>
      <w:marTop w:val="0"/>
      <w:marBottom w:val="0"/>
      <w:divBdr>
        <w:top w:val="none" w:sz="0" w:space="0" w:color="auto"/>
        <w:left w:val="none" w:sz="0" w:space="0" w:color="auto"/>
        <w:bottom w:val="none" w:sz="0" w:space="0" w:color="auto"/>
        <w:right w:val="none" w:sz="0" w:space="0" w:color="auto"/>
      </w:divBdr>
    </w:div>
    <w:div w:id="645234349">
      <w:bodyDiv w:val="1"/>
      <w:marLeft w:val="0"/>
      <w:marRight w:val="0"/>
      <w:marTop w:val="0"/>
      <w:marBottom w:val="0"/>
      <w:divBdr>
        <w:top w:val="none" w:sz="0" w:space="0" w:color="auto"/>
        <w:left w:val="none" w:sz="0" w:space="0" w:color="auto"/>
        <w:bottom w:val="none" w:sz="0" w:space="0" w:color="auto"/>
        <w:right w:val="none" w:sz="0" w:space="0" w:color="auto"/>
      </w:divBdr>
    </w:div>
    <w:div w:id="646664227">
      <w:bodyDiv w:val="1"/>
      <w:marLeft w:val="0"/>
      <w:marRight w:val="0"/>
      <w:marTop w:val="0"/>
      <w:marBottom w:val="0"/>
      <w:divBdr>
        <w:top w:val="none" w:sz="0" w:space="0" w:color="auto"/>
        <w:left w:val="none" w:sz="0" w:space="0" w:color="auto"/>
        <w:bottom w:val="none" w:sz="0" w:space="0" w:color="auto"/>
        <w:right w:val="none" w:sz="0" w:space="0" w:color="auto"/>
      </w:divBdr>
    </w:div>
    <w:div w:id="646934465">
      <w:bodyDiv w:val="1"/>
      <w:marLeft w:val="0"/>
      <w:marRight w:val="0"/>
      <w:marTop w:val="0"/>
      <w:marBottom w:val="0"/>
      <w:divBdr>
        <w:top w:val="none" w:sz="0" w:space="0" w:color="auto"/>
        <w:left w:val="none" w:sz="0" w:space="0" w:color="auto"/>
        <w:bottom w:val="none" w:sz="0" w:space="0" w:color="auto"/>
        <w:right w:val="none" w:sz="0" w:space="0" w:color="auto"/>
      </w:divBdr>
    </w:div>
    <w:div w:id="653529880">
      <w:bodyDiv w:val="1"/>
      <w:marLeft w:val="0"/>
      <w:marRight w:val="0"/>
      <w:marTop w:val="0"/>
      <w:marBottom w:val="0"/>
      <w:divBdr>
        <w:top w:val="none" w:sz="0" w:space="0" w:color="auto"/>
        <w:left w:val="none" w:sz="0" w:space="0" w:color="auto"/>
        <w:bottom w:val="none" w:sz="0" w:space="0" w:color="auto"/>
        <w:right w:val="none" w:sz="0" w:space="0" w:color="auto"/>
      </w:divBdr>
    </w:div>
    <w:div w:id="653877740">
      <w:bodyDiv w:val="1"/>
      <w:marLeft w:val="0"/>
      <w:marRight w:val="0"/>
      <w:marTop w:val="0"/>
      <w:marBottom w:val="0"/>
      <w:divBdr>
        <w:top w:val="none" w:sz="0" w:space="0" w:color="auto"/>
        <w:left w:val="none" w:sz="0" w:space="0" w:color="auto"/>
        <w:bottom w:val="none" w:sz="0" w:space="0" w:color="auto"/>
        <w:right w:val="none" w:sz="0" w:space="0" w:color="auto"/>
      </w:divBdr>
    </w:div>
    <w:div w:id="656998695">
      <w:bodyDiv w:val="1"/>
      <w:marLeft w:val="0"/>
      <w:marRight w:val="0"/>
      <w:marTop w:val="0"/>
      <w:marBottom w:val="0"/>
      <w:divBdr>
        <w:top w:val="none" w:sz="0" w:space="0" w:color="auto"/>
        <w:left w:val="none" w:sz="0" w:space="0" w:color="auto"/>
        <w:bottom w:val="none" w:sz="0" w:space="0" w:color="auto"/>
        <w:right w:val="none" w:sz="0" w:space="0" w:color="auto"/>
      </w:divBdr>
    </w:div>
    <w:div w:id="657226803">
      <w:bodyDiv w:val="1"/>
      <w:marLeft w:val="0"/>
      <w:marRight w:val="0"/>
      <w:marTop w:val="0"/>
      <w:marBottom w:val="0"/>
      <w:divBdr>
        <w:top w:val="none" w:sz="0" w:space="0" w:color="auto"/>
        <w:left w:val="none" w:sz="0" w:space="0" w:color="auto"/>
        <w:bottom w:val="none" w:sz="0" w:space="0" w:color="auto"/>
        <w:right w:val="none" w:sz="0" w:space="0" w:color="auto"/>
      </w:divBdr>
    </w:div>
    <w:div w:id="659235475">
      <w:bodyDiv w:val="1"/>
      <w:marLeft w:val="0"/>
      <w:marRight w:val="0"/>
      <w:marTop w:val="0"/>
      <w:marBottom w:val="0"/>
      <w:divBdr>
        <w:top w:val="none" w:sz="0" w:space="0" w:color="auto"/>
        <w:left w:val="none" w:sz="0" w:space="0" w:color="auto"/>
        <w:bottom w:val="none" w:sz="0" w:space="0" w:color="auto"/>
        <w:right w:val="none" w:sz="0" w:space="0" w:color="auto"/>
      </w:divBdr>
    </w:div>
    <w:div w:id="660885615">
      <w:bodyDiv w:val="1"/>
      <w:marLeft w:val="0"/>
      <w:marRight w:val="0"/>
      <w:marTop w:val="0"/>
      <w:marBottom w:val="0"/>
      <w:divBdr>
        <w:top w:val="none" w:sz="0" w:space="0" w:color="auto"/>
        <w:left w:val="none" w:sz="0" w:space="0" w:color="auto"/>
        <w:bottom w:val="none" w:sz="0" w:space="0" w:color="auto"/>
        <w:right w:val="none" w:sz="0" w:space="0" w:color="auto"/>
      </w:divBdr>
    </w:div>
    <w:div w:id="661008213">
      <w:bodyDiv w:val="1"/>
      <w:marLeft w:val="0"/>
      <w:marRight w:val="0"/>
      <w:marTop w:val="0"/>
      <w:marBottom w:val="0"/>
      <w:divBdr>
        <w:top w:val="none" w:sz="0" w:space="0" w:color="auto"/>
        <w:left w:val="none" w:sz="0" w:space="0" w:color="auto"/>
        <w:bottom w:val="none" w:sz="0" w:space="0" w:color="auto"/>
        <w:right w:val="none" w:sz="0" w:space="0" w:color="auto"/>
      </w:divBdr>
    </w:div>
    <w:div w:id="662663018">
      <w:bodyDiv w:val="1"/>
      <w:marLeft w:val="0"/>
      <w:marRight w:val="0"/>
      <w:marTop w:val="0"/>
      <w:marBottom w:val="0"/>
      <w:divBdr>
        <w:top w:val="none" w:sz="0" w:space="0" w:color="auto"/>
        <w:left w:val="none" w:sz="0" w:space="0" w:color="auto"/>
        <w:bottom w:val="none" w:sz="0" w:space="0" w:color="auto"/>
        <w:right w:val="none" w:sz="0" w:space="0" w:color="auto"/>
      </w:divBdr>
    </w:div>
    <w:div w:id="664482297">
      <w:bodyDiv w:val="1"/>
      <w:marLeft w:val="0"/>
      <w:marRight w:val="0"/>
      <w:marTop w:val="0"/>
      <w:marBottom w:val="0"/>
      <w:divBdr>
        <w:top w:val="none" w:sz="0" w:space="0" w:color="auto"/>
        <w:left w:val="none" w:sz="0" w:space="0" w:color="auto"/>
        <w:bottom w:val="none" w:sz="0" w:space="0" w:color="auto"/>
        <w:right w:val="none" w:sz="0" w:space="0" w:color="auto"/>
      </w:divBdr>
    </w:div>
    <w:div w:id="667054803">
      <w:bodyDiv w:val="1"/>
      <w:marLeft w:val="0"/>
      <w:marRight w:val="0"/>
      <w:marTop w:val="0"/>
      <w:marBottom w:val="0"/>
      <w:divBdr>
        <w:top w:val="none" w:sz="0" w:space="0" w:color="auto"/>
        <w:left w:val="none" w:sz="0" w:space="0" w:color="auto"/>
        <w:bottom w:val="none" w:sz="0" w:space="0" w:color="auto"/>
        <w:right w:val="none" w:sz="0" w:space="0" w:color="auto"/>
      </w:divBdr>
    </w:div>
    <w:div w:id="671954261">
      <w:bodyDiv w:val="1"/>
      <w:marLeft w:val="0"/>
      <w:marRight w:val="0"/>
      <w:marTop w:val="0"/>
      <w:marBottom w:val="0"/>
      <w:divBdr>
        <w:top w:val="none" w:sz="0" w:space="0" w:color="auto"/>
        <w:left w:val="none" w:sz="0" w:space="0" w:color="auto"/>
        <w:bottom w:val="none" w:sz="0" w:space="0" w:color="auto"/>
        <w:right w:val="none" w:sz="0" w:space="0" w:color="auto"/>
      </w:divBdr>
    </w:div>
    <w:div w:id="672728703">
      <w:bodyDiv w:val="1"/>
      <w:marLeft w:val="0"/>
      <w:marRight w:val="0"/>
      <w:marTop w:val="0"/>
      <w:marBottom w:val="0"/>
      <w:divBdr>
        <w:top w:val="none" w:sz="0" w:space="0" w:color="auto"/>
        <w:left w:val="none" w:sz="0" w:space="0" w:color="auto"/>
        <w:bottom w:val="none" w:sz="0" w:space="0" w:color="auto"/>
        <w:right w:val="none" w:sz="0" w:space="0" w:color="auto"/>
      </w:divBdr>
    </w:div>
    <w:div w:id="673847861">
      <w:bodyDiv w:val="1"/>
      <w:marLeft w:val="0"/>
      <w:marRight w:val="0"/>
      <w:marTop w:val="0"/>
      <w:marBottom w:val="0"/>
      <w:divBdr>
        <w:top w:val="none" w:sz="0" w:space="0" w:color="auto"/>
        <w:left w:val="none" w:sz="0" w:space="0" w:color="auto"/>
        <w:bottom w:val="none" w:sz="0" w:space="0" w:color="auto"/>
        <w:right w:val="none" w:sz="0" w:space="0" w:color="auto"/>
      </w:divBdr>
    </w:div>
    <w:div w:id="673918806">
      <w:bodyDiv w:val="1"/>
      <w:marLeft w:val="0"/>
      <w:marRight w:val="0"/>
      <w:marTop w:val="0"/>
      <w:marBottom w:val="0"/>
      <w:divBdr>
        <w:top w:val="none" w:sz="0" w:space="0" w:color="auto"/>
        <w:left w:val="none" w:sz="0" w:space="0" w:color="auto"/>
        <w:bottom w:val="none" w:sz="0" w:space="0" w:color="auto"/>
        <w:right w:val="none" w:sz="0" w:space="0" w:color="auto"/>
      </w:divBdr>
    </w:div>
    <w:div w:id="676152740">
      <w:bodyDiv w:val="1"/>
      <w:marLeft w:val="0"/>
      <w:marRight w:val="0"/>
      <w:marTop w:val="0"/>
      <w:marBottom w:val="0"/>
      <w:divBdr>
        <w:top w:val="none" w:sz="0" w:space="0" w:color="auto"/>
        <w:left w:val="none" w:sz="0" w:space="0" w:color="auto"/>
        <w:bottom w:val="none" w:sz="0" w:space="0" w:color="auto"/>
        <w:right w:val="none" w:sz="0" w:space="0" w:color="auto"/>
      </w:divBdr>
    </w:div>
    <w:div w:id="677003462">
      <w:bodyDiv w:val="1"/>
      <w:marLeft w:val="0"/>
      <w:marRight w:val="0"/>
      <w:marTop w:val="0"/>
      <w:marBottom w:val="0"/>
      <w:divBdr>
        <w:top w:val="none" w:sz="0" w:space="0" w:color="auto"/>
        <w:left w:val="none" w:sz="0" w:space="0" w:color="auto"/>
        <w:bottom w:val="none" w:sz="0" w:space="0" w:color="auto"/>
        <w:right w:val="none" w:sz="0" w:space="0" w:color="auto"/>
      </w:divBdr>
    </w:div>
    <w:div w:id="677847845">
      <w:bodyDiv w:val="1"/>
      <w:marLeft w:val="0"/>
      <w:marRight w:val="0"/>
      <w:marTop w:val="0"/>
      <w:marBottom w:val="0"/>
      <w:divBdr>
        <w:top w:val="none" w:sz="0" w:space="0" w:color="auto"/>
        <w:left w:val="none" w:sz="0" w:space="0" w:color="auto"/>
        <w:bottom w:val="none" w:sz="0" w:space="0" w:color="auto"/>
        <w:right w:val="none" w:sz="0" w:space="0" w:color="auto"/>
      </w:divBdr>
    </w:div>
    <w:div w:id="678192380">
      <w:bodyDiv w:val="1"/>
      <w:marLeft w:val="0"/>
      <w:marRight w:val="0"/>
      <w:marTop w:val="0"/>
      <w:marBottom w:val="0"/>
      <w:divBdr>
        <w:top w:val="none" w:sz="0" w:space="0" w:color="auto"/>
        <w:left w:val="none" w:sz="0" w:space="0" w:color="auto"/>
        <w:bottom w:val="none" w:sz="0" w:space="0" w:color="auto"/>
        <w:right w:val="none" w:sz="0" w:space="0" w:color="auto"/>
      </w:divBdr>
    </w:div>
    <w:div w:id="680279377">
      <w:bodyDiv w:val="1"/>
      <w:marLeft w:val="0"/>
      <w:marRight w:val="0"/>
      <w:marTop w:val="0"/>
      <w:marBottom w:val="0"/>
      <w:divBdr>
        <w:top w:val="none" w:sz="0" w:space="0" w:color="auto"/>
        <w:left w:val="none" w:sz="0" w:space="0" w:color="auto"/>
        <w:bottom w:val="none" w:sz="0" w:space="0" w:color="auto"/>
        <w:right w:val="none" w:sz="0" w:space="0" w:color="auto"/>
      </w:divBdr>
    </w:div>
    <w:div w:id="680397174">
      <w:bodyDiv w:val="1"/>
      <w:marLeft w:val="0"/>
      <w:marRight w:val="0"/>
      <w:marTop w:val="0"/>
      <w:marBottom w:val="0"/>
      <w:divBdr>
        <w:top w:val="none" w:sz="0" w:space="0" w:color="auto"/>
        <w:left w:val="none" w:sz="0" w:space="0" w:color="auto"/>
        <w:bottom w:val="none" w:sz="0" w:space="0" w:color="auto"/>
        <w:right w:val="none" w:sz="0" w:space="0" w:color="auto"/>
      </w:divBdr>
    </w:div>
    <w:div w:id="680398989">
      <w:bodyDiv w:val="1"/>
      <w:marLeft w:val="0"/>
      <w:marRight w:val="0"/>
      <w:marTop w:val="0"/>
      <w:marBottom w:val="0"/>
      <w:divBdr>
        <w:top w:val="none" w:sz="0" w:space="0" w:color="auto"/>
        <w:left w:val="none" w:sz="0" w:space="0" w:color="auto"/>
        <w:bottom w:val="none" w:sz="0" w:space="0" w:color="auto"/>
        <w:right w:val="none" w:sz="0" w:space="0" w:color="auto"/>
      </w:divBdr>
    </w:div>
    <w:div w:id="681082316">
      <w:bodyDiv w:val="1"/>
      <w:marLeft w:val="0"/>
      <w:marRight w:val="0"/>
      <w:marTop w:val="0"/>
      <w:marBottom w:val="0"/>
      <w:divBdr>
        <w:top w:val="none" w:sz="0" w:space="0" w:color="auto"/>
        <w:left w:val="none" w:sz="0" w:space="0" w:color="auto"/>
        <w:bottom w:val="none" w:sz="0" w:space="0" w:color="auto"/>
        <w:right w:val="none" w:sz="0" w:space="0" w:color="auto"/>
      </w:divBdr>
    </w:div>
    <w:div w:id="683676034">
      <w:bodyDiv w:val="1"/>
      <w:marLeft w:val="0"/>
      <w:marRight w:val="0"/>
      <w:marTop w:val="0"/>
      <w:marBottom w:val="0"/>
      <w:divBdr>
        <w:top w:val="none" w:sz="0" w:space="0" w:color="auto"/>
        <w:left w:val="none" w:sz="0" w:space="0" w:color="auto"/>
        <w:bottom w:val="none" w:sz="0" w:space="0" w:color="auto"/>
        <w:right w:val="none" w:sz="0" w:space="0" w:color="auto"/>
      </w:divBdr>
    </w:div>
    <w:div w:id="687221155">
      <w:bodyDiv w:val="1"/>
      <w:marLeft w:val="0"/>
      <w:marRight w:val="0"/>
      <w:marTop w:val="0"/>
      <w:marBottom w:val="0"/>
      <w:divBdr>
        <w:top w:val="none" w:sz="0" w:space="0" w:color="auto"/>
        <w:left w:val="none" w:sz="0" w:space="0" w:color="auto"/>
        <w:bottom w:val="none" w:sz="0" w:space="0" w:color="auto"/>
        <w:right w:val="none" w:sz="0" w:space="0" w:color="auto"/>
      </w:divBdr>
    </w:div>
    <w:div w:id="687412152">
      <w:bodyDiv w:val="1"/>
      <w:marLeft w:val="0"/>
      <w:marRight w:val="0"/>
      <w:marTop w:val="0"/>
      <w:marBottom w:val="0"/>
      <w:divBdr>
        <w:top w:val="none" w:sz="0" w:space="0" w:color="auto"/>
        <w:left w:val="none" w:sz="0" w:space="0" w:color="auto"/>
        <w:bottom w:val="none" w:sz="0" w:space="0" w:color="auto"/>
        <w:right w:val="none" w:sz="0" w:space="0" w:color="auto"/>
      </w:divBdr>
    </w:div>
    <w:div w:id="693461654">
      <w:bodyDiv w:val="1"/>
      <w:marLeft w:val="0"/>
      <w:marRight w:val="0"/>
      <w:marTop w:val="0"/>
      <w:marBottom w:val="0"/>
      <w:divBdr>
        <w:top w:val="none" w:sz="0" w:space="0" w:color="auto"/>
        <w:left w:val="none" w:sz="0" w:space="0" w:color="auto"/>
        <w:bottom w:val="none" w:sz="0" w:space="0" w:color="auto"/>
        <w:right w:val="none" w:sz="0" w:space="0" w:color="auto"/>
      </w:divBdr>
    </w:div>
    <w:div w:id="695616688">
      <w:bodyDiv w:val="1"/>
      <w:marLeft w:val="0"/>
      <w:marRight w:val="0"/>
      <w:marTop w:val="0"/>
      <w:marBottom w:val="0"/>
      <w:divBdr>
        <w:top w:val="none" w:sz="0" w:space="0" w:color="auto"/>
        <w:left w:val="none" w:sz="0" w:space="0" w:color="auto"/>
        <w:bottom w:val="none" w:sz="0" w:space="0" w:color="auto"/>
        <w:right w:val="none" w:sz="0" w:space="0" w:color="auto"/>
      </w:divBdr>
    </w:div>
    <w:div w:id="696320525">
      <w:bodyDiv w:val="1"/>
      <w:marLeft w:val="0"/>
      <w:marRight w:val="0"/>
      <w:marTop w:val="0"/>
      <w:marBottom w:val="0"/>
      <w:divBdr>
        <w:top w:val="none" w:sz="0" w:space="0" w:color="auto"/>
        <w:left w:val="none" w:sz="0" w:space="0" w:color="auto"/>
        <w:bottom w:val="none" w:sz="0" w:space="0" w:color="auto"/>
        <w:right w:val="none" w:sz="0" w:space="0" w:color="auto"/>
      </w:divBdr>
    </w:div>
    <w:div w:id="698706941">
      <w:bodyDiv w:val="1"/>
      <w:marLeft w:val="0"/>
      <w:marRight w:val="0"/>
      <w:marTop w:val="0"/>
      <w:marBottom w:val="0"/>
      <w:divBdr>
        <w:top w:val="none" w:sz="0" w:space="0" w:color="auto"/>
        <w:left w:val="none" w:sz="0" w:space="0" w:color="auto"/>
        <w:bottom w:val="none" w:sz="0" w:space="0" w:color="auto"/>
        <w:right w:val="none" w:sz="0" w:space="0" w:color="auto"/>
      </w:divBdr>
    </w:div>
    <w:div w:id="701319975">
      <w:bodyDiv w:val="1"/>
      <w:marLeft w:val="0"/>
      <w:marRight w:val="0"/>
      <w:marTop w:val="0"/>
      <w:marBottom w:val="0"/>
      <w:divBdr>
        <w:top w:val="none" w:sz="0" w:space="0" w:color="auto"/>
        <w:left w:val="none" w:sz="0" w:space="0" w:color="auto"/>
        <w:bottom w:val="none" w:sz="0" w:space="0" w:color="auto"/>
        <w:right w:val="none" w:sz="0" w:space="0" w:color="auto"/>
      </w:divBdr>
    </w:div>
    <w:div w:id="702363050">
      <w:bodyDiv w:val="1"/>
      <w:marLeft w:val="0"/>
      <w:marRight w:val="0"/>
      <w:marTop w:val="0"/>
      <w:marBottom w:val="0"/>
      <w:divBdr>
        <w:top w:val="none" w:sz="0" w:space="0" w:color="auto"/>
        <w:left w:val="none" w:sz="0" w:space="0" w:color="auto"/>
        <w:bottom w:val="none" w:sz="0" w:space="0" w:color="auto"/>
        <w:right w:val="none" w:sz="0" w:space="0" w:color="auto"/>
      </w:divBdr>
    </w:div>
    <w:div w:id="703023485">
      <w:bodyDiv w:val="1"/>
      <w:marLeft w:val="0"/>
      <w:marRight w:val="0"/>
      <w:marTop w:val="0"/>
      <w:marBottom w:val="0"/>
      <w:divBdr>
        <w:top w:val="none" w:sz="0" w:space="0" w:color="auto"/>
        <w:left w:val="none" w:sz="0" w:space="0" w:color="auto"/>
        <w:bottom w:val="none" w:sz="0" w:space="0" w:color="auto"/>
        <w:right w:val="none" w:sz="0" w:space="0" w:color="auto"/>
      </w:divBdr>
    </w:div>
    <w:div w:id="704988635">
      <w:bodyDiv w:val="1"/>
      <w:marLeft w:val="0"/>
      <w:marRight w:val="0"/>
      <w:marTop w:val="0"/>
      <w:marBottom w:val="0"/>
      <w:divBdr>
        <w:top w:val="none" w:sz="0" w:space="0" w:color="auto"/>
        <w:left w:val="none" w:sz="0" w:space="0" w:color="auto"/>
        <w:bottom w:val="none" w:sz="0" w:space="0" w:color="auto"/>
        <w:right w:val="none" w:sz="0" w:space="0" w:color="auto"/>
      </w:divBdr>
    </w:div>
    <w:div w:id="705564385">
      <w:bodyDiv w:val="1"/>
      <w:marLeft w:val="0"/>
      <w:marRight w:val="0"/>
      <w:marTop w:val="0"/>
      <w:marBottom w:val="0"/>
      <w:divBdr>
        <w:top w:val="none" w:sz="0" w:space="0" w:color="auto"/>
        <w:left w:val="none" w:sz="0" w:space="0" w:color="auto"/>
        <w:bottom w:val="none" w:sz="0" w:space="0" w:color="auto"/>
        <w:right w:val="none" w:sz="0" w:space="0" w:color="auto"/>
      </w:divBdr>
    </w:div>
    <w:div w:id="705833941">
      <w:bodyDiv w:val="1"/>
      <w:marLeft w:val="0"/>
      <w:marRight w:val="0"/>
      <w:marTop w:val="0"/>
      <w:marBottom w:val="0"/>
      <w:divBdr>
        <w:top w:val="none" w:sz="0" w:space="0" w:color="auto"/>
        <w:left w:val="none" w:sz="0" w:space="0" w:color="auto"/>
        <w:bottom w:val="none" w:sz="0" w:space="0" w:color="auto"/>
        <w:right w:val="none" w:sz="0" w:space="0" w:color="auto"/>
      </w:divBdr>
    </w:div>
    <w:div w:id="707418054">
      <w:bodyDiv w:val="1"/>
      <w:marLeft w:val="0"/>
      <w:marRight w:val="0"/>
      <w:marTop w:val="0"/>
      <w:marBottom w:val="0"/>
      <w:divBdr>
        <w:top w:val="none" w:sz="0" w:space="0" w:color="auto"/>
        <w:left w:val="none" w:sz="0" w:space="0" w:color="auto"/>
        <w:bottom w:val="none" w:sz="0" w:space="0" w:color="auto"/>
        <w:right w:val="none" w:sz="0" w:space="0" w:color="auto"/>
      </w:divBdr>
    </w:div>
    <w:div w:id="707611859">
      <w:bodyDiv w:val="1"/>
      <w:marLeft w:val="0"/>
      <w:marRight w:val="0"/>
      <w:marTop w:val="0"/>
      <w:marBottom w:val="0"/>
      <w:divBdr>
        <w:top w:val="none" w:sz="0" w:space="0" w:color="auto"/>
        <w:left w:val="none" w:sz="0" w:space="0" w:color="auto"/>
        <w:bottom w:val="none" w:sz="0" w:space="0" w:color="auto"/>
        <w:right w:val="none" w:sz="0" w:space="0" w:color="auto"/>
      </w:divBdr>
    </w:div>
    <w:div w:id="707726177">
      <w:bodyDiv w:val="1"/>
      <w:marLeft w:val="0"/>
      <w:marRight w:val="0"/>
      <w:marTop w:val="0"/>
      <w:marBottom w:val="0"/>
      <w:divBdr>
        <w:top w:val="none" w:sz="0" w:space="0" w:color="auto"/>
        <w:left w:val="none" w:sz="0" w:space="0" w:color="auto"/>
        <w:bottom w:val="none" w:sz="0" w:space="0" w:color="auto"/>
        <w:right w:val="none" w:sz="0" w:space="0" w:color="auto"/>
      </w:divBdr>
    </w:div>
    <w:div w:id="707873788">
      <w:bodyDiv w:val="1"/>
      <w:marLeft w:val="0"/>
      <w:marRight w:val="0"/>
      <w:marTop w:val="0"/>
      <w:marBottom w:val="0"/>
      <w:divBdr>
        <w:top w:val="none" w:sz="0" w:space="0" w:color="auto"/>
        <w:left w:val="none" w:sz="0" w:space="0" w:color="auto"/>
        <w:bottom w:val="none" w:sz="0" w:space="0" w:color="auto"/>
        <w:right w:val="none" w:sz="0" w:space="0" w:color="auto"/>
      </w:divBdr>
    </w:div>
    <w:div w:id="710105641">
      <w:bodyDiv w:val="1"/>
      <w:marLeft w:val="0"/>
      <w:marRight w:val="0"/>
      <w:marTop w:val="0"/>
      <w:marBottom w:val="0"/>
      <w:divBdr>
        <w:top w:val="none" w:sz="0" w:space="0" w:color="auto"/>
        <w:left w:val="none" w:sz="0" w:space="0" w:color="auto"/>
        <w:bottom w:val="none" w:sz="0" w:space="0" w:color="auto"/>
        <w:right w:val="none" w:sz="0" w:space="0" w:color="auto"/>
      </w:divBdr>
    </w:div>
    <w:div w:id="710571289">
      <w:bodyDiv w:val="1"/>
      <w:marLeft w:val="0"/>
      <w:marRight w:val="0"/>
      <w:marTop w:val="0"/>
      <w:marBottom w:val="0"/>
      <w:divBdr>
        <w:top w:val="none" w:sz="0" w:space="0" w:color="auto"/>
        <w:left w:val="none" w:sz="0" w:space="0" w:color="auto"/>
        <w:bottom w:val="none" w:sz="0" w:space="0" w:color="auto"/>
        <w:right w:val="none" w:sz="0" w:space="0" w:color="auto"/>
      </w:divBdr>
    </w:div>
    <w:div w:id="712921234">
      <w:bodyDiv w:val="1"/>
      <w:marLeft w:val="0"/>
      <w:marRight w:val="0"/>
      <w:marTop w:val="0"/>
      <w:marBottom w:val="0"/>
      <w:divBdr>
        <w:top w:val="none" w:sz="0" w:space="0" w:color="auto"/>
        <w:left w:val="none" w:sz="0" w:space="0" w:color="auto"/>
        <w:bottom w:val="none" w:sz="0" w:space="0" w:color="auto"/>
        <w:right w:val="none" w:sz="0" w:space="0" w:color="auto"/>
      </w:divBdr>
    </w:div>
    <w:div w:id="712926882">
      <w:bodyDiv w:val="1"/>
      <w:marLeft w:val="0"/>
      <w:marRight w:val="0"/>
      <w:marTop w:val="0"/>
      <w:marBottom w:val="0"/>
      <w:divBdr>
        <w:top w:val="none" w:sz="0" w:space="0" w:color="auto"/>
        <w:left w:val="none" w:sz="0" w:space="0" w:color="auto"/>
        <w:bottom w:val="none" w:sz="0" w:space="0" w:color="auto"/>
        <w:right w:val="none" w:sz="0" w:space="0" w:color="auto"/>
      </w:divBdr>
    </w:div>
    <w:div w:id="713122359">
      <w:bodyDiv w:val="1"/>
      <w:marLeft w:val="0"/>
      <w:marRight w:val="0"/>
      <w:marTop w:val="0"/>
      <w:marBottom w:val="0"/>
      <w:divBdr>
        <w:top w:val="none" w:sz="0" w:space="0" w:color="auto"/>
        <w:left w:val="none" w:sz="0" w:space="0" w:color="auto"/>
        <w:bottom w:val="none" w:sz="0" w:space="0" w:color="auto"/>
        <w:right w:val="none" w:sz="0" w:space="0" w:color="auto"/>
      </w:divBdr>
    </w:div>
    <w:div w:id="714350669">
      <w:bodyDiv w:val="1"/>
      <w:marLeft w:val="0"/>
      <w:marRight w:val="0"/>
      <w:marTop w:val="0"/>
      <w:marBottom w:val="0"/>
      <w:divBdr>
        <w:top w:val="none" w:sz="0" w:space="0" w:color="auto"/>
        <w:left w:val="none" w:sz="0" w:space="0" w:color="auto"/>
        <w:bottom w:val="none" w:sz="0" w:space="0" w:color="auto"/>
        <w:right w:val="none" w:sz="0" w:space="0" w:color="auto"/>
      </w:divBdr>
    </w:div>
    <w:div w:id="714891650">
      <w:bodyDiv w:val="1"/>
      <w:marLeft w:val="0"/>
      <w:marRight w:val="0"/>
      <w:marTop w:val="0"/>
      <w:marBottom w:val="0"/>
      <w:divBdr>
        <w:top w:val="none" w:sz="0" w:space="0" w:color="auto"/>
        <w:left w:val="none" w:sz="0" w:space="0" w:color="auto"/>
        <w:bottom w:val="none" w:sz="0" w:space="0" w:color="auto"/>
        <w:right w:val="none" w:sz="0" w:space="0" w:color="auto"/>
      </w:divBdr>
    </w:div>
    <w:div w:id="716198921">
      <w:bodyDiv w:val="1"/>
      <w:marLeft w:val="0"/>
      <w:marRight w:val="0"/>
      <w:marTop w:val="0"/>
      <w:marBottom w:val="0"/>
      <w:divBdr>
        <w:top w:val="none" w:sz="0" w:space="0" w:color="auto"/>
        <w:left w:val="none" w:sz="0" w:space="0" w:color="auto"/>
        <w:bottom w:val="none" w:sz="0" w:space="0" w:color="auto"/>
        <w:right w:val="none" w:sz="0" w:space="0" w:color="auto"/>
      </w:divBdr>
    </w:div>
    <w:div w:id="717780054">
      <w:bodyDiv w:val="1"/>
      <w:marLeft w:val="0"/>
      <w:marRight w:val="0"/>
      <w:marTop w:val="0"/>
      <w:marBottom w:val="0"/>
      <w:divBdr>
        <w:top w:val="none" w:sz="0" w:space="0" w:color="auto"/>
        <w:left w:val="none" w:sz="0" w:space="0" w:color="auto"/>
        <w:bottom w:val="none" w:sz="0" w:space="0" w:color="auto"/>
        <w:right w:val="none" w:sz="0" w:space="0" w:color="auto"/>
      </w:divBdr>
    </w:div>
    <w:div w:id="719595389">
      <w:bodyDiv w:val="1"/>
      <w:marLeft w:val="0"/>
      <w:marRight w:val="0"/>
      <w:marTop w:val="0"/>
      <w:marBottom w:val="0"/>
      <w:divBdr>
        <w:top w:val="none" w:sz="0" w:space="0" w:color="auto"/>
        <w:left w:val="none" w:sz="0" w:space="0" w:color="auto"/>
        <w:bottom w:val="none" w:sz="0" w:space="0" w:color="auto"/>
        <w:right w:val="none" w:sz="0" w:space="0" w:color="auto"/>
      </w:divBdr>
    </w:div>
    <w:div w:id="720328876">
      <w:bodyDiv w:val="1"/>
      <w:marLeft w:val="0"/>
      <w:marRight w:val="0"/>
      <w:marTop w:val="0"/>
      <w:marBottom w:val="0"/>
      <w:divBdr>
        <w:top w:val="none" w:sz="0" w:space="0" w:color="auto"/>
        <w:left w:val="none" w:sz="0" w:space="0" w:color="auto"/>
        <w:bottom w:val="none" w:sz="0" w:space="0" w:color="auto"/>
        <w:right w:val="none" w:sz="0" w:space="0" w:color="auto"/>
      </w:divBdr>
    </w:div>
    <w:div w:id="720593291">
      <w:bodyDiv w:val="1"/>
      <w:marLeft w:val="0"/>
      <w:marRight w:val="0"/>
      <w:marTop w:val="0"/>
      <w:marBottom w:val="0"/>
      <w:divBdr>
        <w:top w:val="none" w:sz="0" w:space="0" w:color="auto"/>
        <w:left w:val="none" w:sz="0" w:space="0" w:color="auto"/>
        <w:bottom w:val="none" w:sz="0" w:space="0" w:color="auto"/>
        <w:right w:val="none" w:sz="0" w:space="0" w:color="auto"/>
      </w:divBdr>
    </w:div>
    <w:div w:id="721826078">
      <w:bodyDiv w:val="1"/>
      <w:marLeft w:val="0"/>
      <w:marRight w:val="0"/>
      <w:marTop w:val="0"/>
      <w:marBottom w:val="0"/>
      <w:divBdr>
        <w:top w:val="none" w:sz="0" w:space="0" w:color="auto"/>
        <w:left w:val="none" w:sz="0" w:space="0" w:color="auto"/>
        <w:bottom w:val="none" w:sz="0" w:space="0" w:color="auto"/>
        <w:right w:val="none" w:sz="0" w:space="0" w:color="auto"/>
      </w:divBdr>
    </w:div>
    <w:div w:id="723799058">
      <w:bodyDiv w:val="1"/>
      <w:marLeft w:val="0"/>
      <w:marRight w:val="0"/>
      <w:marTop w:val="0"/>
      <w:marBottom w:val="0"/>
      <w:divBdr>
        <w:top w:val="none" w:sz="0" w:space="0" w:color="auto"/>
        <w:left w:val="none" w:sz="0" w:space="0" w:color="auto"/>
        <w:bottom w:val="none" w:sz="0" w:space="0" w:color="auto"/>
        <w:right w:val="none" w:sz="0" w:space="0" w:color="auto"/>
      </w:divBdr>
    </w:div>
    <w:div w:id="724721793">
      <w:bodyDiv w:val="1"/>
      <w:marLeft w:val="0"/>
      <w:marRight w:val="0"/>
      <w:marTop w:val="0"/>
      <w:marBottom w:val="0"/>
      <w:divBdr>
        <w:top w:val="none" w:sz="0" w:space="0" w:color="auto"/>
        <w:left w:val="none" w:sz="0" w:space="0" w:color="auto"/>
        <w:bottom w:val="none" w:sz="0" w:space="0" w:color="auto"/>
        <w:right w:val="none" w:sz="0" w:space="0" w:color="auto"/>
      </w:divBdr>
    </w:div>
    <w:div w:id="725571387">
      <w:bodyDiv w:val="1"/>
      <w:marLeft w:val="0"/>
      <w:marRight w:val="0"/>
      <w:marTop w:val="0"/>
      <w:marBottom w:val="0"/>
      <w:divBdr>
        <w:top w:val="none" w:sz="0" w:space="0" w:color="auto"/>
        <w:left w:val="none" w:sz="0" w:space="0" w:color="auto"/>
        <w:bottom w:val="none" w:sz="0" w:space="0" w:color="auto"/>
        <w:right w:val="none" w:sz="0" w:space="0" w:color="auto"/>
      </w:divBdr>
    </w:div>
    <w:div w:id="726300550">
      <w:bodyDiv w:val="1"/>
      <w:marLeft w:val="0"/>
      <w:marRight w:val="0"/>
      <w:marTop w:val="0"/>
      <w:marBottom w:val="0"/>
      <w:divBdr>
        <w:top w:val="none" w:sz="0" w:space="0" w:color="auto"/>
        <w:left w:val="none" w:sz="0" w:space="0" w:color="auto"/>
        <w:bottom w:val="none" w:sz="0" w:space="0" w:color="auto"/>
        <w:right w:val="none" w:sz="0" w:space="0" w:color="auto"/>
      </w:divBdr>
    </w:div>
    <w:div w:id="727146566">
      <w:bodyDiv w:val="1"/>
      <w:marLeft w:val="0"/>
      <w:marRight w:val="0"/>
      <w:marTop w:val="0"/>
      <w:marBottom w:val="0"/>
      <w:divBdr>
        <w:top w:val="none" w:sz="0" w:space="0" w:color="auto"/>
        <w:left w:val="none" w:sz="0" w:space="0" w:color="auto"/>
        <w:bottom w:val="none" w:sz="0" w:space="0" w:color="auto"/>
        <w:right w:val="none" w:sz="0" w:space="0" w:color="auto"/>
      </w:divBdr>
    </w:div>
    <w:div w:id="727343157">
      <w:bodyDiv w:val="1"/>
      <w:marLeft w:val="0"/>
      <w:marRight w:val="0"/>
      <w:marTop w:val="0"/>
      <w:marBottom w:val="0"/>
      <w:divBdr>
        <w:top w:val="none" w:sz="0" w:space="0" w:color="auto"/>
        <w:left w:val="none" w:sz="0" w:space="0" w:color="auto"/>
        <w:bottom w:val="none" w:sz="0" w:space="0" w:color="auto"/>
        <w:right w:val="none" w:sz="0" w:space="0" w:color="auto"/>
      </w:divBdr>
    </w:div>
    <w:div w:id="729234622">
      <w:bodyDiv w:val="1"/>
      <w:marLeft w:val="0"/>
      <w:marRight w:val="0"/>
      <w:marTop w:val="0"/>
      <w:marBottom w:val="0"/>
      <w:divBdr>
        <w:top w:val="none" w:sz="0" w:space="0" w:color="auto"/>
        <w:left w:val="none" w:sz="0" w:space="0" w:color="auto"/>
        <w:bottom w:val="none" w:sz="0" w:space="0" w:color="auto"/>
        <w:right w:val="none" w:sz="0" w:space="0" w:color="auto"/>
      </w:divBdr>
    </w:div>
    <w:div w:id="731002916">
      <w:bodyDiv w:val="1"/>
      <w:marLeft w:val="0"/>
      <w:marRight w:val="0"/>
      <w:marTop w:val="0"/>
      <w:marBottom w:val="0"/>
      <w:divBdr>
        <w:top w:val="none" w:sz="0" w:space="0" w:color="auto"/>
        <w:left w:val="none" w:sz="0" w:space="0" w:color="auto"/>
        <w:bottom w:val="none" w:sz="0" w:space="0" w:color="auto"/>
        <w:right w:val="none" w:sz="0" w:space="0" w:color="auto"/>
      </w:divBdr>
    </w:div>
    <w:div w:id="732044570">
      <w:bodyDiv w:val="1"/>
      <w:marLeft w:val="0"/>
      <w:marRight w:val="0"/>
      <w:marTop w:val="0"/>
      <w:marBottom w:val="0"/>
      <w:divBdr>
        <w:top w:val="none" w:sz="0" w:space="0" w:color="auto"/>
        <w:left w:val="none" w:sz="0" w:space="0" w:color="auto"/>
        <w:bottom w:val="none" w:sz="0" w:space="0" w:color="auto"/>
        <w:right w:val="none" w:sz="0" w:space="0" w:color="auto"/>
      </w:divBdr>
    </w:div>
    <w:div w:id="732697009">
      <w:bodyDiv w:val="1"/>
      <w:marLeft w:val="0"/>
      <w:marRight w:val="0"/>
      <w:marTop w:val="0"/>
      <w:marBottom w:val="0"/>
      <w:divBdr>
        <w:top w:val="none" w:sz="0" w:space="0" w:color="auto"/>
        <w:left w:val="none" w:sz="0" w:space="0" w:color="auto"/>
        <w:bottom w:val="none" w:sz="0" w:space="0" w:color="auto"/>
        <w:right w:val="none" w:sz="0" w:space="0" w:color="auto"/>
      </w:divBdr>
    </w:div>
    <w:div w:id="732897455">
      <w:bodyDiv w:val="1"/>
      <w:marLeft w:val="0"/>
      <w:marRight w:val="0"/>
      <w:marTop w:val="0"/>
      <w:marBottom w:val="0"/>
      <w:divBdr>
        <w:top w:val="none" w:sz="0" w:space="0" w:color="auto"/>
        <w:left w:val="none" w:sz="0" w:space="0" w:color="auto"/>
        <w:bottom w:val="none" w:sz="0" w:space="0" w:color="auto"/>
        <w:right w:val="none" w:sz="0" w:space="0" w:color="auto"/>
      </w:divBdr>
    </w:div>
    <w:div w:id="733744030">
      <w:bodyDiv w:val="1"/>
      <w:marLeft w:val="0"/>
      <w:marRight w:val="0"/>
      <w:marTop w:val="0"/>
      <w:marBottom w:val="0"/>
      <w:divBdr>
        <w:top w:val="none" w:sz="0" w:space="0" w:color="auto"/>
        <w:left w:val="none" w:sz="0" w:space="0" w:color="auto"/>
        <w:bottom w:val="none" w:sz="0" w:space="0" w:color="auto"/>
        <w:right w:val="none" w:sz="0" w:space="0" w:color="auto"/>
      </w:divBdr>
    </w:div>
    <w:div w:id="735932129">
      <w:bodyDiv w:val="1"/>
      <w:marLeft w:val="0"/>
      <w:marRight w:val="0"/>
      <w:marTop w:val="0"/>
      <w:marBottom w:val="0"/>
      <w:divBdr>
        <w:top w:val="none" w:sz="0" w:space="0" w:color="auto"/>
        <w:left w:val="none" w:sz="0" w:space="0" w:color="auto"/>
        <w:bottom w:val="none" w:sz="0" w:space="0" w:color="auto"/>
        <w:right w:val="none" w:sz="0" w:space="0" w:color="auto"/>
      </w:divBdr>
    </w:div>
    <w:div w:id="736823015">
      <w:bodyDiv w:val="1"/>
      <w:marLeft w:val="0"/>
      <w:marRight w:val="0"/>
      <w:marTop w:val="0"/>
      <w:marBottom w:val="0"/>
      <w:divBdr>
        <w:top w:val="none" w:sz="0" w:space="0" w:color="auto"/>
        <w:left w:val="none" w:sz="0" w:space="0" w:color="auto"/>
        <w:bottom w:val="none" w:sz="0" w:space="0" w:color="auto"/>
        <w:right w:val="none" w:sz="0" w:space="0" w:color="auto"/>
      </w:divBdr>
    </w:div>
    <w:div w:id="739014828">
      <w:bodyDiv w:val="1"/>
      <w:marLeft w:val="0"/>
      <w:marRight w:val="0"/>
      <w:marTop w:val="0"/>
      <w:marBottom w:val="0"/>
      <w:divBdr>
        <w:top w:val="none" w:sz="0" w:space="0" w:color="auto"/>
        <w:left w:val="none" w:sz="0" w:space="0" w:color="auto"/>
        <w:bottom w:val="none" w:sz="0" w:space="0" w:color="auto"/>
        <w:right w:val="none" w:sz="0" w:space="0" w:color="auto"/>
      </w:divBdr>
    </w:div>
    <w:div w:id="739710840">
      <w:bodyDiv w:val="1"/>
      <w:marLeft w:val="0"/>
      <w:marRight w:val="0"/>
      <w:marTop w:val="0"/>
      <w:marBottom w:val="0"/>
      <w:divBdr>
        <w:top w:val="none" w:sz="0" w:space="0" w:color="auto"/>
        <w:left w:val="none" w:sz="0" w:space="0" w:color="auto"/>
        <w:bottom w:val="none" w:sz="0" w:space="0" w:color="auto"/>
        <w:right w:val="none" w:sz="0" w:space="0" w:color="auto"/>
      </w:divBdr>
    </w:div>
    <w:div w:id="740099841">
      <w:bodyDiv w:val="1"/>
      <w:marLeft w:val="0"/>
      <w:marRight w:val="0"/>
      <w:marTop w:val="0"/>
      <w:marBottom w:val="0"/>
      <w:divBdr>
        <w:top w:val="none" w:sz="0" w:space="0" w:color="auto"/>
        <w:left w:val="none" w:sz="0" w:space="0" w:color="auto"/>
        <w:bottom w:val="none" w:sz="0" w:space="0" w:color="auto"/>
        <w:right w:val="none" w:sz="0" w:space="0" w:color="auto"/>
      </w:divBdr>
    </w:div>
    <w:div w:id="744226915">
      <w:bodyDiv w:val="1"/>
      <w:marLeft w:val="0"/>
      <w:marRight w:val="0"/>
      <w:marTop w:val="0"/>
      <w:marBottom w:val="0"/>
      <w:divBdr>
        <w:top w:val="none" w:sz="0" w:space="0" w:color="auto"/>
        <w:left w:val="none" w:sz="0" w:space="0" w:color="auto"/>
        <w:bottom w:val="none" w:sz="0" w:space="0" w:color="auto"/>
        <w:right w:val="none" w:sz="0" w:space="0" w:color="auto"/>
      </w:divBdr>
    </w:div>
    <w:div w:id="752899666">
      <w:bodyDiv w:val="1"/>
      <w:marLeft w:val="0"/>
      <w:marRight w:val="0"/>
      <w:marTop w:val="0"/>
      <w:marBottom w:val="0"/>
      <w:divBdr>
        <w:top w:val="none" w:sz="0" w:space="0" w:color="auto"/>
        <w:left w:val="none" w:sz="0" w:space="0" w:color="auto"/>
        <w:bottom w:val="none" w:sz="0" w:space="0" w:color="auto"/>
        <w:right w:val="none" w:sz="0" w:space="0" w:color="auto"/>
      </w:divBdr>
    </w:div>
    <w:div w:id="754479116">
      <w:bodyDiv w:val="1"/>
      <w:marLeft w:val="0"/>
      <w:marRight w:val="0"/>
      <w:marTop w:val="0"/>
      <w:marBottom w:val="0"/>
      <w:divBdr>
        <w:top w:val="none" w:sz="0" w:space="0" w:color="auto"/>
        <w:left w:val="none" w:sz="0" w:space="0" w:color="auto"/>
        <w:bottom w:val="none" w:sz="0" w:space="0" w:color="auto"/>
        <w:right w:val="none" w:sz="0" w:space="0" w:color="auto"/>
      </w:divBdr>
    </w:div>
    <w:div w:id="754939142">
      <w:bodyDiv w:val="1"/>
      <w:marLeft w:val="0"/>
      <w:marRight w:val="0"/>
      <w:marTop w:val="0"/>
      <w:marBottom w:val="0"/>
      <w:divBdr>
        <w:top w:val="none" w:sz="0" w:space="0" w:color="auto"/>
        <w:left w:val="none" w:sz="0" w:space="0" w:color="auto"/>
        <w:bottom w:val="none" w:sz="0" w:space="0" w:color="auto"/>
        <w:right w:val="none" w:sz="0" w:space="0" w:color="auto"/>
      </w:divBdr>
    </w:div>
    <w:div w:id="756285965">
      <w:bodyDiv w:val="1"/>
      <w:marLeft w:val="0"/>
      <w:marRight w:val="0"/>
      <w:marTop w:val="0"/>
      <w:marBottom w:val="0"/>
      <w:divBdr>
        <w:top w:val="none" w:sz="0" w:space="0" w:color="auto"/>
        <w:left w:val="none" w:sz="0" w:space="0" w:color="auto"/>
        <w:bottom w:val="none" w:sz="0" w:space="0" w:color="auto"/>
        <w:right w:val="none" w:sz="0" w:space="0" w:color="auto"/>
      </w:divBdr>
    </w:div>
    <w:div w:id="762799938">
      <w:bodyDiv w:val="1"/>
      <w:marLeft w:val="0"/>
      <w:marRight w:val="0"/>
      <w:marTop w:val="0"/>
      <w:marBottom w:val="0"/>
      <w:divBdr>
        <w:top w:val="none" w:sz="0" w:space="0" w:color="auto"/>
        <w:left w:val="none" w:sz="0" w:space="0" w:color="auto"/>
        <w:bottom w:val="none" w:sz="0" w:space="0" w:color="auto"/>
        <w:right w:val="none" w:sz="0" w:space="0" w:color="auto"/>
      </w:divBdr>
    </w:div>
    <w:div w:id="763575682">
      <w:bodyDiv w:val="1"/>
      <w:marLeft w:val="0"/>
      <w:marRight w:val="0"/>
      <w:marTop w:val="0"/>
      <w:marBottom w:val="0"/>
      <w:divBdr>
        <w:top w:val="none" w:sz="0" w:space="0" w:color="auto"/>
        <w:left w:val="none" w:sz="0" w:space="0" w:color="auto"/>
        <w:bottom w:val="none" w:sz="0" w:space="0" w:color="auto"/>
        <w:right w:val="none" w:sz="0" w:space="0" w:color="auto"/>
      </w:divBdr>
    </w:div>
    <w:div w:id="765466382">
      <w:bodyDiv w:val="1"/>
      <w:marLeft w:val="0"/>
      <w:marRight w:val="0"/>
      <w:marTop w:val="0"/>
      <w:marBottom w:val="0"/>
      <w:divBdr>
        <w:top w:val="none" w:sz="0" w:space="0" w:color="auto"/>
        <w:left w:val="none" w:sz="0" w:space="0" w:color="auto"/>
        <w:bottom w:val="none" w:sz="0" w:space="0" w:color="auto"/>
        <w:right w:val="none" w:sz="0" w:space="0" w:color="auto"/>
      </w:divBdr>
    </w:div>
    <w:div w:id="765735018">
      <w:bodyDiv w:val="1"/>
      <w:marLeft w:val="0"/>
      <w:marRight w:val="0"/>
      <w:marTop w:val="0"/>
      <w:marBottom w:val="0"/>
      <w:divBdr>
        <w:top w:val="none" w:sz="0" w:space="0" w:color="auto"/>
        <w:left w:val="none" w:sz="0" w:space="0" w:color="auto"/>
        <w:bottom w:val="none" w:sz="0" w:space="0" w:color="auto"/>
        <w:right w:val="none" w:sz="0" w:space="0" w:color="auto"/>
      </w:divBdr>
    </w:div>
    <w:div w:id="766002470">
      <w:bodyDiv w:val="1"/>
      <w:marLeft w:val="0"/>
      <w:marRight w:val="0"/>
      <w:marTop w:val="0"/>
      <w:marBottom w:val="0"/>
      <w:divBdr>
        <w:top w:val="none" w:sz="0" w:space="0" w:color="auto"/>
        <w:left w:val="none" w:sz="0" w:space="0" w:color="auto"/>
        <w:bottom w:val="none" w:sz="0" w:space="0" w:color="auto"/>
        <w:right w:val="none" w:sz="0" w:space="0" w:color="auto"/>
      </w:divBdr>
    </w:div>
    <w:div w:id="766386350">
      <w:bodyDiv w:val="1"/>
      <w:marLeft w:val="0"/>
      <w:marRight w:val="0"/>
      <w:marTop w:val="0"/>
      <w:marBottom w:val="0"/>
      <w:divBdr>
        <w:top w:val="none" w:sz="0" w:space="0" w:color="auto"/>
        <w:left w:val="none" w:sz="0" w:space="0" w:color="auto"/>
        <w:bottom w:val="none" w:sz="0" w:space="0" w:color="auto"/>
        <w:right w:val="none" w:sz="0" w:space="0" w:color="auto"/>
      </w:divBdr>
    </w:div>
    <w:div w:id="767386467">
      <w:bodyDiv w:val="1"/>
      <w:marLeft w:val="0"/>
      <w:marRight w:val="0"/>
      <w:marTop w:val="0"/>
      <w:marBottom w:val="0"/>
      <w:divBdr>
        <w:top w:val="none" w:sz="0" w:space="0" w:color="auto"/>
        <w:left w:val="none" w:sz="0" w:space="0" w:color="auto"/>
        <w:bottom w:val="none" w:sz="0" w:space="0" w:color="auto"/>
        <w:right w:val="none" w:sz="0" w:space="0" w:color="auto"/>
      </w:divBdr>
    </w:div>
    <w:div w:id="768934059">
      <w:bodyDiv w:val="1"/>
      <w:marLeft w:val="0"/>
      <w:marRight w:val="0"/>
      <w:marTop w:val="0"/>
      <w:marBottom w:val="0"/>
      <w:divBdr>
        <w:top w:val="none" w:sz="0" w:space="0" w:color="auto"/>
        <w:left w:val="none" w:sz="0" w:space="0" w:color="auto"/>
        <w:bottom w:val="none" w:sz="0" w:space="0" w:color="auto"/>
        <w:right w:val="none" w:sz="0" w:space="0" w:color="auto"/>
      </w:divBdr>
    </w:div>
    <w:div w:id="774327515">
      <w:bodyDiv w:val="1"/>
      <w:marLeft w:val="0"/>
      <w:marRight w:val="0"/>
      <w:marTop w:val="0"/>
      <w:marBottom w:val="0"/>
      <w:divBdr>
        <w:top w:val="none" w:sz="0" w:space="0" w:color="auto"/>
        <w:left w:val="none" w:sz="0" w:space="0" w:color="auto"/>
        <w:bottom w:val="none" w:sz="0" w:space="0" w:color="auto"/>
        <w:right w:val="none" w:sz="0" w:space="0" w:color="auto"/>
      </w:divBdr>
    </w:div>
    <w:div w:id="775372137">
      <w:bodyDiv w:val="1"/>
      <w:marLeft w:val="0"/>
      <w:marRight w:val="0"/>
      <w:marTop w:val="0"/>
      <w:marBottom w:val="0"/>
      <w:divBdr>
        <w:top w:val="none" w:sz="0" w:space="0" w:color="auto"/>
        <w:left w:val="none" w:sz="0" w:space="0" w:color="auto"/>
        <w:bottom w:val="none" w:sz="0" w:space="0" w:color="auto"/>
        <w:right w:val="none" w:sz="0" w:space="0" w:color="auto"/>
      </w:divBdr>
    </w:div>
    <w:div w:id="776019336">
      <w:bodyDiv w:val="1"/>
      <w:marLeft w:val="0"/>
      <w:marRight w:val="0"/>
      <w:marTop w:val="0"/>
      <w:marBottom w:val="0"/>
      <w:divBdr>
        <w:top w:val="none" w:sz="0" w:space="0" w:color="auto"/>
        <w:left w:val="none" w:sz="0" w:space="0" w:color="auto"/>
        <w:bottom w:val="none" w:sz="0" w:space="0" w:color="auto"/>
        <w:right w:val="none" w:sz="0" w:space="0" w:color="auto"/>
      </w:divBdr>
    </w:div>
    <w:div w:id="776558056">
      <w:bodyDiv w:val="1"/>
      <w:marLeft w:val="0"/>
      <w:marRight w:val="0"/>
      <w:marTop w:val="0"/>
      <w:marBottom w:val="0"/>
      <w:divBdr>
        <w:top w:val="none" w:sz="0" w:space="0" w:color="auto"/>
        <w:left w:val="none" w:sz="0" w:space="0" w:color="auto"/>
        <w:bottom w:val="none" w:sz="0" w:space="0" w:color="auto"/>
        <w:right w:val="none" w:sz="0" w:space="0" w:color="auto"/>
      </w:divBdr>
    </w:div>
    <w:div w:id="778258245">
      <w:bodyDiv w:val="1"/>
      <w:marLeft w:val="0"/>
      <w:marRight w:val="0"/>
      <w:marTop w:val="0"/>
      <w:marBottom w:val="0"/>
      <w:divBdr>
        <w:top w:val="none" w:sz="0" w:space="0" w:color="auto"/>
        <w:left w:val="none" w:sz="0" w:space="0" w:color="auto"/>
        <w:bottom w:val="none" w:sz="0" w:space="0" w:color="auto"/>
        <w:right w:val="none" w:sz="0" w:space="0" w:color="auto"/>
      </w:divBdr>
    </w:div>
    <w:div w:id="779639640">
      <w:bodyDiv w:val="1"/>
      <w:marLeft w:val="0"/>
      <w:marRight w:val="0"/>
      <w:marTop w:val="0"/>
      <w:marBottom w:val="0"/>
      <w:divBdr>
        <w:top w:val="none" w:sz="0" w:space="0" w:color="auto"/>
        <w:left w:val="none" w:sz="0" w:space="0" w:color="auto"/>
        <w:bottom w:val="none" w:sz="0" w:space="0" w:color="auto"/>
        <w:right w:val="none" w:sz="0" w:space="0" w:color="auto"/>
      </w:divBdr>
    </w:div>
    <w:div w:id="779641816">
      <w:bodyDiv w:val="1"/>
      <w:marLeft w:val="0"/>
      <w:marRight w:val="0"/>
      <w:marTop w:val="0"/>
      <w:marBottom w:val="0"/>
      <w:divBdr>
        <w:top w:val="none" w:sz="0" w:space="0" w:color="auto"/>
        <w:left w:val="none" w:sz="0" w:space="0" w:color="auto"/>
        <w:bottom w:val="none" w:sz="0" w:space="0" w:color="auto"/>
        <w:right w:val="none" w:sz="0" w:space="0" w:color="auto"/>
      </w:divBdr>
    </w:div>
    <w:div w:id="781455112">
      <w:bodyDiv w:val="1"/>
      <w:marLeft w:val="0"/>
      <w:marRight w:val="0"/>
      <w:marTop w:val="0"/>
      <w:marBottom w:val="0"/>
      <w:divBdr>
        <w:top w:val="none" w:sz="0" w:space="0" w:color="auto"/>
        <w:left w:val="none" w:sz="0" w:space="0" w:color="auto"/>
        <w:bottom w:val="none" w:sz="0" w:space="0" w:color="auto"/>
        <w:right w:val="none" w:sz="0" w:space="0" w:color="auto"/>
      </w:divBdr>
    </w:div>
    <w:div w:id="782112581">
      <w:bodyDiv w:val="1"/>
      <w:marLeft w:val="0"/>
      <w:marRight w:val="0"/>
      <w:marTop w:val="0"/>
      <w:marBottom w:val="0"/>
      <w:divBdr>
        <w:top w:val="none" w:sz="0" w:space="0" w:color="auto"/>
        <w:left w:val="none" w:sz="0" w:space="0" w:color="auto"/>
        <w:bottom w:val="none" w:sz="0" w:space="0" w:color="auto"/>
        <w:right w:val="none" w:sz="0" w:space="0" w:color="auto"/>
      </w:divBdr>
    </w:div>
    <w:div w:id="782186770">
      <w:bodyDiv w:val="1"/>
      <w:marLeft w:val="0"/>
      <w:marRight w:val="0"/>
      <w:marTop w:val="0"/>
      <w:marBottom w:val="0"/>
      <w:divBdr>
        <w:top w:val="none" w:sz="0" w:space="0" w:color="auto"/>
        <w:left w:val="none" w:sz="0" w:space="0" w:color="auto"/>
        <w:bottom w:val="none" w:sz="0" w:space="0" w:color="auto"/>
        <w:right w:val="none" w:sz="0" w:space="0" w:color="auto"/>
      </w:divBdr>
    </w:div>
    <w:div w:id="784885521">
      <w:bodyDiv w:val="1"/>
      <w:marLeft w:val="0"/>
      <w:marRight w:val="0"/>
      <w:marTop w:val="0"/>
      <w:marBottom w:val="0"/>
      <w:divBdr>
        <w:top w:val="none" w:sz="0" w:space="0" w:color="auto"/>
        <w:left w:val="none" w:sz="0" w:space="0" w:color="auto"/>
        <w:bottom w:val="none" w:sz="0" w:space="0" w:color="auto"/>
        <w:right w:val="none" w:sz="0" w:space="0" w:color="auto"/>
      </w:divBdr>
    </w:div>
    <w:div w:id="784929937">
      <w:bodyDiv w:val="1"/>
      <w:marLeft w:val="0"/>
      <w:marRight w:val="0"/>
      <w:marTop w:val="0"/>
      <w:marBottom w:val="0"/>
      <w:divBdr>
        <w:top w:val="none" w:sz="0" w:space="0" w:color="auto"/>
        <w:left w:val="none" w:sz="0" w:space="0" w:color="auto"/>
        <w:bottom w:val="none" w:sz="0" w:space="0" w:color="auto"/>
        <w:right w:val="none" w:sz="0" w:space="0" w:color="auto"/>
      </w:divBdr>
    </w:div>
    <w:div w:id="785540648">
      <w:bodyDiv w:val="1"/>
      <w:marLeft w:val="0"/>
      <w:marRight w:val="0"/>
      <w:marTop w:val="0"/>
      <w:marBottom w:val="0"/>
      <w:divBdr>
        <w:top w:val="none" w:sz="0" w:space="0" w:color="auto"/>
        <w:left w:val="none" w:sz="0" w:space="0" w:color="auto"/>
        <w:bottom w:val="none" w:sz="0" w:space="0" w:color="auto"/>
        <w:right w:val="none" w:sz="0" w:space="0" w:color="auto"/>
      </w:divBdr>
    </w:div>
    <w:div w:id="787701311">
      <w:bodyDiv w:val="1"/>
      <w:marLeft w:val="0"/>
      <w:marRight w:val="0"/>
      <w:marTop w:val="0"/>
      <w:marBottom w:val="0"/>
      <w:divBdr>
        <w:top w:val="none" w:sz="0" w:space="0" w:color="auto"/>
        <w:left w:val="none" w:sz="0" w:space="0" w:color="auto"/>
        <w:bottom w:val="none" w:sz="0" w:space="0" w:color="auto"/>
        <w:right w:val="none" w:sz="0" w:space="0" w:color="auto"/>
      </w:divBdr>
    </w:div>
    <w:div w:id="792485326">
      <w:bodyDiv w:val="1"/>
      <w:marLeft w:val="0"/>
      <w:marRight w:val="0"/>
      <w:marTop w:val="0"/>
      <w:marBottom w:val="0"/>
      <w:divBdr>
        <w:top w:val="none" w:sz="0" w:space="0" w:color="auto"/>
        <w:left w:val="none" w:sz="0" w:space="0" w:color="auto"/>
        <w:bottom w:val="none" w:sz="0" w:space="0" w:color="auto"/>
        <w:right w:val="none" w:sz="0" w:space="0" w:color="auto"/>
      </w:divBdr>
    </w:div>
    <w:div w:id="793255095">
      <w:bodyDiv w:val="1"/>
      <w:marLeft w:val="0"/>
      <w:marRight w:val="0"/>
      <w:marTop w:val="0"/>
      <w:marBottom w:val="0"/>
      <w:divBdr>
        <w:top w:val="none" w:sz="0" w:space="0" w:color="auto"/>
        <w:left w:val="none" w:sz="0" w:space="0" w:color="auto"/>
        <w:bottom w:val="none" w:sz="0" w:space="0" w:color="auto"/>
        <w:right w:val="none" w:sz="0" w:space="0" w:color="auto"/>
      </w:divBdr>
    </w:div>
    <w:div w:id="793476329">
      <w:bodyDiv w:val="1"/>
      <w:marLeft w:val="0"/>
      <w:marRight w:val="0"/>
      <w:marTop w:val="0"/>
      <w:marBottom w:val="0"/>
      <w:divBdr>
        <w:top w:val="none" w:sz="0" w:space="0" w:color="auto"/>
        <w:left w:val="none" w:sz="0" w:space="0" w:color="auto"/>
        <w:bottom w:val="none" w:sz="0" w:space="0" w:color="auto"/>
        <w:right w:val="none" w:sz="0" w:space="0" w:color="auto"/>
      </w:divBdr>
    </w:div>
    <w:div w:id="793838877">
      <w:bodyDiv w:val="1"/>
      <w:marLeft w:val="0"/>
      <w:marRight w:val="0"/>
      <w:marTop w:val="0"/>
      <w:marBottom w:val="0"/>
      <w:divBdr>
        <w:top w:val="none" w:sz="0" w:space="0" w:color="auto"/>
        <w:left w:val="none" w:sz="0" w:space="0" w:color="auto"/>
        <w:bottom w:val="none" w:sz="0" w:space="0" w:color="auto"/>
        <w:right w:val="none" w:sz="0" w:space="0" w:color="auto"/>
      </w:divBdr>
    </w:div>
    <w:div w:id="794252418">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799610299">
      <w:bodyDiv w:val="1"/>
      <w:marLeft w:val="0"/>
      <w:marRight w:val="0"/>
      <w:marTop w:val="0"/>
      <w:marBottom w:val="0"/>
      <w:divBdr>
        <w:top w:val="none" w:sz="0" w:space="0" w:color="auto"/>
        <w:left w:val="none" w:sz="0" w:space="0" w:color="auto"/>
        <w:bottom w:val="none" w:sz="0" w:space="0" w:color="auto"/>
        <w:right w:val="none" w:sz="0" w:space="0" w:color="auto"/>
      </w:divBdr>
    </w:div>
    <w:div w:id="801458561">
      <w:bodyDiv w:val="1"/>
      <w:marLeft w:val="0"/>
      <w:marRight w:val="0"/>
      <w:marTop w:val="0"/>
      <w:marBottom w:val="0"/>
      <w:divBdr>
        <w:top w:val="none" w:sz="0" w:space="0" w:color="auto"/>
        <w:left w:val="none" w:sz="0" w:space="0" w:color="auto"/>
        <w:bottom w:val="none" w:sz="0" w:space="0" w:color="auto"/>
        <w:right w:val="none" w:sz="0" w:space="0" w:color="auto"/>
      </w:divBdr>
    </w:div>
    <w:div w:id="801923051">
      <w:bodyDiv w:val="1"/>
      <w:marLeft w:val="0"/>
      <w:marRight w:val="0"/>
      <w:marTop w:val="0"/>
      <w:marBottom w:val="0"/>
      <w:divBdr>
        <w:top w:val="none" w:sz="0" w:space="0" w:color="auto"/>
        <w:left w:val="none" w:sz="0" w:space="0" w:color="auto"/>
        <w:bottom w:val="none" w:sz="0" w:space="0" w:color="auto"/>
        <w:right w:val="none" w:sz="0" w:space="0" w:color="auto"/>
      </w:divBdr>
    </w:div>
    <w:div w:id="802308344">
      <w:bodyDiv w:val="1"/>
      <w:marLeft w:val="0"/>
      <w:marRight w:val="0"/>
      <w:marTop w:val="0"/>
      <w:marBottom w:val="0"/>
      <w:divBdr>
        <w:top w:val="none" w:sz="0" w:space="0" w:color="auto"/>
        <w:left w:val="none" w:sz="0" w:space="0" w:color="auto"/>
        <w:bottom w:val="none" w:sz="0" w:space="0" w:color="auto"/>
        <w:right w:val="none" w:sz="0" w:space="0" w:color="auto"/>
      </w:divBdr>
    </w:div>
    <w:div w:id="802574128">
      <w:bodyDiv w:val="1"/>
      <w:marLeft w:val="0"/>
      <w:marRight w:val="0"/>
      <w:marTop w:val="0"/>
      <w:marBottom w:val="0"/>
      <w:divBdr>
        <w:top w:val="none" w:sz="0" w:space="0" w:color="auto"/>
        <w:left w:val="none" w:sz="0" w:space="0" w:color="auto"/>
        <w:bottom w:val="none" w:sz="0" w:space="0" w:color="auto"/>
        <w:right w:val="none" w:sz="0" w:space="0" w:color="auto"/>
      </w:divBdr>
    </w:div>
    <w:div w:id="802963363">
      <w:bodyDiv w:val="1"/>
      <w:marLeft w:val="0"/>
      <w:marRight w:val="0"/>
      <w:marTop w:val="0"/>
      <w:marBottom w:val="0"/>
      <w:divBdr>
        <w:top w:val="none" w:sz="0" w:space="0" w:color="auto"/>
        <w:left w:val="none" w:sz="0" w:space="0" w:color="auto"/>
        <w:bottom w:val="none" w:sz="0" w:space="0" w:color="auto"/>
        <w:right w:val="none" w:sz="0" w:space="0" w:color="auto"/>
      </w:divBdr>
    </w:div>
    <w:div w:id="803159164">
      <w:bodyDiv w:val="1"/>
      <w:marLeft w:val="0"/>
      <w:marRight w:val="0"/>
      <w:marTop w:val="0"/>
      <w:marBottom w:val="0"/>
      <w:divBdr>
        <w:top w:val="none" w:sz="0" w:space="0" w:color="auto"/>
        <w:left w:val="none" w:sz="0" w:space="0" w:color="auto"/>
        <w:bottom w:val="none" w:sz="0" w:space="0" w:color="auto"/>
        <w:right w:val="none" w:sz="0" w:space="0" w:color="auto"/>
      </w:divBdr>
    </w:div>
    <w:div w:id="803812717">
      <w:bodyDiv w:val="1"/>
      <w:marLeft w:val="0"/>
      <w:marRight w:val="0"/>
      <w:marTop w:val="0"/>
      <w:marBottom w:val="0"/>
      <w:divBdr>
        <w:top w:val="none" w:sz="0" w:space="0" w:color="auto"/>
        <w:left w:val="none" w:sz="0" w:space="0" w:color="auto"/>
        <w:bottom w:val="none" w:sz="0" w:space="0" w:color="auto"/>
        <w:right w:val="none" w:sz="0" w:space="0" w:color="auto"/>
      </w:divBdr>
    </w:div>
    <w:div w:id="805971538">
      <w:bodyDiv w:val="1"/>
      <w:marLeft w:val="0"/>
      <w:marRight w:val="0"/>
      <w:marTop w:val="0"/>
      <w:marBottom w:val="0"/>
      <w:divBdr>
        <w:top w:val="none" w:sz="0" w:space="0" w:color="auto"/>
        <w:left w:val="none" w:sz="0" w:space="0" w:color="auto"/>
        <w:bottom w:val="none" w:sz="0" w:space="0" w:color="auto"/>
        <w:right w:val="none" w:sz="0" w:space="0" w:color="auto"/>
      </w:divBdr>
    </w:div>
    <w:div w:id="808013649">
      <w:bodyDiv w:val="1"/>
      <w:marLeft w:val="0"/>
      <w:marRight w:val="0"/>
      <w:marTop w:val="0"/>
      <w:marBottom w:val="0"/>
      <w:divBdr>
        <w:top w:val="none" w:sz="0" w:space="0" w:color="auto"/>
        <w:left w:val="none" w:sz="0" w:space="0" w:color="auto"/>
        <w:bottom w:val="none" w:sz="0" w:space="0" w:color="auto"/>
        <w:right w:val="none" w:sz="0" w:space="0" w:color="auto"/>
      </w:divBdr>
    </w:div>
    <w:div w:id="809320077">
      <w:bodyDiv w:val="1"/>
      <w:marLeft w:val="0"/>
      <w:marRight w:val="0"/>
      <w:marTop w:val="0"/>
      <w:marBottom w:val="0"/>
      <w:divBdr>
        <w:top w:val="none" w:sz="0" w:space="0" w:color="auto"/>
        <w:left w:val="none" w:sz="0" w:space="0" w:color="auto"/>
        <w:bottom w:val="none" w:sz="0" w:space="0" w:color="auto"/>
        <w:right w:val="none" w:sz="0" w:space="0" w:color="auto"/>
      </w:divBdr>
    </w:div>
    <w:div w:id="809398674">
      <w:bodyDiv w:val="1"/>
      <w:marLeft w:val="0"/>
      <w:marRight w:val="0"/>
      <w:marTop w:val="0"/>
      <w:marBottom w:val="0"/>
      <w:divBdr>
        <w:top w:val="none" w:sz="0" w:space="0" w:color="auto"/>
        <w:left w:val="none" w:sz="0" w:space="0" w:color="auto"/>
        <w:bottom w:val="none" w:sz="0" w:space="0" w:color="auto"/>
        <w:right w:val="none" w:sz="0" w:space="0" w:color="auto"/>
      </w:divBdr>
    </w:div>
    <w:div w:id="811293695">
      <w:bodyDiv w:val="1"/>
      <w:marLeft w:val="0"/>
      <w:marRight w:val="0"/>
      <w:marTop w:val="0"/>
      <w:marBottom w:val="0"/>
      <w:divBdr>
        <w:top w:val="none" w:sz="0" w:space="0" w:color="auto"/>
        <w:left w:val="none" w:sz="0" w:space="0" w:color="auto"/>
        <w:bottom w:val="none" w:sz="0" w:space="0" w:color="auto"/>
        <w:right w:val="none" w:sz="0" w:space="0" w:color="auto"/>
      </w:divBdr>
    </w:div>
    <w:div w:id="811559317">
      <w:bodyDiv w:val="1"/>
      <w:marLeft w:val="0"/>
      <w:marRight w:val="0"/>
      <w:marTop w:val="0"/>
      <w:marBottom w:val="0"/>
      <w:divBdr>
        <w:top w:val="none" w:sz="0" w:space="0" w:color="auto"/>
        <w:left w:val="none" w:sz="0" w:space="0" w:color="auto"/>
        <w:bottom w:val="none" w:sz="0" w:space="0" w:color="auto"/>
        <w:right w:val="none" w:sz="0" w:space="0" w:color="auto"/>
      </w:divBdr>
    </w:div>
    <w:div w:id="811941974">
      <w:bodyDiv w:val="1"/>
      <w:marLeft w:val="0"/>
      <w:marRight w:val="0"/>
      <w:marTop w:val="0"/>
      <w:marBottom w:val="0"/>
      <w:divBdr>
        <w:top w:val="none" w:sz="0" w:space="0" w:color="auto"/>
        <w:left w:val="none" w:sz="0" w:space="0" w:color="auto"/>
        <w:bottom w:val="none" w:sz="0" w:space="0" w:color="auto"/>
        <w:right w:val="none" w:sz="0" w:space="0" w:color="auto"/>
      </w:divBdr>
    </w:div>
    <w:div w:id="814033382">
      <w:bodyDiv w:val="1"/>
      <w:marLeft w:val="0"/>
      <w:marRight w:val="0"/>
      <w:marTop w:val="0"/>
      <w:marBottom w:val="0"/>
      <w:divBdr>
        <w:top w:val="none" w:sz="0" w:space="0" w:color="auto"/>
        <w:left w:val="none" w:sz="0" w:space="0" w:color="auto"/>
        <w:bottom w:val="none" w:sz="0" w:space="0" w:color="auto"/>
        <w:right w:val="none" w:sz="0" w:space="0" w:color="auto"/>
      </w:divBdr>
    </w:div>
    <w:div w:id="815147178">
      <w:bodyDiv w:val="1"/>
      <w:marLeft w:val="0"/>
      <w:marRight w:val="0"/>
      <w:marTop w:val="0"/>
      <w:marBottom w:val="0"/>
      <w:divBdr>
        <w:top w:val="none" w:sz="0" w:space="0" w:color="auto"/>
        <w:left w:val="none" w:sz="0" w:space="0" w:color="auto"/>
        <w:bottom w:val="none" w:sz="0" w:space="0" w:color="auto"/>
        <w:right w:val="none" w:sz="0" w:space="0" w:color="auto"/>
      </w:divBdr>
    </w:div>
    <w:div w:id="815950558">
      <w:bodyDiv w:val="1"/>
      <w:marLeft w:val="0"/>
      <w:marRight w:val="0"/>
      <w:marTop w:val="0"/>
      <w:marBottom w:val="0"/>
      <w:divBdr>
        <w:top w:val="none" w:sz="0" w:space="0" w:color="auto"/>
        <w:left w:val="none" w:sz="0" w:space="0" w:color="auto"/>
        <w:bottom w:val="none" w:sz="0" w:space="0" w:color="auto"/>
        <w:right w:val="none" w:sz="0" w:space="0" w:color="auto"/>
      </w:divBdr>
    </w:div>
    <w:div w:id="817376692">
      <w:bodyDiv w:val="1"/>
      <w:marLeft w:val="0"/>
      <w:marRight w:val="0"/>
      <w:marTop w:val="0"/>
      <w:marBottom w:val="0"/>
      <w:divBdr>
        <w:top w:val="none" w:sz="0" w:space="0" w:color="auto"/>
        <w:left w:val="none" w:sz="0" w:space="0" w:color="auto"/>
        <w:bottom w:val="none" w:sz="0" w:space="0" w:color="auto"/>
        <w:right w:val="none" w:sz="0" w:space="0" w:color="auto"/>
      </w:divBdr>
    </w:div>
    <w:div w:id="817578357">
      <w:bodyDiv w:val="1"/>
      <w:marLeft w:val="0"/>
      <w:marRight w:val="0"/>
      <w:marTop w:val="0"/>
      <w:marBottom w:val="0"/>
      <w:divBdr>
        <w:top w:val="none" w:sz="0" w:space="0" w:color="auto"/>
        <w:left w:val="none" w:sz="0" w:space="0" w:color="auto"/>
        <w:bottom w:val="none" w:sz="0" w:space="0" w:color="auto"/>
        <w:right w:val="none" w:sz="0" w:space="0" w:color="auto"/>
      </w:divBdr>
    </w:div>
    <w:div w:id="818033502">
      <w:bodyDiv w:val="1"/>
      <w:marLeft w:val="0"/>
      <w:marRight w:val="0"/>
      <w:marTop w:val="0"/>
      <w:marBottom w:val="0"/>
      <w:divBdr>
        <w:top w:val="none" w:sz="0" w:space="0" w:color="auto"/>
        <w:left w:val="none" w:sz="0" w:space="0" w:color="auto"/>
        <w:bottom w:val="none" w:sz="0" w:space="0" w:color="auto"/>
        <w:right w:val="none" w:sz="0" w:space="0" w:color="auto"/>
      </w:divBdr>
    </w:div>
    <w:div w:id="821434415">
      <w:bodyDiv w:val="1"/>
      <w:marLeft w:val="0"/>
      <w:marRight w:val="0"/>
      <w:marTop w:val="0"/>
      <w:marBottom w:val="0"/>
      <w:divBdr>
        <w:top w:val="none" w:sz="0" w:space="0" w:color="auto"/>
        <w:left w:val="none" w:sz="0" w:space="0" w:color="auto"/>
        <w:bottom w:val="none" w:sz="0" w:space="0" w:color="auto"/>
        <w:right w:val="none" w:sz="0" w:space="0" w:color="auto"/>
      </w:divBdr>
    </w:div>
    <w:div w:id="822161721">
      <w:bodyDiv w:val="1"/>
      <w:marLeft w:val="0"/>
      <w:marRight w:val="0"/>
      <w:marTop w:val="0"/>
      <w:marBottom w:val="0"/>
      <w:divBdr>
        <w:top w:val="none" w:sz="0" w:space="0" w:color="auto"/>
        <w:left w:val="none" w:sz="0" w:space="0" w:color="auto"/>
        <w:bottom w:val="none" w:sz="0" w:space="0" w:color="auto"/>
        <w:right w:val="none" w:sz="0" w:space="0" w:color="auto"/>
      </w:divBdr>
    </w:div>
    <w:div w:id="822694665">
      <w:bodyDiv w:val="1"/>
      <w:marLeft w:val="0"/>
      <w:marRight w:val="0"/>
      <w:marTop w:val="0"/>
      <w:marBottom w:val="0"/>
      <w:divBdr>
        <w:top w:val="none" w:sz="0" w:space="0" w:color="auto"/>
        <w:left w:val="none" w:sz="0" w:space="0" w:color="auto"/>
        <w:bottom w:val="none" w:sz="0" w:space="0" w:color="auto"/>
        <w:right w:val="none" w:sz="0" w:space="0" w:color="auto"/>
      </w:divBdr>
    </w:div>
    <w:div w:id="822890839">
      <w:bodyDiv w:val="1"/>
      <w:marLeft w:val="0"/>
      <w:marRight w:val="0"/>
      <w:marTop w:val="0"/>
      <w:marBottom w:val="0"/>
      <w:divBdr>
        <w:top w:val="none" w:sz="0" w:space="0" w:color="auto"/>
        <w:left w:val="none" w:sz="0" w:space="0" w:color="auto"/>
        <w:bottom w:val="none" w:sz="0" w:space="0" w:color="auto"/>
        <w:right w:val="none" w:sz="0" w:space="0" w:color="auto"/>
      </w:divBdr>
    </w:div>
    <w:div w:id="824391427">
      <w:bodyDiv w:val="1"/>
      <w:marLeft w:val="0"/>
      <w:marRight w:val="0"/>
      <w:marTop w:val="0"/>
      <w:marBottom w:val="0"/>
      <w:divBdr>
        <w:top w:val="none" w:sz="0" w:space="0" w:color="auto"/>
        <w:left w:val="none" w:sz="0" w:space="0" w:color="auto"/>
        <w:bottom w:val="none" w:sz="0" w:space="0" w:color="auto"/>
        <w:right w:val="none" w:sz="0" w:space="0" w:color="auto"/>
      </w:divBdr>
    </w:div>
    <w:div w:id="827207545">
      <w:bodyDiv w:val="1"/>
      <w:marLeft w:val="0"/>
      <w:marRight w:val="0"/>
      <w:marTop w:val="0"/>
      <w:marBottom w:val="0"/>
      <w:divBdr>
        <w:top w:val="none" w:sz="0" w:space="0" w:color="auto"/>
        <w:left w:val="none" w:sz="0" w:space="0" w:color="auto"/>
        <w:bottom w:val="none" w:sz="0" w:space="0" w:color="auto"/>
        <w:right w:val="none" w:sz="0" w:space="0" w:color="auto"/>
      </w:divBdr>
    </w:div>
    <w:div w:id="827553918">
      <w:bodyDiv w:val="1"/>
      <w:marLeft w:val="0"/>
      <w:marRight w:val="0"/>
      <w:marTop w:val="0"/>
      <w:marBottom w:val="0"/>
      <w:divBdr>
        <w:top w:val="none" w:sz="0" w:space="0" w:color="auto"/>
        <w:left w:val="none" w:sz="0" w:space="0" w:color="auto"/>
        <w:bottom w:val="none" w:sz="0" w:space="0" w:color="auto"/>
        <w:right w:val="none" w:sz="0" w:space="0" w:color="auto"/>
      </w:divBdr>
    </w:div>
    <w:div w:id="828987716">
      <w:bodyDiv w:val="1"/>
      <w:marLeft w:val="0"/>
      <w:marRight w:val="0"/>
      <w:marTop w:val="0"/>
      <w:marBottom w:val="0"/>
      <w:divBdr>
        <w:top w:val="none" w:sz="0" w:space="0" w:color="auto"/>
        <w:left w:val="none" w:sz="0" w:space="0" w:color="auto"/>
        <w:bottom w:val="none" w:sz="0" w:space="0" w:color="auto"/>
        <w:right w:val="none" w:sz="0" w:space="0" w:color="auto"/>
      </w:divBdr>
    </w:div>
    <w:div w:id="829448939">
      <w:bodyDiv w:val="1"/>
      <w:marLeft w:val="0"/>
      <w:marRight w:val="0"/>
      <w:marTop w:val="0"/>
      <w:marBottom w:val="0"/>
      <w:divBdr>
        <w:top w:val="none" w:sz="0" w:space="0" w:color="auto"/>
        <w:left w:val="none" w:sz="0" w:space="0" w:color="auto"/>
        <w:bottom w:val="none" w:sz="0" w:space="0" w:color="auto"/>
        <w:right w:val="none" w:sz="0" w:space="0" w:color="auto"/>
      </w:divBdr>
    </w:div>
    <w:div w:id="831217181">
      <w:bodyDiv w:val="1"/>
      <w:marLeft w:val="0"/>
      <w:marRight w:val="0"/>
      <w:marTop w:val="0"/>
      <w:marBottom w:val="0"/>
      <w:divBdr>
        <w:top w:val="none" w:sz="0" w:space="0" w:color="auto"/>
        <w:left w:val="none" w:sz="0" w:space="0" w:color="auto"/>
        <w:bottom w:val="none" w:sz="0" w:space="0" w:color="auto"/>
        <w:right w:val="none" w:sz="0" w:space="0" w:color="auto"/>
      </w:divBdr>
    </w:div>
    <w:div w:id="841050333">
      <w:bodyDiv w:val="1"/>
      <w:marLeft w:val="0"/>
      <w:marRight w:val="0"/>
      <w:marTop w:val="0"/>
      <w:marBottom w:val="0"/>
      <w:divBdr>
        <w:top w:val="none" w:sz="0" w:space="0" w:color="auto"/>
        <w:left w:val="none" w:sz="0" w:space="0" w:color="auto"/>
        <w:bottom w:val="none" w:sz="0" w:space="0" w:color="auto"/>
        <w:right w:val="none" w:sz="0" w:space="0" w:color="auto"/>
      </w:divBdr>
    </w:div>
    <w:div w:id="841163820">
      <w:bodyDiv w:val="1"/>
      <w:marLeft w:val="0"/>
      <w:marRight w:val="0"/>
      <w:marTop w:val="0"/>
      <w:marBottom w:val="0"/>
      <w:divBdr>
        <w:top w:val="none" w:sz="0" w:space="0" w:color="auto"/>
        <w:left w:val="none" w:sz="0" w:space="0" w:color="auto"/>
        <w:bottom w:val="none" w:sz="0" w:space="0" w:color="auto"/>
        <w:right w:val="none" w:sz="0" w:space="0" w:color="auto"/>
      </w:divBdr>
    </w:div>
    <w:div w:id="844321563">
      <w:bodyDiv w:val="1"/>
      <w:marLeft w:val="0"/>
      <w:marRight w:val="0"/>
      <w:marTop w:val="0"/>
      <w:marBottom w:val="0"/>
      <w:divBdr>
        <w:top w:val="none" w:sz="0" w:space="0" w:color="auto"/>
        <w:left w:val="none" w:sz="0" w:space="0" w:color="auto"/>
        <w:bottom w:val="none" w:sz="0" w:space="0" w:color="auto"/>
        <w:right w:val="none" w:sz="0" w:space="0" w:color="auto"/>
      </w:divBdr>
    </w:div>
    <w:div w:id="844826839">
      <w:bodyDiv w:val="1"/>
      <w:marLeft w:val="0"/>
      <w:marRight w:val="0"/>
      <w:marTop w:val="0"/>
      <w:marBottom w:val="0"/>
      <w:divBdr>
        <w:top w:val="none" w:sz="0" w:space="0" w:color="auto"/>
        <w:left w:val="none" w:sz="0" w:space="0" w:color="auto"/>
        <w:bottom w:val="none" w:sz="0" w:space="0" w:color="auto"/>
        <w:right w:val="none" w:sz="0" w:space="0" w:color="auto"/>
      </w:divBdr>
    </w:div>
    <w:div w:id="844901726">
      <w:bodyDiv w:val="1"/>
      <w:marLeft w:val="0"/>
      <w:marRight w:val="0"/>
      <w:marTop w:val="0"/>
      <w:marBottom w:val="0"/>
      <w:divBdr>
        <w:top w:val="none" w:sz="0" w:space="0" w:color="auto"/>
        <w:left w:val="none" w:sz="0" w:space="0" w:color="auto"/>
        <w:bottom w:val="none" w:sz="0" w:space="0" w:color="auto"/>
        <w:right w:val="none" w:sz="0" w:space="0" w:color="auto"/>
      </w:divBdr>
    </w:div>
    <w:div w:id="847719355">
      <w:bodyDiv w:val="1"/>
      <w:marLeft w:val="0"/>
      <w:marRight w:val="0"/>
      <w:marTop w:val="0"/>
      <w:marBottom w:val="0"/>
      <w:divBdr>
        <w:top w:val="none" w:sz="0" w:space="0" w:color="auto"/>
        <w:left w:val="none" w:sz="0" w:space="0" w:color="auto"/>
        <w:bottom w:val="none" w:sz="0" w:space="0" w:color="auto"/>
        <w:right w:val="none" w:sz="0" w:space="0" w:color="auto"/>
      </w:divBdr>
    </w:div>
    <w:div w:id="849609430">
      <w:bodyDiv w:val="1"/>
      <w:marLeft w:val="0"/>
      <w:marRight w:val="0"/>
      <w:marTop w:val="0"/>
      <w:marBottom w:val="0"/>
      <w:divBdr>
        <w:top w:val="none" w:sz="0" w:space="0" w:color="auto"/>
        <w:left w:val="none" w:sz="0" w:space="0" w:color="auto"/>
        <w:bottom w:val="none" w:sz="0" w:space="0" w:color="auto"/>
        <w:right w:val="none" w:sz="0" w:space="0" w:color="auto"/>
      </w:divBdr>
    </w:div>
    <w:div w:id="853418159">
      <w:bodyDiv w:val="1"/>
      <w:marLeft w:val="0"/>
      <w:marRight w:val="0"/>
      <w:marTop w:val="0"/>
      <w:marBottom w:val="0"/>
      <w:divBdr>
        <w:top w:val="none" w:sz="0" w:space="0" w:color="auto"/>
        <w:left w:val="none" w:sz="0" w:space="0" w:color="auto"/>
        <w:bottom w:val="none" w:sz="0" w:space="0" w:color="auto"/>
        <w:right w:val="none" w:sz="0" w:space="0" w:color="auto"/>
      </w:divBdr>
    </w:div>
    <w:div w:id="855268798">
      <w:bodyDiv w:val="1"/>
      <w:marLeft w:val="0"/>
      <w:marRight w:val="0"/>
      <w:marTop w:val="0"/>
      <w:marBottom w:val="0"/>
      <w:divBdr>
        <w:top w:val="none" w:sz="0" w:space="0" w:color="auto"/>
        <w:left w:val="none" w:sz="0" w:space="0" w:color="auto"/>
        <w:bottom w:val="none" w:sz="0" w:space="0" w:color="auto"/>
        <w:right w:val="none" w:sz="0" w:space="0" w:color="auto"/>
      </w:divBdr>
    </w:div>
    <w:div w:id="857619028">
      <w:bodyDiv w:val="1"/>
      <w:marLeft w:val="0"/>
      <w:marRight w:val="0"/>
      <w:marTop w:val="0"/>
      <w:marBottom w:val="0"/>
      <w:divBdr>
        <w:top w:val="none" w:sz="0" w:space="0" w:color="auto"/>
        <w:left w:val="none" w:sz="0" w:space="0" w:color="auto"/>
        <w:bottom w:val="none" w:sz="0" w:space="0" w:color="auto"/>
        <w:right w:val="none" w:sz="0" w:space="0" w:color="auto"/>
      </w:divBdr>
    </w:div>
    <w:div w:id="858086856">
      <w:bodyDiv w:val="1"/>
      <w:marLeft w:val="0"/>
      <w:marRight w:val="0"/>
      <w:marTop w:val="0"/>
      <w:marBottom w:val="0"/>
      <w:divBdr>
        <w:top w:val="none" w:sz="0" w:space="0" w:color="auto"/>
        <w:left w:val="none" w:sz="0" w:space="0" w:color="auto"/>
        <w:bottom w:val="none" w:sz="0" w:space="0" w:color="auto"/>
        <w:right w:val="none" w:sz="0" w:space="0" w:color="auto"/>
      </w:divBdr>
    </w:div>
    <w:div w:id="863178334">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867067986">
      <w:bodyDiv w:val="1"/>
      <w:marLeft w:val="0"/>
      <w:marRight w:val="0"/>
      <w:marTop w:val="0"/>
      <w:marBottom w:val="0"/>
      <w:divBdr>
        <w:top w:val="none" w:sz="0" w:space="0" w:color="auto"/>
        <w:left w:val="none" w:sz="0" w:space="0" w:color="auto"/>
        <w:bottom w:val="none" w:sz="0" w:space="0" w:color="auto"/>
        <w:right w:val="none" w:sz="0" w:space="0" w:color="auto"/>
      </w:divBdr>
    </w:div>
    <w:div w:id="867137835">
      <w:bodyDiv w:val="1"/>
      <w:marLeft w:val="0"/>
      <w:marRight w:val="0"/>
      <w:marTop w:val="0"/>
      <w:marBottom w:val="0"/>
      <w:divBdr>
        <w:top w:val="none" w:sz="0" w:space="0" w:color="auto"/>
        <w:left w:val="none" w:sz="0" w:space="0" w:color="auto"/>
        <w:bottom w:val="none" w:sz="0" w:space="0" w:color="auto"/>
        <w:right w:val="none" w:sz="0" w:space="0" w:color="auto"/>
      </w:divBdr>
    </w:div>
    <w:div w:id="868683541">
      <w:bodyDiv w:val="1"/>
      <w:marLeft w:val="0"/>
      <w:marRight w:val="0"/>
      <w:marTop w:val="0"/>
      <w:marBottom w:val="0"/>
      <w:divBdr>
        <w:top w:val="none" w:sz="0" w:space="0" w:color="auto"/>
        <w:left w:val="none" w:sz="0" w:space="0" w:color="auto"/>
        <w:bottom w:val="none" w:sz="0" w:space="0" w:color="auto"/>
        <w:right w:val="none" w:sz="0" w:space="0" w:color="auto"/>
      </w:divBdr>
    </w:div>
    <w:div w:id="870654054">
      <w:bodyDiv w:val="1"/>
      <w:marLeft w:val="0"/>
      <w:marRight w:val="0"/>
      <w:marTop w:val="0"/>
      <w:marBottom w:val="0"/>
      <w:divBdr>
        <w:top w:val="none" w:sz="0" w:space="0" w:color="auto"/>
        <w:left w:val="none" w:sz="0" w:space="0" w:color="auto"/>
        <w:bottom w:val="none" w:sz="0" w:space="0" w:color="auto"/>
        <w:right w:val="none" w:sz="0" w:space="0" w:color="auto"/>
      </w:divBdr>
    </w:div>
    <w:div w:id="871304160">
      <w:bodyDiv w:val="1"/>
      <w:marLeft w:val="0"/>
      <w:marRight w:val="0"/>
      <w:marTop w:val="0"/>
      <w:marBottom w:val="0"/>
      <w:divBdr>
        <w:top w:val="none" w:sz="0" w:space="0" w:color="auto"/>
        <w:left w:val="none" w:sz="0" w:space="0" w:color="auto"/>
        <w:bottom w:val="none" w:sz="0" w:space="0" w:color="auto"/>
        <w:right w:val="none" w:sz="0" w:space="0" w:color="auto"/>
      </w:divBdr>
    </w:div>
    <w:div w:id="872032683">
      <w:bodyDiv w:val="1"/>
      <w:marLeft w:val="0"/>
      <w:marRight w:val="0"/>
      <w:marTop w:val="0"/>
      <w:marBottom w:val="0"/>
      <w:divBdr>
        <w:top w:val="none" w:sz="0" w:space="0" w:color="auto"/>
        <w:left w:val="none" w:sz="0" w:space="0" w:color="auto"/>
        <w:bottom w:val="none" w:sz="0" w:space="0" w:color="auto"/>
        <w:right w:val="none" w:sz="0" w:space="0" w:color="auto"/>
      </w:divBdr>
    </w:div>
    <w:div w:id="872041960">
      <w:bodyDiv w:val="1"/>
      <w:marLeft w:val="0"/>
      <w:marRight w:val="0"/>
      <w:marTop w:val="0"/>
      <w:marBottom w:val="0"/>
      <w:divBdr>
        <w:top w:val="none" w:sz="0" w:space="0" w:color="auto"/>
        <w:left w:val="none" w:sz="0" w:space="0" w:color="auto"/>
        <w:bottom w:val="none" w:sz="0" w:space="0" w:color="auto"/>
        <w:right w:val="none" w:sz="0" w:space="0" w:color="auto"/>
      </w:divBdr>
    </w:div>
    <w:div w:id="872230009">
      <w:bodyDiv w:val="1"/>
      <w:marLeft w:val="0"/>
      <w:marRight w:val="0"/>
      <w:marTop w:val="0"/>
      <w:marBottom w:val="0"/>
      <w:divBdr>
        <w:top w:val="none" w:sz="0" w:space="0" w:color="auto"/>
        <w:left w:val="none" w:sz="0" w:space="0" w:color="auto"/>
        <w:bottom w:val="none" w:sz="0" w:space="0" w:color="auto"/>
        <w:right w:val="none" w:sz="0" w:space="0" w:color="auto"/>
      </w:divBdr>
    </w:div>
    <w:div w:id="872693963">
      <w:bodyDiv w:val="1"/>
      <w:marLeft w:val="0"/>
      <w:marRight w:val="0"/>
      <w:marTop w:val="0"/>
      <w:marBottom w:val="0"/>
      <w:divBdr>
        <w:top w:val="none" w:sz="0" w:space="0" w:color="auto"/>
        <w:left w:val="none" w:sz="0" w:space="0" w:color="auto"/>
        <w:bottom w:val="none" w:sz="0" w:space="0" w:color="auto"/>
        <w:right w:val="none" w:sz="0" w:space="0" w:color="auto"/>
      </w:divBdr>
    </w:div>
    <w:div w:id="873617177">
      <w:bodyDiv w:val="1"/>
      <w:marLeft w:val="0"/>
      <w:marRight w:val="0"/>
      <w:marTop w:val="0"/>
      <w:marBottom w:val="0"/>
      <w:divBdr>
        <w:top w:val="none" w:sz="0" w:space="0" w:color="auto"/>
        <w:left w:val="none" w:sz="0" w:space="0" w:color="auto"/>
        <w:bottom w:val="none" w:sz="0" w:space="0" w:color="auto"/>
        <w:right w:val="none" w:sz="0" w:space="0" w:color="auto"/>
      </w:divBdr>
    </w:div>
    <w:div w:id="874200735">
      <w:bodyDiv w:val="1"/>
      <w:marLeft w:val="0"/>
      <w:marRight w:val="0"/>
      <w:marTop w:val="0"/>
      <w:marBottom w:val="0"/>
      <w:divBdr>
        <w:top w:val="none" w:sz="0" w:space="0" w:color="auto"/>
        <w:left w:val="none" w:sz="0" w:space="0" w:color="auto"/>
        <w:bottom w:val="none" w:sz="0" w:space="0" w:color="auto"/>
        <w:right w:val="none" w:sz="0" w:space="0" w:color="auto"/>
      </w:divBdr>
    </w:div>
    <w:div w:id="874584226">
      <w:bodyDiv w:val="1"/>
      <w:marLeft w:val="0"/>
      <w:marRight w:val="0"/>
      <w:marTop w:val="0"/>
      <w:marBottom w:val="0"/>
      <w:divBdr>
        <w:top w:val="none" w:sz="0" w:space="0" w:color="auto"/>
        <w:left w:val="none" w:sz="0" w:space="0" w:color="auto"/>
        <w:bottom w:val="none" w:sz="0" w:space="0" w:color="auto"/>
        <w:right w:val="none" w:sz="0" w:space="0" w:color="auto"/>
      </w:divBdr>
    </w:div>
    <w:div w:id="876313631">
      <w:bodyDiv w:val="1"/>
      <w:marLeft w:val="0"/>
      <w:marRight w:val="0"/>
      <w:marTop w:val="0"/>
      <w:marBottom w:val="0"/>
      <w:divBdr>
        <w:top w:val="none" w:sz="0" w:space="0" w:color="auto"/>
        <w:left w:val="none" w:sz="0" w:space="0" w:color="auto"/>
        <w:bottom w:val="none" w:sz="0" w:space="0" w:color="auto"/>
        <w:right w:val="none" w:sz="0" w:space="0" w:color="auto"/>
      </w:divBdr>
    </w:div>
    <w:div w:id="876359096">
      <w:bodyDiv w:val="1"/>
      <w:marLeft w:val="0"/>
      <w:marRight w:val="0"/>
      <w:marTop w:val="0"/>
      <w:marBottom w:val="0"/>
      <w:divBdr>
        <w:top w:val="none" w:sz="0" w:space="0" w:color="auto"/>
        <w:left w:val="none" w:sz="0" w:space="0" w:color="auto"/>
        <w:bottom w:val="none" w:sz="0" w:space="0" w:color="auto"/>
        <w:right w:val="none" w:sz="0" w:space="0" w:color="auto"/>
      </w:divBdr>
    </w:div>
    <w:div w:id="882642220">
      <w:bodyDiv w:val="1"/>
      <w:marLeft w:val="0"/>
      <w:marRight w:val="0"/>
      <w:marTop w:val="0"/>
      <w:marBottom w:val="0"/>
      <w:divBdr>
        <w:top w:val="none" w:sz="0" w:space="0" w:color="auto"/>
        <w:left w:val="none" w:sz="0" w:space="0" w:color="auto"/>
        <w:bottom w:val="none" w:sz="0" w:space="0" w:color="auto"/>
        <w:right w:val="none" w:sz="0" w:space="0" w:color="auto"/>
      </w:divBdr>
    </w:div>
    <w:div w:id="883297603">
      <w:bodyDiv w:val="1"/>
      <w:marLeft w:val="0"/>
      <w:marRight w:val="0"/>
      <w:marTop w:val="0"/>
      <w:marBottom w:val="0"/>
      <w:divBdr>
        <w:top w:val="none" w:sz="0" w:space="0" w:color="auto"/>
        <w:left w:val="none" w:sz="0" w:space="0" w:color="auto"/>
        <w:bottom w:val="none" w:sz="0" w:space="0" w:color="auto"/>
        <w:right w:val="none" w:sz="0" w:space="0" w:color="auto"/>
      </w:divBdr>
    </w:div>
    <w:div w:id="884026811">
      <w:bodyDiv w:val="1"/>
      <w:marLeft w:val="0"/>
      <w:marRight w:val="0"/>
      <w:marTop w:val="0"/>
      <w:marBottom w:val="0"/>
      <w:divBdr>
        <w:top w:val="none" w:sz="0" w:space="0" w:color="auto"/>
        <w:left w:val="none" w:sz="0" w:space="0" w:color="auto"/>
        <w:bottom w:val="none" w:sz="0" w:space="0" w:color="auto"/>
        <w:right w:val="none" w:sz="0" w:space="0" w:color="auto"/>
      </w:divBdr>
    </w:div>
    <w:div w:id="884484317">
      <w:bodyDiv w:val="1"/>
      <w:marLeft w:val="0"/>
      <w:marRight w:val="0"/>
      <w:marTop w:val="0"/>
      <w:marBottom w:val="0"/>
      <w:divBdr>
        <w:top w:val="none" w:sz="0" w:space="0" w:color="auto"/>
        <w:left w:val="none" w:sz="0" w:space="0" w:color="auto"/>
        <w:bottom w:val="none" w:sz="0" w:space="0" w:color="auto"/>
        <w:right w:val="none" w:sz="0" w:space="0" w:color="auto"/>
      </w:divBdr>
    </w:div>
    <w:div w:id="885067352">
      <w:bodyDiv w:val="1"/>
      <w:marLeft w:val="0"/>
      <w:marRight w:val="0"/>
      <w:marTop w:val="0"/>
      <w:marBottom w:val="0"/>
      <w:divBdr>
        <w:top w:val="none" w:sz="0" w:space="0" w:color="auto"/>
        <w:left w:val="none" w:sz="0" w:space="0" w:color="auto"/>
        <w:bottom w:val="none" w:sz="0" w:space="0" w:color="auto"/>
        <w:right w:val="none" w:sz="0" w:space="0" w:color="auto"/>
      </w:divBdr>
    </w:div>
    <w:div w:id="885219635">
      <w:bodyDiv w:val="1"/>
      <w:marLeft w:val="0"/>
      <w:marRight w:val="0"/>
      <w:marTop w:val="0"/>
      <w:marBottom w:val="0"/>
      <w:divBdr>
        <w:top w:val="none" w:sz="0" w:space="0" w:color="auto"/>
        <w:left w:val="none" w:sz="0" w:space="0" w:color="auto"/>
        <w:bottom w:val="none" w:sz="0" w:space="0" w:color="auto"/>
        <w:right w:val="none" w:sz="0" w:space="0" w:color="auto"/>
      </w:divBdr>
    </w:div>
    <w:div w:id="887188240">
      <w:bodyDiv w:val="1"/>
      <w:marLeft w:val="0"/>
      <w:marRight w:val="0"/>
      <w:marTop w:val="0"/>
      <w:marBottom w:val="0"/>
      <w:divBdr>
        <w:top w:val="none" w:sz="0" w:space="0" w:color="auto"/>
        <w:left w:val="none" w:sz="0" w:space="0" w:color="auto"/>
        <w:bottom w:val="none" w:sz="0" w:space="0" w:color="auto"/>
        <w:right w:val="none" w:sz="0" w:space="0" w:color="auto"/>
      </w:divBdr>
    </w:div>
    <w:div w:id="887226888">
      <w:bodyDiv w:val="1"/>
      <w:marLeft w:val="0"/>
      <w:marRight w:val="0"/>
      <w:marTop w:val="0"/>
      <w:marBottom w:val="0"/>
      <w:divBdr>
        <w:top w:val="none" w:sz="0" w:space="0" w:color="auto"/>
        <w:left w:val="none" w:sz="0" w:space="0" w:color="auto"/>
        <w:bottom w:val="none" w:sz="0" w:space="0" w:color="auto"/>
        <w:right w:val="none" w:sz="0" w:space="0" w:color="auto"/>
      </w:divBdr>
    </w:div>
    <w:div w:id="889848811">
      <w:bodyDiv w:val="1"/>
      <w:marLeft w:val="0"/>
      <w:marRight w:val="0"/>
      <w:marTop w:val="0"/>
      <w:marBottom w:val="0"/>
      <w:divBdr>
        <w:top w:val="none" w:sz="0" w:space="0" w:color="auto"/>
        <w:left w:val="none" w:sz="0" w:space="0" w:color="auto"/>
        <w:bottom w:val="none" w:sz="0" w:space="0" w:color="auto"/>
        <w:right w:val="none" w:sz="0" w:space="0" w:color="auto"/>
      </w:divBdr>
    </w:div>
    <w:div w:id="892934138">
      <w:bodyDiv w:val="1"/>
      <w:marLeft w:val="0"/>
      <w:marRight w:val="0"/>
      <w:marTop w:val="0"/>
      <w:marBottom w:val="0"/>
      <w:divBdr>
        <w:top w:val="none" w:sz="0" w:space="0" w:color="auto"/>
        <w:left w:val="none" w:sz="0" w:space="0" w:color="auto"/>
        <w:bottom w:val="none" w:sz="0" w:space="0" w:color="auto"/>
        <w:right w:val="none" w:sz="0" w:space="0" w:color="auto"/>
      </w:divBdr>
    </w:div>
    <w:div w:id="892960191">
      <w:bodyDiv w:val="1"/>
      <w:marLeft w:val="0"/>
      <w:marRight w:val="0"/>
      <w:marTop w:val="0"/>
      <w:marBottom w:val="0"/>
      <w:divBdr>
        <w:top w:val="none" w:sz="0" w:space="0" w:color="auto"/>
        <w:left w:val="none" w:sz="0" w:space="0" w:color="auto"/>
        <w:bottom w:val="none" w:sz="0" w:space="0" w:color="auto"/>
        <w:right w:val="none" w:sz="0" w:space="0" w:color="auto"/>
      </w:divBdr>
    </w:div>
    <w:div w:id="898785513">
      <w:bodyDiv w:val="1"/>
      <w:marLeft w:val="0"/>
      <w:marRight w:val="0"/>
      <w:marTop w:val="0"/>
      <w:marBottom w:val="0"/>
      <w:divBdr>
        <w:top w:val="none" w:sz="0" w:space="0" w:color="auto"/>
        <w:left w:val="none" w:sz="0" w:space="0" w:color="auto"/>
        <w:bottom w:val="none" w:sz="0" w:space="0" w:color="auto"/>
        <w:right w:val="none" w:sz="0" w:space="0" w:color="auto"/>
      </w:divBdr>
    </w:div>
    <w:div w:id="899435865">
      <w:bodyDiv w:val="1"/>
      <w:marLeft w:val="0"/>
      <w:marRight w:val="0"/>
      <w:marTop w:val="0"/>
      <w:marBottom w:val="0"/>
      <w:divBdr>
        <w:top w:val="none" w:sz="0" w:space="0" w:color="auto"/>
        <w:left w:val="none" w:sz="0" w:space="0" w:color="auto"/>
        <w:bottom w:val="none" w:sz="0" w:space="0" w:color="auto"/>
        <w:right w:val="none" w:sz="0" w:space="0" w:color="auto"/>
      </w:divBdr>
    </w:div>
    <w:div w:id="901715803">
      <w:bodyDiv w:val="1"/>
      <w:marLeft w:val="0"/>
      <w:marRight w:val="0"/>
      <w:marTop w:val="0"/>
      <w:marBottom w:val="0"/>
      <w:divBdr>
        <w:top w:val="none" w:sz="0" w:space="0" w:color="auto"/>
        <w:left w:val="none" w:sz="0" w:space="0" w:color="auto"/>
        <w:bottom w:val="none" w:sz="0" w:space="0" w:color="auto"/>
        <w:right w:val="none" w:sz="0" w:space="0" w:color="auto"/>
      </w:divBdr>
    </w:div>
    <w:div w:id="901983145">
      <w:bodyDiv w:val="1"/>
      <w:marLeft w:val="0"/>
      <w:marRight w:val="0"/>
      <w:marTop w:val="0"/>
      <w:marBottom w:val="0"/>
      <w:divBdr>
        <w:top w:val="none" w:sz="0" w:space="0" w:color="auto"/>
        <w:left w:val="none" w:sz="0" w:space="0" w:color="auto"/>
        <w:bottom w:val="none" w:sz="0" w:space="0" w:color="auto"/>
        <w:right w:val="none" w:sz="0" w:space="0" w:color="auto"/>
      </w:divBdr>
    </w:div>
    <w:div w:id="902713055">
      <w:bodyDiv w:val="1"/>
      <w:marLeft w:val="0"/>
      <w:marRight w:val="0"/>
      <w:marTop w:val="0"/>
      <w:marBottom w:val="0"/>
      <w:divBdr>
        <w:top w:val="none" w:sz="0" w:space="0" w:color="auto"/>
        <w:left w:val="none" w:sz="0" w:space="0" w:color="auto"/>
        <w:bottom w:val="none" w:sz="0" w:space="0" w:color="auto"/>
        <w:right w:val="none" w:sz="0" w:space="0" w:color="auto"/>
      </w:divBdr>
    </w:div>
    <w:div w:id="903486201">
      <w:bodyDiv w:val="1"/>
      <w:marLeft w:val="0"/>
      <w:marRight w:val="0"/>
      <w:marTop w:val="0"/>
      <w:marBottom w:val="0"/>
      <w:divBdr>
        <w:top w:val="none" w:sz="0" w:space="0" w:color="auto"/>
        <w:left w:val="none" w:sz="0" w:space="0" w:color="auto"/>
        <w:bottom w:val="none" w:sz="0" w:space="0" w:color="auto"/>
        <w:right w:val="none" w:sz="0" w:space="0" w:color="auto"/>
      </w:divBdr>
    </w:div>
    <w:div w:id="904728188">
      <w:bodyDiv w:val="1"/>
      <w:marLeft w:val="0"/>
      <w:marRight w:val="0"/>
      <w:marTop w:val="0"/>
      <w:marBottom w:val="0"/>
      <w:divBdr>
        <w:top w:val="none" w:sz="0" w:space="0" w:color="auto"/>
        <w:left w:val="none" w:sz="0" w:space="0" w:color="auto"/>
        <w:bottom w:val="none" w:sz="0" w:space="0" w:color="auto"/>
        <w:right w:val="none" w:sz="0" w:space="0" w:color="auto"/>
      </w:divBdr>
    </w:div>
    <w:div w:id="906232296">
      <w:bodyDiv w:val="1"/>
      <w:marLeft w:val="0"/>
      <w:marRight w:val="0"/>
      <w:marTop w:val="0"/>
      <w:marBottom w:val="0"/>
      <w:divBdr>
        <w:top w:val="none" w:sz="0" w:space="0" w:color="auto"/>
        <w:left w:val="none" w:sz="0" w:space="0" w:color="auto"/>
        <w:bottom w:val="none" w:sz="0" w:space="0" w:color="auto"/>
        <w:right w:val="none" w:sz="0" w:space="0" w:color="auto"/>
      </w:divBdr>
    </w:div>
    <w:div w:id="907156841">
      <w:bodyDiv w:val="1"/>
      <w:marLeft w:val="0"/>
      <w:marRight w:val="0"/>
      <w:marTop w:val="0"/>
      <w:marBottom w:val="0"/>
      <w:divBdr>
        <w:top w:val="none" w:sz="0" w:space="0" w:color="auto"/>
        <w:left w:val="none" w:sz="0" w:space="0" w:color="auto"/>
        <w:bottom w:val="none" w:sz="0" w:space="0" w:color="auto"/>
        <w:right w:val="none" w:sz="0" w:space="0" w:color="auto"/>
      </w:divBdr>
    </w:div>
    <w:div w:id="908425962">
      <w:bodyDiv w:val="1"/>
      <w:marLeft w:val="0"/>
      <w:marRight w:val="0"/>
      <w:marTop w:val="0"/>
      <w:marBottom w:val="0"/>
      <w:divBdr>
        <w:top w:val="none" w:sz="0" w:space="0" w:color="auto"/>
        <w:left w:val="none" w:sz="0" w:space="0" w:color="auto"/>
        <w:bottom w:val="none" w:sz="0" w:space="0" w:color="auto"/>
        <w:right w:val="none" w:sz="0" w:space="0" w:color="auto"/>
      </w:divBdr>
    </w:div>
    <w:div w:id="908729326">
      <w:bodyDiv w:val="1"/>
      <w:marLeft w:val="0"/>
      <w:marRight w:val="0"/>
      <w:marTop w:val="0"/>
      <w:marBottom w:val="0"/>
      <w:divBdr>
        <w:top w:val="none" w:sz="0" w:space="0" w:color="auto"/>
        <w:left w:val="none" w:sz="0" w:space="0" w:color="auto"/>
        <w:bottom w:val="none" w:sz="0" w:space="0" w:color="auto"/>
        <w:right w:val="none" w:sz="0" w:space="0" w:color="auto"/>
      </w:divBdr>
    </w:div>
    <w:div w:id="911431350">
      <w:bodyDiv w:val="1"/>
      <w:marLeft w:val="0"/>
      <w:marRight w:val="0"/>
      <w:marTop w:val="0"/>
      <w:marBottom w:val="0"/>
      <w:divBdr>
        <w:top w:val="none" w:sz="0" w:space="0" w:color="auto"/>
        <w:left w:val="none" w:sz="0" w:space="0" w:color="auto"/>
        <w:bottom w:val="none" w:sz="0" w:space="0" w:color="auto"/>
        <w:right w:val="none" w:sz="0" w:space="0" w:color="auto"/>
      </w:divBdr>
    </w:div>
    <w:div w:id="911547300">
      <w:bodyDiv w:val="1"/>
      <w:marLeft w:val="0"/>
      <w:marRight w:val="0"/>
      <w:marTop w:val="0"/>
      <w:marBottom w:val="0"/>
      <w:divBdr>
        <w:top w:val="none" w:sz="0" w:space="0" w:color="auto"/>
        <w:left w:val="none" w:sz="0" w:space="0" w:color="auto"/>
        <w:bottom w:val="none" w:sz="0" w:space="0" w:color="auto"/>
        <w:right w:val="none" w:sz="0" w:space="0" w:color="auto"/>
      </w:divBdr>
    </w:div>
    <w:div w:id="914362619">
      <w:bodyDiv w:val="1"/>
      <w:marLeft w:val="0"/>
      <w:marRight w:val="0"/>
      <w:marTop w:val="0"/>
      <w:marBottom w:val="0"/>
      <w:divBdr>
        <w:top w:val="none" w:sz="0" w:space="0" w:color="auto"/>
        <w:left w:val="none" w:sz="0" w:space="0" w:color="auto"/>
        <w:bottom w:val="none" w:sz="0" w:space="0" w:color="auto"/>
        <w:right w:val="none" w:sz="0" w:space="0" w:color="auto"/>
      </w:divBdr>
    </w:div>
    <w:div w:id="914583031">
      <w:bodyDiv w:val="1"/>
      <w:marLeft w:val="0"/>
      <w:marRight w:val="0"/>
      <w:marTop w:val="0"/>
      <w:marBottom w:val="0"/>
      <w:divBdr>
        <w:top w:val="none" w:sz="0" w:space="0" w:color="auto"/>
        <w:left w:val="none" w:sz="0" w:space="0" w:color="auto"/>
        <w:bottom w:val="none" w:sz="0" w:space="0" w:color="auto"/>
        <w:right w:val="none" w:sz="0" w:space="0" w:color="auto"/>
      </w:divBdr>
    </w:div>
    <w:div w:id="915437414">
      <w:bodyDiv w:val="1"/>
      <w:marLeft w:val="0"/>
      <w:marRight w:val="0"/>
      <w:marTop w:val="0"/>
      <w:marBottom w:val="0"/>
      <w:divBdr>
        <w:top w:val="none" w:sz="0" w:space="0" w:color="auto"/>
        <w:left w:val="none" w:sz="0" w:space="0" w:color="auto"/>
        <w:bottom w:val="none" w:sz="0" w:space="0" w:color="auto"/>
        <w:right w:val="none" w:sz="0" w:space="0" w:color="auto"/>
      </w:divBdr>
    </w:div>
    <w:div w:id="919867357">
      <w:bodyDiv w:val="1"/>
      <w:marLeft w:val="0"/>
      <w:marRight w:val="0"/>
      <w:marTop w:val="0"/>
      <w:marBottom w:val="0"/>
      <w:divBdr>
        <w:top w:val="none" w:sz="0" w:space="0" w:color="auto"/>
        <w:left w:val="none" w:sz="0" w:space="0" w:color="auto"/>
        <w:bottom w:val="none" w:sz="0" w:space="0" w:color="auto"/>
        <w:right w:val="none" w:sz="0" w:space="0" w:color="auto"/>
      </w:divBdr>
    </w:div>
    <w:div w:id="920145140">
      <w:bodyDiv w:val="1"/>
      <w:marLeft w:val="0"/>
      <w:marRight w:val="0"/>
      <w:marTop w:val="0"/>
      <w:marBottom w:val="0"/>
      <w:divBdr>
        <w:top w:val="none" w:sz="0" w:space="0" w:color="auto"/>
        <w:left w:val="none" w:sz="0" w:space="0" w:color="auto"/>
        <w:bottom w:val="none" w:sz="0" w:space="0" w:color="auto"/>
        <w:right w:val="none" w:sz="0" w:space="0" w:color="auto"/>
      </w:divBdr>
    </w:div>
    <w:div w:id="920453312">
      <w:bodyDiv w:val="1"/>
      <w:marLeft w:val="0"/>
      <w:marRight w:val="0"/>
      <w:marTop w:val="0"/>
      <w:marBottom w:val="0"/>
      <w:divBdr>
        <w:top w:val="none" w:sz="0" w:space="0" w:color="auto"/>
        <w:left w:val="none" w:sz="0" w:space="0" w:color="auto"/>
        <w:bottom w:val="none" w:sz="0" w:space="0" w:color="auto"/>
        <w:right w:val="none" w:sz="0" w:space="0" w:color="auto"/>
      </w:divBdr>
    </w:div>
    <w:div w:id="920791698">
      <w:bodyDiv w:val="1"/>
      <w:marLeft w:val="0"/>
      <w:marRight w:val="0"/>
      <w:marTop w:val="0"/>
      <w:marBottom w:val="0"/>
      <w:divBdr>
        <w:top w:val="none" w:sz="0" w:space="0" w:color="auto"/>
        <w:left w:val="none" w:sz="0" w:space="0" w:color="auto"/>
        <w:bottom w:val="none" w:sz="0" w:space="0" w:color="auto"/>
        <w:right w:val="none" w:sz="0" w:space="0" w:color="auto"/>
      </w:divBdr>
    </w:div>
    <w:div w:id="920917761">
      <w:bodyDiv w:val="1"/>
      <w:marLeft w:val="0"/>
      <w:marRight w:val="0"/>
      <w:marTop w:val="0"/>
      <w:marBottom w:val="0"/>
      <w:divBdr>
        <w:top w:val="none" w:sz="0" w:space="0" w:color="auto"/>
        <w:left w:val="none" w:sz="0" w:space="0" w:color="auto"/>
        <w:bottom w:val="none" w:sz="0" w:space="0" w:color="auto"/>
        <w:right w:val="none" w:sz="0" w:space="0" w:color="auto"/>
      </w:divBdr>
    </w:div>
    <w:div w:id="921453759">
      <w:bodyDiv w:val="1"/>
      <w:marLeft w:val="0"/>
      <w:marRight w:val="0"/>
      <w:marTop w:val="0"/>
      <w:marBottom w:val="0"/>
      <w:divBdr>
        <w:top w:val="none" w:sz="0" w:space="0" w:color="auto"/>
        <w:left w:val="none" w:sz="0" w:space="0" w:color="auto"/>
        <w:bottom w:val="none" w:sz="0" w:space="0" w:color="auto"/>
        <w:right w:val="none" w:sz="0" w:space="0" w:color="auto"/>
      </w:divBdr>
    </w:div>
    <w:div w:id="927738850">
      <w:bodyDiv w:val="1"/>
      <w:marLeft w:val="0"/>
      <w:marRight w:val="0"/>
      <w:marTop w:val="0"/>
      <w:marBottom w:val="0"/>
      <w:divBdr>
        <w:top w:val="none" w:sz="0" w:space="0" w:color="auto"/>
        <w:left w:val="none" w:sz="0" w:space="0" w:color="auto"/>
        <w:bottom w:val="none" w:sz="0" w:space="0" w:color="auto"/>
        <w:right w:val="none" w:sz="0" w:space="0" w:color="auto"/>
      </w:divBdr>
    </w:div>
    <w:div w:id="929118848">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
    <w:div w:id="930818220">
      <w:bodyDiv w:val="1"/>
      <w:marLeft w:val="0"/>
      <w:marRight w:val="0"/>
      <w:marTop w:val="0"/>
      <w:marBottom w:val="0"/>
      <w:divBdr>
        <w:top w:val="none" w:sz="0" w:space="0" w:color="auto"/>
        <w:left w:val="none" w:sz="0" w:space="0" w:color="auto"/>
        <w:bottom w:val="none" w:sz="0" w:space="0" w:color="auto"/>
        <w:right w:val="none" w:sz="0" w:space="0" w:color="auto"/>
      </w:divBdr>
    </w:div>
    <w:div w:id="933050485">
      <w:bodyDiv w:val="1"/>
      <w:marLeft w:val="0"/>
      <w:marRight w:val="0"/>
      <w:marTop w:val="0"/>
      <w:marBottom w:val="0"/>
      <w:divBdr>
        <w:top w:val="none" w:sz="0" w:space="0" w:color="auto"/>
        <w:left w:val="none" w:sz="0" w:space="0" w:color="auto"/>
        <w:bottom w:val="none" w:sz="0" w:space="0" w:color="auto"/>
        <w:right w:val="none" w:sz="0" w:space="0" w:color="auto"/>
      </w:divBdr>
    </w:div>
    <w:div w:id="934941832">
      <w:bodyDiv w:val="1"/>
      <w:marLeft w:val="0"/>
      <w:marRight w:val="0"/>
      <w:marTop w:val="0"/>
      <w:marBottom w:val="0"/>
      <w:divBdr>
        <w:top w:val="none" w:sz="0" w:space="0" w:color="auto"/>
        <w:left w:val="none" w:sz="0" w:space="0" w:color="auto"/>
        <w:bottom w:val="none" w:sz="0" w:space="0" w:color="auto"/>
        <w:right w:val="none" w:sz="0" w:space="0" w:color="auto"/>
      </w:divBdr>
    </w:div>
    <w:div w:id="935986985">
      <w:bodyDiv w:val="1"/>
      <w:marLeft w:val="0"/>
      <w:marRight w:val="0"/>
      <w:marTop w:val="0"/>
      <w:marBottom w:val="0"/>
      <w:divBdr>
        <w:top w:val="none" w:sz="0" w:space="0" w:color="auto"/>
        <w:left w:val="none" w:sz="0" w:space="0" w:color="auto"/>
        <w:bottom w:val="none" w:sz="0" w:space="0" w:color="auto"/>
        <w:right w:val="none" w:sz="0" w:space="0" w:color="auto"/>
      </w:divBdr>
    </w:div>
    <w:div w:id="938636408">
      <w:bodyDiv w:val="1"/>
      <w:marLeft w:val="0"/>
      <w:marRight w:val="0"/>
      <w:marTop w:val="0"/>
      <w:marBottom w:val="0"/>
      <w:divBdr>
        <w:top w:val="none" w:sz="0" w:space="0" w:color="auto"/>
        <w:left w:val="none" w:sz="0" w:space="0" w:color="auto"/>
        <w:bottom w:val="none" w:sz="0" w:space="0" w:color="auto"/>
        <w:right w:val="none" w:sz="0" w:space="0" w:color="auto"/>
      </w:divBdr>
    </w:div>
    <w:div w:id="940575984">
      <w:bodyDiv w:val="1"/>
      <w:marLeft w:val="0"/>
      <w:marRight w:val="0"/>
      <w:marTop w:val="0"/>
      <w:marBottom w:val="0"/>
      <w:divBdr>
        <w:top w:val="none" w:sz="0" w:space="0" w:color="auto"/>
        <w:left w:val="none" w:sz="0" w:space="0" w:color="auto"/>
        <w:bottom w:val="none" w:sz="0" w:space="0" w:color="auto"/>
        <w:right w:val="none" w:sz="0" w:space="0" w:color="auto"/>
      </w:divBdr>
    </w:div>
    <w:div w:id="942809870">
      <w:bodyDiv w:val="1"/>
      <w:marLeft w:val="0"/>
      <w:marRight w:val="0"/>
      <w:marTop w:val="0"/>
      <w:marBottom w:val="0"/>
      <w:divBdr>
        <w:top w:val="none" w:sz="0" w:space="0" w:color="auto"/>
        <w:left w:val="none" w:sz="0" w:space="0" w:color="auto"/>
        <w:bottom w:val="none" w:sz="0" w:space="0" w:color="auto"/>
        <w:right w:val="none" w:sz="0" w:space="0" w:color="auto"/>
      </w:divBdr>
    </w:div>
    <w:div w:id="943224855">
      <w:bodyDiv w:val="1"/>
      <w:marLeft w:val="0"/>
      <w:marRight w:val="0"/>
      <w:marTop w:val="0"/>
      <w:marBottom w:val="0"/>
      <w:divBdr>
        <w:top w:val="none" w:sz="0" w:space="0" w:color="auto"/>
        <w:left w:val="none" w:sz="0" w:space="0" w:color="auto"/>
        <w:bottom w:val="none" w:sz="0" w:space="0" w:color="auto"/>
        <w:right w:val="none" w:sz="0" w:space="0" w:color="auto"/>
      </w:divBdr>
    </w:div>
    <w:div w:id="943810278">
      <w:bodyDiv w:val="1"/>
      <w:marLeft w:val="0"/>
      <w:marRight w:val="0"/>
      <w:marTop w:val="0"/>
      <w:marBottom w:val="0"/>
      <w:divBdr>
        <w:top w:val="none" w:sz="0" w:space="0" w:color="auto"/>
        <w:left w:val="none" w:sz="0" w:space="0" w:color="auto"/>
        <w:bottom w:val="none" w:sz="0" w:space="0" w:color="auto"/>
        <w:right w:val="none" w:sz="0" w:space="0" w:color="auto"/>
      </w:divBdr>
    </w:div>
    <w:div w:id="945237883">
      <w:bodyDiv w:val="1"/>
      <w:marLeft w:val="0"/>
      <w:marRight w:val="0"/>
      <w:marTop w:val="0"/>
      <w:marBottom w:val="0"/>
      <w:divBdr>
        <w:top w:val="none" w:sz="0" w:space="0" w:color="auto"/>
        <w:left w:val="none" w:sz="0" w:space="0" w:color="auto"/>
        <w:bottom w:val="none" w:sz="0" w:space="0" w:color="auto"/>
        <w:right w:val="none" w:sz="0" w:space="0" w:color="auto"/>
      </w:divBdr>
    </w:div>
    <w:div w:id="947544428">
      <w:bodyDiv w:val="1"/>
      <w:marLeft w:val="0"/>
      <w:marRight w:val="0"/>
      <w:marTop w:val="0"/>
      <w:marBottom w:val="0"/>
      <w:divBdr>
        <w:top w:val="none" w:sz="0" w:space="0" w:color="auto"/>
        <w:left w:val="none" w:sz="0" w:space="0" w:color="auto"/>
        <w:bottom w:val="none" w:sz="0" w:space="0" w:color="auto"/>
        <w:right w:val="none" w:sz="0" w:space="0" w:color="auto"/>
      </w:divBdr>
    </w:div>
    <w:div w:id="947808581">
      <w:bodyDiv w:val="1"/>
      <w:marLeft w:val="0"/>
      <w:marRight w:val="0"/>
      <w:marTop w:val="0"/>
      <w:marBottom w:val="0"/>
      <w:divBdr>
        <w:top w:val="none" w:sz="0" w:space="0" w:color="auto"/>
        <w:left w:val="none" w:sz="0" w:space="0" w:color="auto"/>
        <w:bottom w:val="none" w:sz="0" w:space="0" w:color="auto"/>
        <w:right w:val="none" w:sz="0" w:space="0" w:color="auto"/>
      </w:divBdr>
    </w:div>
    <w:div w:id="948508482">
      <w:bodyDiv w:val="1"/>
      <w:marLeft w:val="0"/>
      <w:marRight w:val="0"/>
      <w:marTop w:val="0"/>
      <w:marBottom w:val="0"/>
      <w:divBdr>
        <w:top w:val="none" w:sz="0" w:space="0" w:color="auto"/>
        <w:left w:val="none" w:sz="0" w:space="0" w:color="auto"/>
        <w:bottom w:val="none" w:sz="0" w:space="0" w:color="auto"/>
        <w:right w:val="none" w:sz="0" w:space="0" w:color="auto"/>
      </w:divBdr>
    </w:div>
    <w:div w:id="948699315">
      <w:bodyDiv w:val="1"/>
      <w:marLeft w:val="0"/>
      <w:marRight w:val="0"/>
      <w:marTop w:val="0"/>
      <w:marBottom w:val="0"/>
      <w:divBdr>
        <w:top w:val="none" w:sz="0" w:space="0" w:color="auto"/>
        <w:left w:val="none" w:sz="0" w:space="0" w:color="auto"/>
        <w:bottom w:val="none" w:sz="0" w:space="0" w:color="auto"/>
        <w:right w:val="none" w:sz="0" w:space="0" w:color="auto"/>
      </w:divBdr>
    </w:div>
    <w:div w:id="949506302">
      <w:bodyDiv w:val="1"/>
      <w:marLeft w:val="0"/>
      <w:marRight w:val="0"/>
      <w:marTop w:val="0"/>
      <w:marBottom w:val="0"/>
      <w:divBdr>
        <w:top w:val="none" w:sz="0" w:space="0" w:color="auto"/>
        <w:left w:val="none" w:sz="0" w:space="0" w:color="auto"/>
        <w:bottom w:val="none" w:sz="0" w:space="0" w:color="auto"/>
        <w:right w:val="none" w:sz="0" w:space="0" w:color="auto"/>
      </w:divBdr>
    </w:div>
    <w:div w:id="950629083">
      <w:bodyDiv w:val="1"/>
      <w:marLeft w:val="0"/>
      <w:marRight w:val="0"/>
      <w:marTop w:val="0"/>
      <w:marBottom w:val="0"/>
      <w:divBdr>
        <w:top w:val="none" w:sz="0" w:space="0" w:color="auto"/>
        <w:left w:val="none" w:sz="0" w:space="0" w:color="auto"/>
        <w:bottom w:val="none" w:sz="0" w:space="0" w:color="auto"/>
        <w:right w:val="none" w:sz="0" w:space="0" w:color="auto"/>
      </w:divBdr>
    </w:div>
    <w:div w:id="951085325">
      <w:bodyDiv w:val="1"/>
      <w:marLeft w:val="0"/>
      <w:marRight w:val="0"/>
      <w:marTop w:val="0"/>
      <w:marBottom w:val="0"/>
      <w:divBdr>
        <w:top w:val="none" w:sz="0" w:space="0" w:color="auto"/>
        <w:left w:val="none" w:sz="0" w:space="0" w:color="auto"/>
        <w:bottom w:val="none" w:sz="0" w:space="0" w:color="auto"/>
        <w:right w:val="none" w:sz="0" w:space="0" w:color="auto"/>
      </w:divBdr>
    </w:div>
    <w:div w:id="953438006">
      <w:bodyDiv w:val="1"/>
      <w:marLeft w:val="0"/>
      <w:marRight w:val="0"/>
      <w:marTop w:val="0"/>
      <w:marBottom w:val="0"/>
      <w:divBdr>
        <w:top w:val="none" w:sz="0" w:space="0" w:color="auto"/>
        <w:left w:val="none" w:sz="0" w:space="0" w:color="auto"/>
        <w:bottom w:val="none" w:sz="0" w:space="0" w:color="auto"/>
        <w:right w:val="none" w:sz="0" w:space="0" w:color="auto"/>
      </w:divBdr>
    </w:div>
    <w:div w:id="957177952">
      <w:bodyDiv w:val="1"/>
      <w:marLeft w:val="0"/>
      <w:marRight w:val="0"/>
      <w:marTop w:val="0"/>
      <w:marBottom w:val="0"/>
      <w:divBdr>
        <w:top w:val="none" w:sz="0" w:space="0" w:color="auto"/>
        <w:left w:val="none" w:sz="0" w:space="0" w:color="auto"/>
        <w:bottom w:val="none" w:sz="0" w:space="0" w:color="auto"/>
        <w:right w:val="none" w:sz="0" w:space="0" w:color="auto"/>
      </w:divBdr>
    </w:div>
    <w:div w:id="957222882">
      <w:bodyDiv w:val="1"/>
      <w:marLeft w:val="0"/>
      <w:marRight w:val="0"/>
      <w:marTop w:val="0"/>
      <w:marBottom w:val="0"/>
      <w:divBdr>
        <w:top w:val="none" w:sz="0" w:space="0" w:color="auto"/>
        <w:left w:val="none" w:sz="0" w:space="0" w:color="auto"/>
        <w:bottom w:val="none" w:sz="0" w:space="0" w:color="auto"/>
        <w:right w:val="none" w:sz="0" w:space="0" w:color="auto"/>
      </w:divBdr>
    </w:div>
    <w:div w:id="959190453">
      <w:bodyDiv w:val="1"/>
      <w:marLeft w:val="0"/>
      <w:marRight w:val="0"/>
      <w:marTop w:val="0"/>
      <w:marBottom w:val="0"/>
      <w:divBdr>
        <w:top w:val="none" w:sz="0" w:space="0" w:color="auto"/>
        <w:left w:val="none" w:sz="0" w:space="0" w:color="auto"/>
        <w:bottom w:val="none" w:sz="0" w:space="0" w:color="auto"/>
        <w:right w:val="none" w:sz="0" w:space="0" w:color="auto"/>
      </w:divBdr>
    </w:div>
    <w:div w:id="960769543">
      <w:bodyDiv w:val="1"/>
      <w:marLeft w:val="0"/>
      <w:marRight w:val="0"/>
      <w:marTop w:val="0"/>
      <w:marBottom w:val="0"/>
      <w:divBdr>
        <w:top w:val="none" w:sz="0" w:space="0" w:color="auto"/>
        <w:left w:val="none" w:sz="0" w:space="0" w:color="auto"/>
        <w:bottom w:val="none" w:sz="0" w:space="0" w:color="auto"/>
        <w:right w:val="none" w:sz="0" w:space="0" w:color="auto"/>
      </w:divBdr>
    </w:div>
    <w:div w:id="962925673">
      <w:bodyDiv w:val="1"/>
      <w:marLeft w:val="0"/>
      <w:marRight w:val="0"/>
      <w:marTop w:val="0"/>
      <w:marBottom w:val="0"/>
      <w:divBdr>
        <w:top w:val="none" w:sz="0" w:space="0" w:color="auto"/>
        <w:left w:val="none" w:sz="0" w:space="0" w:color="auto"/>
        <w:bottom w:val="none" w:sz="0" w:space="0" w:color="auto"/>
        <w:right w:val="none" w:sz="0" w:space="0" w:color="auto"/>
      </w:divBdr>
    </w:div>
    <w:div w:id="965351933">
      <w:bodyDiv w:val="1"/>
      <w:marLeft w:val="0"/>
      <w:marRight w:val="0"/>
      <w:marTop w:val="0"/>
      <w:marBottom w:val="0"/>
      <w:divBdr>
        <w:top w:val="none" w:sz="0" w:space="0" w:color="auto"/>
        <w:left w:val="none" w:sz="0" w:space="0" w:color="auto"/>
        <w:bottom w:val="none" w:sz="0" w:space="0" w:color="auto"/>
        <w:right w:val="none" w:sz="0" w:space="0" w:color="auto"/>
      </w:divBdr>
    </w:div>
    <w:div w:id="966424768">
      <w:bodyDiv w:val="1"/>
      <w:marLeft w:val="0"/>
      <w:marRight w:val="0"/>
      <w:marTop w:val="0"/>
      <w:marBottom w:val="0"/>
      <w:divBdr>
        <w:top w:val="none" w:sz="0" w:space="0" w:color="auto"/>
        <w:left w:val="none" w:sz="0" w:space="0" w:color="auto"/>
        <w:bottom w:val="none" w:sz="0" w:space="0" w:color="auto"/>
        <w:right w:val="none" w:sz="0" w:space="0" w:color="auto"/>
      </w:divBdr>
    </w:div>
    <w:div w:id="970599353">
      <w:bodyDiv w:val="1"/>
      <w:marLeft w:val="0"/>
      <w:marRight w:val="0"/>
      <w:marTop w:val="0"/>
      <w:marBottom w:val="0"/>
      <w:divBdr>
        <w:top w:val="none" w:sz="0" w:space="0" w:color="auto"/>
        <w:left w:val="none" w:sz="0" w:space="0" w:color="auto"/>
        <w:bottom w:val="none" w:sz="0" w:space="0" w:color="auto"/>
        <w:right w:val="none" w:sz="0" w:space="0" w:color="auto"/>
      </w:divBdr>
    </w:div>
    <w:div w:id="971250931">
      <w:bodyDiv w:val="1"/>
      <w:marLeft w:val="0"/>
      <w:marRight w:val="0"/>
      <w:marTop w:val="0"/>
      <w:marBottom w:val="0"/>
      <w:divBdr>
        <w:top w:val="none" w:sz="0" w:space="0" w:color="auto"/>
        <w:left w:val="none" w:sz="0" w:space="0" w:color="auto"/>
        <w:bottom w:val="none" w:sz="0" w:space="0" w:color="auto"/>
        <w:right w:val="none" w:sz="0" w:space="0" w:color="auto"/>
      </w:divBdr>
    </w:div>
    <w:div w:id="973558858">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974219522">
      <w:bodyDiv w:val="1"/>
      <w:marLeft w:val="0"/>
      <w:marRight w:val="0"/>
      <w:marTop w:val="0"/>
      <w:marBottom w:val="0"/>
      <w:divBdr>
        <w:top w:val="none" w:sz="0" w:space="0" w:color="auto"/>
        <w:left w:val="none" w:sz="0" w:space="0" w:color="auto"/>
        <w:bottom w:val="none" w:sz="0" w:space="0" w:color="auto"/>
        <w:right w:val="none" w:sz="0" w:space="0" w:color="auto"/>
      </w:divBdr>
    </w:div>
    <w:div w:id="974261574">
      <w:bodyDiv w:val="1"/>
      <w:marLeft w:val="0"/>
      <w:marRight w:val="0"/>
      <w:marTop w:val="0"/>
      <w:marBottom w:val="0"/>
      <w:divBdr>
        <w:top w:val="none" w:sz="0" w:space="0" w:color="auto"/>
        <w:left w:val="none" w:sz="0" w:space="0" w:color="auto"/>
        <w:bottom w:val="none" w:sz="0" w:space="0" w:color="auto"/>
        <w:right w:val="none" w:sz="0" w:space="0" w:color="auto"/>
      </w:divBdr>
    </w:div>
    <w:div w:id="975337412">
      <w:bodyDiv w:val="1"/>
      <w:marLeft w:val="0"/>
      <w:marRight w:val="0"/>
      <w:marTop w:val="0"/>
      <w:marBottom w:val="0"/>
      <w:divBdr>
        <w:top w:val="none" w:sz="0" w:space="0" w:color="auto"/>
        <w:left w:val="none" w:sz="0" w:space="0" w:color="auto"/>
        <w:bottom w:val="none" w:sz="0" w:space="0" w:color="auto"/>
        <w:right w:val="none" w:sz="0" w:space="0" w:color="auto"/>
      </w:divBdr>
    </w:div>
    <w:div w:id="976226156">
      <w:bodyDiv w:val="1"/>
      <w:marLeft w:val="0"/>
      <w:marRight w:val="0"/>
      <w:marTop w:val="0"/>
      <w:marBottom w:val="0"/>
      <w:divBdr>
        <w:top w:val="none" w:sz="0" w:space="0" w:color="auto"/>
        <w:left w:val="none" w:sz="0" w:space="0" w:color="auto"/>
        <w:bottom w:val="none" w:sz="0" w:space="0" w:color="auto"/>
        <w:right w:val="none" w:sz="0" w:space="0" w:color="auto"/>
      </w:divBdr>
    </w:div>
    <w:div w:id="978071557">
      <w:bodyDiv w:val="1"/>
      <w:marLeft w:val="0"/>
      <w:marRight w:val="0"/>
      <w:marTop w:val="0"/>
      <w:marBottom w:val="0"/>
      <w:divBdr>
        <w:top w:val="none" w:sz="0" w:space="0" w:color="auto"/>
        <w:left w:val="none" w:sz="0" w:space="0" w:color="auto"/>
        <w:bottom w:val="none" w:sz="0" w:space="0" w:color="auto"/>
        <w:right w:val="none" w:sz="0" w:space="0" w:color="auto"/>
      </w:divBdr>
    </w:div>
    <w:div w:id="980503182">
      <w:bodyDiv w:val="1"/>
      <w:marLeft w:val="0"/>
      <w:marRight w:val="0"/>
      <w:marTop w:val="0"/>
      <w:marBottom w:val="0"/>
      <w:divBdr>
        <w:top w:val="none" w:sz="0" w:space="0" w:color="auto"/>
        <w:left w:val="none" w:sz="0" w:space="0" w:color="auto"/>
        <w:bottom w:val="none" w:sz="0" w:space="0" w:color="auto"/>
        <w:right w:val="none" w:sz="0" w:space="0" w:color="auto"/>
      </w:divBdr>
    </w:div>
    <w:div w:id="980691801">
      <w:bodyDiv w:val="1"/>
      <w:marLeft w:val="0"/>
      <w:marRight w:val="0"/>
      <w:marTop w:val="0"/>
      <w:marBottom w:val="0"/>
      <w:divBdr>
        <w:top w:val="none" w:sz="0" w:space="0" w:color="auto"/>
        <w:left w:val="none" w:sz="0" w:space="0" w:color="auto"/>
        <w:bottom w:val="none" w:sz="0" w:space="0" w:color="auto"/>
        <w:right w:val="none" w:sz="0" w:space="0" w:color="auto"/>
      </w:divBdr>
    </w:div>
    <w:div w:id="981077835">
      <w:bodyDiv w:val="1"/>
      <w:marLeft w:val="0"/>
      <w:marRight w:val="0"/>
      <w:marTop w:val="0"/>
      <w:marBottom w:val="0"/>
      <w:divBdr>
        <w:top w:val="none" w:sz="0" w:space="0" w:color="auto"/>
        <w:left w:val="none" w:sz="0" w:space="0" w:color="auto"/>
        <w:bottom w:val="none" w:sz="0" w:space="0" w:color="auto"/>
        <w:right w:val="none" w:sz="0" w:space="0" w:color="auto"/>
      </w:divBdr>
    </w:div>
    <w:div w:id="981690409">
      <w:bodyDiv w:val="1"/>
      <w:marLeft w:val="0"/>
      <w:marRight w:val="0"/>
      <w:marTop w:val="0"/>
      <w:marBottom w:val="0"/>
      <w:divBdr>
        <w:top w:val="none" w:sz="0" w:space="0" w:color="auto"/>
        <w:left w:val="none" w:sz="0" w:space="0" w:color="auto"/>
        <w:bottom w:val="none" w:sz="0" w:space="0" w:color="auto"/>
        <w:right w:val="none" w:sz="0" w:space="0" w:color="auto"/>
      </w:divBdr>
    </w:div>
    <w:div w:id="982122945">
      <w:bodyDiv w:val="1"/>
      <w:marLeft w:val="0"/>
      <w:marRight w:val="0"/>
      <w:marTop w:val="0"/>
      <w:marBottom w:val="0"/>
      <w:divBdr>
        <w:top w:val="none" w:sz="0" w:space="0" w:color="auto"/>
        <w:left w:val="none" w:sz="0" w:space="0" w:color="auto"/>
        <w:bottom w:val="none" w:sz="0" w:space="0" w:color="auto"/>
        <w:right w:val="none" w:sz="0" w:space="0" w:color="auto"/>
      </w:divBdr>
    </w:div>
    <w:div w:id="985279437">
      <w:bodyDiv w:val="1"/>
      <w:marLeft w:val="0"/>
      <w:marRight w:val="0"/>
      <w:marTop w:val="0"/>
      <w:marBottom w:val="0"/>
      <w:divBdr>
        <w:top w:val="none" w:sz="0" w:space="0" w:color="auto"/>
        <w:left w:val="none" w:sz="0" w:space="0" w:color="auto"/>
        <w:bottom w:val="none" w:sz="0" w:space="0" w:color="auto"/>
        <w:right w:val="none" w:sz="0" w:space="0" w:color="auto"/>
      </w:divBdr>
    </w:div>
    <w:div w:id="985890478">
      <w:bodyDiv w:val="1"/>
      <w:marLeft w:val="0"/>
      <w:marRight w:val="0"/>
      <w:marTop w:val="0"/>
      <w:marBottom w:val="0"/>
      <w:divBdr>
        <w:top w:val="none" w:sz="0" w:space="0" w:color="auto"/>
        <w:left w:val="none" w:sz="0" w:space="0" w:color="auto"/>
        <w:bottom w:val="none" w:sz="0" w:space="0" w:color="auto"/>
        <w:right w:val="none" w:sz="0" w:space="0" w:color="auto"/>
      </w:divBdr>
    </w:div>
    <w:div w:id="985932477">
      <w:bodyDiv w:val="1"/>
      <w:marLeft w:val="0"/>
      <w:marRight w:val="0"/>
      <w:marTop w:val="0"/>
      <w:marBottom w:val="0"/>
      <w:divBdr>
        <w:top w:val="none" w:sz="0" w:space="0" w:color="auto"/>
        <w:left w:val="none" w:sz="0" w:space="0" w:color="auto"/>
        <w:bottom w:val="none" w:sz="0" w:space="0" w:color="auto"/>
        <w:right w:val="none" w:sz="0" w:space="0" w:color="auto"/>
      </w:divBdr>
    </w:div>
    <w:div w:id="986975285">
      <w:bodyDiv w:val="1"/>
      <w:marLeft w:val="0"/>
      <w:marRight w:val="0"/>
      <w:marTop w:val="0"/>
      <w:marBottom w:val="0"/>
      <w:divBdr>
        <w:top w:val="none" w:sz="0" w:space="0" w:color="auto"/>
        <w:left w:val="none" w:sz="0" w:space="0" w:color="auto"/>
        <w:bottom w:val="none" w:sz="0" w:space="0" w:color="auto"/>
        <w:right w:val="none" w:sz="0" w:space="0" w:color="auto"/>
      </w:divBdr>
    </w:div>
    <w:div w:id="993870396">
      <w:bodyDiv w:val="1"/>
      <w:marLeft w:val="0"/>
      <w:marRight w:val="0"/>
      <w:marTop w:val="0"/>
      <w:marBottom w:val="0"/>
      <w:divBdr>
        <w:top w:val="none" w:sz="0" w:space="0" w:color="auto"/>
        <w:left w:val="none" w:sz="0" w:space="0" w:color="auto"/>
        <w:bottom w:val="none" w:sz="0" w:space="0" w:color="auto"/>
        <w:right w:val="none" w:sz="0" w:space="0" w:color="auto"/>
      </w:divBdr>
    </w:div>
    <w:div w:id="998386484">
      <w:bodyDiv w:val="1"/>
      <w:marLeft w:val="0"/>
      <w:marRight w:val="0"/>
      <w:marTop w:val="0"/>
      <w:marBottom w:val="0"/>
      <w:divBdr>
        <w:top w:val="none" w:sz="0" w:space="0" w:color="auto"/>
        <w:left w:val="none" w:sz="0" w:space="0" w:color="auto"/>
        <w:bottom w:val="none" w:sz="0" w:space="0" w:color="auto"/>
        <w:right w:val="none" w:sz="0" w:space="0" w:color="auto"/>
      </w:divBdr>
    </w:div>
    <w:div w:id="1000501988">
      <w:bodyDiv w:val="1"/>
      <w:marLeft w:val="0"/>
      <w:marRight w:val="0"/>
      <w:marTop w:val="0"/>
      <w:marBottom w:val="0"/>
      <w:divBdr>
        <w:top w:val="none" w:sz="0" w:space="0" w:color="auto"/>
        <w:left w:val="none" w:sz="0" w:space="0" w:color="auto"/>
        <w:bottom w:val="none" w:sz="0" w:space="0" w:color="auto"/>
        <w:right w:val="none" w:sz="0" w:space="0" w:color="auto"/>
      </w:divBdr>
    </w:div>
    <w:div w:id="1001735314">
      <w:bodyDiv w:val="1"/>
      <w:marLeft w:val="0"/>
      <w:marRight w:val="0"/>
      <w:marTop w:val="0"/>
      <w:marBottom w:val="0"/>
      <w:divBdr>
        <w:top w:val="none" w:sz="0" w:space="0" w:color="auto"/>
        <w:left w:val="none" w:sz="0" w:space="0" w:color="auto"/>
        <w:bottom w:val="none" w:sz="0" w:space="0" w:color="auto"/>
        <w:right w:val="none" w:sz="0" w:space="0" w:color="auto"/>
      </w:divBdr>
    </w:div>
    <w:div w:id="1004012697">
      <w:bodyDiv w:val="1"/>
      <w:marLeft w:val="0"/>
      <w:marRight w:val="0"/>
      <w:marTop w:val="0"/>
      <w:marBottom w:val="0"/>
      <w:divBdr>
        <w:top w:val="none" w:sz="0" w:space="0" w:color="auto"/>
        <w:left w:val="none" w:sz="0" w:space="0" w:color="auto"/>
        <w:bottom w:val="none" w:sz="0" w:space="0" w:color="auto"/>
        <w:right w:val="none" w:sz="0" w:space="0" w:color="auto"/>
      </w:divBdr>
    </w:div>
    <w:div w:id="1010181982">
      <w:bodyDiv w:val="1"/>
      <w:marLeft w:val="0"/>
      <w:marRight w:val="0"/>
      <w:marTop w:val="0"/>
      <w:marBottom w:val="0"/>
      <w:divBdr>
        <w:top w:val="none" w:sz="0" w:space="0" w:color="auto"/>
        <w:left w:val="none" w:sz="0" w:space="0" w:color="auto"/>
        <w:bottom w:val="none" w:sz="0" w:space="0" w:color="auto"/>
        <w:right w:val="none" w:sz="0" w:space="0" w:color="auto"/>
      </w:divBdr>
    </w:div>
    <w:div w:id="1010252858">
      <w:bodyDiv w:val="1"/>
      <w:marLeft w:val="0"/>
      <w:marRight w:val="0"/>
      <w:marTop w:val="0"/>
      <w:marBottom w:val="0"/>
      <w:divBdr>
        <w:top w:val="none" w:sz="0" w:space="0" w:color="auto"/>
        <w:left w:val="none" w:sz="0" w:space="0" w:color="auto"/>
        <w:bottom w:val="none" w:sz="0" w:space="0" w:color="auto"/>
        <w:right w:val="none" w:sz="0" w:space="0" w:color="auto"/>
      </w:divBdr>
    </w:div>
    <w:div w:id="1011563834">
      <w:bodyDiv w:val="1"/>
      <w:marLeft w:val="0"/>
      <w:marRight w:val="0"/>
      <w:marTop w:val="0"/>
      <w:marBottom w:val="0"/>
      <w:divBdr>
        <w:top w:val="none" w:sz="0" w:space="0" w:color="auto"/>
        <w:left w:val="none" w:sz="0" w:space="0" w:color="auto"/>
        <w:bottom w:val="none" w:sz="0" w:space="0" w:color="auto"/>
        <w:right w:val="none" w:sz="0" w:space="0" w:color="auto"/>
      </w:divBdr>
    </w:div>
    <w:div w:id="1012494183">
      <w:bodyDiv w:val="1"/>
      <w:marLeft w:val="0"/>
      <w:marRight w:val="0"/>
      <w:marTop w:val="0"/>
      <w:marBottom w:val="0"/>
      <w:divBdr>
        <w:top w:val="none" w:sz="0" w:space="0" w:color="auto"/>
        <w:left w:val="none" w:sz="0" w:space="0" w:color="auto"/>
        <w:bottom w:val="none" w:sz="0" w:space="0" w:color="auto"/>
        <w:right w:val="none" w:sz="0" w:space="0" w:color="auto"/>
      </w:divBdr>
    </w:div>
    <w:div w:id="1012805291">
      <w:bodyDiv w:val="1"/>
      <w:marLeft w:val="0"/>
      <w:marRight w:val="0"/>
      <w:marTop w:val="0"/>
      <w:marBottom w:val="0"/>
      <w:divBdr>
        <w:top w:val="none" w:sz="0" w:space="0" w:color="auto"/>
        <w:left w:val="none" w:sz="0" w:space="0" w:color="auto"/>
        <w:bottom w:val="none" w:sz="0" w:space="0" w:color="auto"/>
        <w:right w:val="none" w:sz="0" w:space="0" w:color="auto"/>
      </w:divBdr>
    </w:div>
    <w:div w:id="1013000075">
      <w:bodyDiv w:val="1"/>
      <w:marLeft w:val="0"/>
      <w:marRight w:val="0"/>
      <w:marTop w:val="0"/>
      <w:marBottom w:val="0"/>
      <w:divBdr>
        <w:top w:val="none" w:sz="0" w:space="0" w:color="auto"/>
        <w:left w:val="none" w:sz="0" w:space="0" w:color="auto"/>
        <w:bottom w:val="none" w:sz="0" w:space="0" w:color="auto"/>
        <w:right w:val="none" w:sz="0" w:space="0" w:color="auto"/>
      </w:divBdr>
    </w:div>
    <w:div w:id="1013455383">
      <w:bodyDiv w:val="1"/>
      <w:marLeft w:val="0"/>
      <w:marRight w:val="0"/>
      <w:marTop w:val="0"/>
      <w:marBottom w:val="0"/>
      <w:divBdr>
        <w:top w:val="none" w:sz="0" w:space="0" w:color="auto"/>
        <w:left w:val="none" w:sz="0" w:space="0" w:color="auto"/>
        <w:bottom w:val="none" w:sz="0" w:space="0" w:color="auto"/>
        <w:right w:val="none" w:sz="0" w:space="0" w:color="auto"/>
      </w:divBdr>
    </w:div>
    <w:div w:id="1015032585">
      <w:bodyDiv w:val="1"/>
      <w:marLeft w:val="0"/>
      <w:marRight w:val="0"/>
      <w:marTop w:val="0"/>
      <w:marBottom w:val="0"/>
      <w:divBdr>
        <w:top w:val="none" w:sz="0" w:space="0" w:color="auto"/>
        <w:left w:val="none" w:sz="0" w:space="0" w:color="auto"/>
        <w:bottom w:val="none" w:sz="0" w:space="0" w:color="auto"/>
        <w:right w:val="none" w:sz="0" w:space="0" w:color="auto"/>
      </w:divBdr>
    </w:div>
    <w:div w:id="1015351629">
      <w:bodyDiv w:val="1"/>
      <w:marLeft w:val="0"/>
      <w:marRight w:val="0"/>
      <w:marTop w:val="0"/>
      <w:marBottom w:val="0"/>
      <w:divBdr>
        <w:top w:val="none" w:sz="0" w:space="0" w:color="auto"/>
        <w:left w:val="none" w:sz="0" w:space="0" w:color="auto"/>
        <w:bottom w:val="none" w:sz="0" w:space="0" w:color="auto"/>
        <w:right w:val="none" w:sz="0" w:space="0" w:color="auto"/>
      </w:divBdr>
    </w:div>
    <w:div w:id="1016346942">
      <w:bodyDiv w:val="1"/>
      <w:marLeft w:val="0"/>
      <w:marRight w:val="0"/>
      <w:marTop w:val="0"/>
      <w:marBottom w:val="0"/>
      <w:divBdr>
        <w:top w:val="none" w:sz="0" w:space="0" w:color="auto"/>
        <w:left w:val="none" w:sz="0" w:space="0" w:color="auto"/>
        <w:bottom w:val="none" w:sz="0" w:space="0" w:color="auto"/>
        <w:right w:val="none" w:sz="0" w:space="0" w:color="auto"/>
      </w:divBdr>
    </w:div>
    <w:div w:id="1016612720">
      <w:bodyDiv w:val="1"/>
      <w:marLeft w:val="0"/>
      <w:marRight w:val="0"/>
      <w:marTop w:val="0"/>
      <w:marBottom w:val="0"/>
      <w:divBdr>
        <w:top w:val="none" w:sz="0" w:space="0" w:color="auto"/>
        <w:left w:val="none" w:sz="0" w:space="0" w:color="auto"/>
        <w:bottom w:val="none" w:sz="0" w:space="0" w:color="auto"/>
        <w:right w:val="none" w:sz="0" w:space="0" w:color="auto"/>
      </w:divBdr>
    </w:div>
    <w:div w:id="1018855007">
      <w:bodyDiv w:val="1"/>
      <w:marLeft w:val="0"/>
      <w:marRight w:val="0"/>
      <w:marTop w:val="0"/>
      <w:marBottom w:val="0"/>
      <w:divBdr>
        <w:top w:val="none" w:sz="0" w:space="0" w:color="auto"/>
        <w:left w:val="none" w:sz="0" w:space="0" w:color="auto"/>
        <w:bottom w:val="none" w:sz="0" w:space="0" w:color="auto"/>
        <w:right w:val="none" w:sz="0" w:space="0" w:color="auto"/>
      </w:divBdr>
    </w:div>
    <w:div w:id="1020547811">
      <w:bodyDiv w:val="1"/>
      <w:marLeft w:val="0"/>
      <w:marRight w:val="0"/>
      <w:marTop w:val="0"/>
      <w:marBottom w:val="0"/>
      <w:divBdr>
        <w:top w:val="none" w:sz="0" w:space="0" w:color="auto"/>
        <w:left w:val="none" w:sz="0" w:space="0" w:color="auto"/>
        <w:bottom w:val="none" w:sz="0" w:space="0" w:color="auto"/>
        <w:right w:val="none" w:sz="0" w:space="0" w:color="auto"/>
      </w:divBdr>
    </w:div>
    <w:div w:id="1021006382">
      <w:bodyDiv w:val="1"/>
      <w:marLeft w:val="0"/>
      <w:marRight w:val="0"/>
      <w:marTop w:val="0"/>
      <w:marBottom w:val="0"/>
      <w:divBdr>
        <w:top w:val="none" w:sz="0" w:space="0" w:color="auto"/>
        <w:left w:val="none" w:sz="0" w:space="0" w:color="auto"/>
        <w:bottom w:val="none" w:sz="0" w:space="0" w:color="auto"/>
        <w:right w:val="none" w:sz="0" w:space="0" w:color="auto"/>
      </w:divBdr>
    </w:div>
    <w:div w:id="1021276159">
      <w:bodyDiv w:val="1"/>
      <w:marLeft w:val="0"/>
      <w:marRight w:val="0"/>
      <w:marTop w:val="0"/>
      <w:marBottom w:val="0"/>
      <w:divBdr>
        <w:top w:val="none" w:sz="0" w:space="0" w:color="auto"/>
        <w:left w:val="none" w:sz="0" w:space="0" w:color="auto"/>
        <w:bottom w:val="none" w:sz="0" w:space="0" w:color="auto"/>
        <w:right w:val="none" w:sz="0" w:space="0" w:color="auto"/>
      </w:divBdr>
    </w:div>
    <w:div w:id="1022124348">
      <w:bodyDiv w:val="1"/>
      <w:marLeft w:val="0"/>
      <w:marRight w:val="0"/>
      <w:marTop w:val="0"/>
      <w:marBottom w:val="0"/>
      <w:divBdr>
        <w:top w:val="none" w:sz="0" w:space="0" w:color="auto"/>
        <w:left w:val="none" w:sz="0" w:space="0" w:color="auto"/>
        <w:bottom w:val="none" w:sz="0" w:space="0" w:color="auto"/>
        <w:right w:val="none" w:sz="0" w:space="0" w:color="auto"/>
      </w:divBdr>
    </w:div>
    <w:div w:id="1023243347">
      <w:bodyDiv w:val="1"/>
      <w:marLeft w:val="0"/>
      <w:marRight w:val="0"/>
      <w:marTop w:val="0"/>
      <w:marBottom w:val="0"/>
      <w:divBdr>
        <w:top w:val="none" w:sz="0" w:space="0" w:color="auto"/>
        <w:left w:val="none" w:sz="0" w:space="0" w:color="auto"/>
        <w:bottom w:val="none" w:sz="0" w:space="0" w:color="auto"/>
        <w:right w:val="none" w:sz="0" w:space="0" w:color="auto"/>
      </w:divBdr>
    </w:div>
    <w:div w:id="1023628775">
      <w:bodyDiv w:val="1"/>
      <w:marLeft w:val="0"/>
      <w:marRight w:val="0"/>
      <w:marTop w:val="0"/>
      <w:marBottom w:val="0"/>
      <w:divBdr>
        <w:top w:val="none" w:sz="0" w:space="0" w:color="auto"/>
        <w:left w:val="none" w:sz="0" w:space="0" w:color="auto"/>
        <w:bottom w:val="none" w:sz="0" w:space="0" w:color="auto"/>
        <w:right w:val="none" w:sz="0" w:space="0" w:color="auto"/>
      </w:divBdr>
    </w:div>
    <w:div w:id="1024945104">
      <w:bodyDiv w:val="1"/>
      <w:marLeft w:val="0"/>
      <w:marRight w:val="0"/>
      <w:marTop w:val="0"/>
      <w:marBottom w:val="0"/>
      <w:divBdr>
        <w:top w:val="none" w:sz="0" w:space="0" w:color="auto"/>
        <w:left w:val="none" w:sz="0" w:space="0" w:color="auto"/>
        <w:bottom w:val="none" w:sz="0" w:space="0" w:color="auto"/>
        <w:right w:val="none" w:sz="0" w:space="0" w:color="auto"/>
      </w:divBdr>
    </w:div>
    <w:div w:id="1025207711">
      <w:bodyDiv w:val="1"/>
      <w:marLeft w:val="0"/>
      <w:marRight w:val="0"/>
      <w:marTop w:val="0"/>
      <w:marBottom w:val="0"/>
      <w:divBdr>
        <w:top w:val="none" w:sz="0" w:space="0" w:color="auto"/>
        <w:left w:val="none" w:sz="0" w:space="0" w:color="auto"/>
        <w:bottom w:val="none" w:sz="0" w:space="0" w:color="auto"/>
        <w:right w:val="none" w:sz="0" w:space="0" w:color="auto"/>
      </w:divBdr>
    </w:div>
    <w:div w:id="1027215709">
      <w:bodyDiv w:val="1"/>
      <w:marLeft w:val="0"/>
      <w:marRight w:val="0"/>
      <w:marTop w:val="0"/>
      <w:marBottom w:val="0"/>
      <w:divBdr>
        <w:top w:val="none" w:sz="0" w:space="0" w:color="auto"/>
        <w:left w:val="none" w:sz="0" w:space="0" w:color="auto"/>
        <w:bottom w:val="none" w:sz="0" w:space="0" w:color="auto"/>
        <w:right w:val="none" w:sz="0" w:space="0" w:color="auto"/>
      </w:divBdr>
    </w:div>
    <w:div w:id="1027220142">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31035430">
      <w:bodyDiv w:val="1"/>
      <w:marLeft w:val="0"/>
      <w:marRight w:val="0"/>
      <w:marTop w:val="0"/>
      <w:marBottom w:val="0"/>
      <w:divBdr>
        <w:top w:val="none" w:sz="0" w:space="0" w:color="auto"/>
        <w:left w:val="none" w:sz="0" w:space="0" w:color="auto"/>
        <w:bottom w:val="none" w:sz="0" w:space="0" w:color="auto"/>
        <w:right w:val="none" w:sz="0" w:space="0" w:color="auto"/>
      </w:divBdr>
    </w:div>
    <w:div w:id="1031688025">
      <w:bodyDiv w:val="1"/>
      <w:marLeft w:val="0"/>
      <w:marRight w:val="0"/>
      <w:marTop w:val="0"/>
      <w:marBottom w:val="0"/>
      <w:divBdr>
        <w:top w:val="none" w:sz="0" w:space="0" w:color="auto"/>
        <w:left w:val="none" w:sz="0" w:space="0" w:color="auto"/>
        <w:bottom w:val="none" w:sz="0" w:space="0" w:color="auto"/>
        <w:right w:val="none" w:sz="0" w:space="0" w:color="auto"/>
      </w:divBdr>
    </w:div>
    <w:div w:id="1035352450">
      <w:bodyDiv w:val="1"/>
      <w:marLeft w:val="0"/>
      <w:marRight w:val="0"/>
      <w:marTop w:val="0"/>
      <w:marBottom w:val="0"/>
      <w:divBdr>
        <w:top w:val="none" w:sz="0" w:space="0" w:color="auto"/>
        <w:left w:val="none" w:sz="0" w:space="0" w:color="auto"/>
        <w:bottom w:val="none" w:sz="0" w:space="0" w:color="auto"/>
        <w:right w:val="none" w:sz="0" w:space="0" w:color="auto"/>
      </w:divBdr>
    </w:div>
    <w:div w:id="1036740320">
      <w:bodyDiv w:val="1"/>
      <w:marLeft w:val="0"/>
      <w:marRight w:val="0"/>
      <w:marTop w:val="0"/>
      <w:marBottom w:val="0"/>
      <w:divBdr>
        <w:top w:val="none" w:sz="0" w:space="0" w:color="auto"/>
        <w:left w:val="none" w:sz="0" w:space="0" w:color="auto"/>
        <w:bottom w:val="none" w:sz="0" w:space="0" w:color="auto"/>
        <w:right w:val="none" w:sz="0" w:space="0" w:color="auto"/>
      </w:divBdr>
    </w:div>
    <w:div w:id="1036929061">
      <w:bodyDiv w:val="1"/>
      <w:marLeft w:val="0"/>
      <w:marRight w:val="0"/>
      <w:marTop w:val="0"/>
      <w:marBottom w:val="0"/>
      <w:divBdr>
        <w:top w:val="none" w:sz="0" w:space="0" w:color="auto"/>
        <w:left w:val="none" w:sz="0" w:space="0" w:color="auto"/>
        <w:bottom w:val="none" w:sz="0" w:space="0" w:color="auto"/>
        <w:right w:val="none" w:sz="0" w:space="0" w:color="auto"/>
      </w:divBdr>
    </w:div>
    <w:div w:id="1037050522">
      <w:bodyDiv w:val="1"/>
      <w:marLeft w:val="0"/>
      <w:marRight w:val="0"/>
      <w:marTop w:val="0"/>
      <w:marBottom w:val="0"/>
      <w:divBdr>
        <w:top w:val="none" w:sz="0" w:space="0" w:color="auto"/>
        <w:left w:val="none" w:sz="0" w:space="0" w:color="auto"/>
        <w:bottom w:val="none" w:sz="0" w:space="0" w:color="auto"/>
        <w:right w:val="none" w:sz="0" w:space="0" w:color="auto"/>
      </w:divBdr>
    </w:div>
    <w:div w:id="1037051566">
      <w:bodyDiv w:val="1"/>
      <w:marLeft w:val="0"/>
      <w:marRight w:val="0"/>
      <w:marTop w:val="0"/>
      <w:marBottom w:val="0"/>
      <w:divBdr>
        <w:top w:val="none" w:sz="0" w:space="0" w:color="auto"/>
        <w:left w:val="none" w:sz="0" w:space="0" w:color="auto"/>
        <w:bottom w:val="none" w:sz="0" w:space="0" w:color="auto"/>
        <w:right w:val="none" w:sz="0" w:space="0" w:color="auto"/>
      </w:divBdr>
    </w:div>
    <w:div w:id="1037702619">
      <w:bodyDiv w:val="1"/>
      <w:marLeft w:val="0"/>
      <w:marRight w:val="0"/>
      <w:marTop w:val="0"/>
      <w:marBottom w:val="0"/>
      <w:divBdr>
        <w:top w:val="none" w:sz="0" w:space="0" w:color="auto"/>
        <w:left w:val="none" w:sz="0" w:space="0" w:color="auto"/>
        <w:bottom w:val="none" w:sz="0" w:space="0" w:color="auto"/>
        <w:right w:val="none" w:sz="0" w:space="0" w:color="auto"/>
      </w:divBdr>
    </w:div>
    <w:div w:id="1038117097">
      <w:bodyDiv w:val="1"/>
      <w:marLeft w:val="0"/>
      <w:marRight w:val="0"/>
      <w:marTop w:val="0"/>
      <w:marBottom w:val="0"/>
      <w:divBdr>
        <w:top w:val="none" w:sz="0" w:space="0" w:color="auto"/>
        <w:left w:val="none" w:sz="0" w:space="0" w:color="auto"/>
        <w:bottom w:val="none" w:sz="0" w:space="0" w:color="auto"/>
        <w:right w:val="none" w:sz="0" w:space="0" w:color="auto"/>
      </w:divBdr>
    </w:div>
    <w:div w:id="1038702334">
      <w:bodyDiv w:val="1"/>
      <w:marLeft w:val="0"/>
      <w:marRight w:val="0"/>
      <w:marTop w:val="0"/>
      <w:marBottom w:val="0"/>
      <w:divBdr>
        <w:top w:val="none" w:sz="0" w:space="0" w:color="auto"/>
        <w:left w:val="none" w:sz="0" w:space="0" w:color="auto"/>
        <w:bottom w:val="none" w:sz="0" w:space="0" w:color="auto"/>
        <w:right w:val="none" w:sz="0" w:space="0" w:color="auto"/>
      </w:divBdr>
    </w:div>
    <w:div w:id="1040282773">
      <w:bodyDiv w:val="1"/>
      <w:marLeft w:val="0"/>
      <w:marRight w:val="0"/>
      <w:marTop w:val="0"/>
      <w:marBottom w:val="0"/>
      <w:divBdr>
        <w:top w:val="none" w:sz="0" w:space="0" w:color="auto"/>
        <w:left w:val="none" w:sz="0" w:space="0" w:color="auto"/>
        <w:bottom w:val="none" w:sz="0" w:space="0" w:color="auto"/>
        <w:right w:val="none" w:sz="0" w:space="0" w:color="auto"/>
      </w:divBdr>
    </w:div>
    <w:div w:id="1042753754">
      <w:bodyDiv w:val="1"/>
      <w:marLeft w:val="0"/>
      <w:marRight w:val="0"/>
      <w:marTop w:val="0"/>
      <w:marBottom w:val="0"/>
      <w:divBdr>
        <w:top w:val="none" w:sz="0" w:space="0" w:color="auto"/>
        <w:left w:val="none" w:sz="0" w:space="0" w:color="auto"/>
        <w:bottom w:val="none" w:sz="0" w:space="0" w:color="auto"/>
        <w:right w:val="none" w:sz="0" w:space="0" w:color="auto"/>
      </w:divBdr>
    </w:div>
    <w:div w:id="1046369250">
      <w:bodyDiv w:val="1"/>
      <w:marLeft w:val="0"/>
      <w:marRight w:val="0"/>
      <w:marTop w:val="0"/>
      <w:marBottom w:val="0"/>
      <w:divBdr>
        <w:top w:val="none" w:sz="0" w:space="0" w:color="auto"/>
        <w:left w:val="none" w:sz="0" w:space="0" w:color="auto"/>
        <w:bottom w:val="none" w:sz="0" w:space="0" w:color="auto"/>
        <w:right w:val="none" w:sz="0" w:space="0" w:color="auto"/>
      </w:divBdr>
    </w:div>
    <w:div w:id="1049887141">
      <w:bodyDiv w:val="1"/>
      <w:marLeft w:val="0"/>
      <w:marRight w:val="0"/>
      <w:marTop w:val="0"/>
      <w:marBottom w:val="0"/>
      <w:divBdr>
        <w:top w:val="none" w:sz="0" w:space="0" w:color="auto"/>
        <w:left w:val="none" w:sz="0" w:space="0" w:color="auto"/>
        <w:bottom w:val="none" w:sz="0" w:space="0" w:color="auto"/>
        <w:right w:val="none" w:sz="0" w:space="0" w:color="auto"/>
      </w:divBdr>
    </w:div>
    <w:div w:id="1050301428">
      <w:bodyDiv w:val="1"/>
      <w:marLeft w:val="0"/>
      <w:marRight w:val="0"/>
      <w:marTop w:val="0"/>
      <w:marBottom w:val="0"/>
      <w:divBdr>
        <w:top w:val="none" w:sz="0" w:space="0" w:color="auto"/>
        <w:left w:val="none" w:sz="0" w:space="0" w:color="auto"/>
        <w:bottom w:val="none" w:sz="0" w:space="0" w:color="auto"/>
        <w:right w:val="none" w:sz="0" w:space="0" w:color="auto"/>
      </w:divBdr>
    </w:div>
    <w:div w:id="1052539154">
      <w:bodyDiv w:val="1"/>
      <w:marLeft w:val="0"/>
      <w:marRight w:val="0"/>
      <w:marTop w:val="0"/>
      <w:marBottom w:val="0"/>
      <w:divBdr>
        <w:top w:val="none" w:sz="0" w:space="0" w:color="auto"/>
        <w:left w:val="none" w:sz="0" w:space="0" w:color="auto"/>
        <w:bottom w:val="none" w:sz="0" w:space="0" w:color="auto"/>
        <w:right w:val="none" w:sz="0" w:space="0" w:color="auto"/>
      </w:divBdr>
    </w:div>
    <w:div w:id="1055154842">
      <w:bodyDiv w:val="1"/>
      <w:marLeft w:val="0"/>
      <w:marRight w:val="0"/>
      <w:marTop w:val="0"/>
      <w:marBottom w:val="0"/>
      <w:divBdr>
        <w:top w:val="none" w:sz="0" w:space="0" w:color="auto"/>
        <w:left w:val="none" w:sz="0" w:space="0" w:color="auto"/>
        <w:bottom w:val="none" w:sz="0" w:space="0" w:color="auto"/>
        <w:right w:val="none" w:sz="0" w:space="0" w:color="auto"/>
      </w:divBdr>
    </w:div>
    <w:div w:id="1055275778">
      <w:bodyDiv w:val="1"/>
      <w:marLeft w:val="0"/>
      <w:marRight w:val="0"/>
      <w:marTop w:val="0"/>
      <w:marBottom w:val="0"/>
      <w:divBdr>
        <w:top w:val="none" w:sz="0" w:space="0" w:color="auto"/>
        <w:left w:val="none" w:sz="0" w:space="0" w:color="auto"/>
        <w:bottom w:val="none" w:sz="0" w:space="0" w:color="auto"/>
        <w:right w:val="none" w:sz="0" w:space="0" w:color="auto"/>
      </w:divBdr>
    </w:div>
    <w:div w:id="1056122985">
      <w:bodyDiv w:val="1"/>
      <w:marLeft w:val="0"/>
      <w:marRight w:val="0"/>
      <w:marTop w:val="0"/>
      <w:marBottom w:val="0"/>
      <w:divBdr>
        <w:top w:val="none" w:sz="0" w:space="0" w:color="auto"/>
        <w:left w:val="none" w:sz="0" w:space="0" w:color="auto"/>
        <w:bottom w:val="none" w:sz="0" w:space="0" w:color="auto"/>
        <w:right w:val="none" w:sz="0" w:space="0" w:color="auto"/>
      </w:divBdr>
    </w:div>
    <w:div w:id="1058479694">
      <w:bodyDiv w:val="1"/>
      <w:marLeft w:val="0"/>
      <w:marRight w:val="0"/>
      <w:marTop w:val="0"/>
      <w:marBottom w:val="0"/>
      <w:divBdr>
        <w:top w:val="none" w:sz="0" w:space="0" w:color="auto"/>
        <w:left w:val="none" w:sz="0" w:space="0" w:color="auto"/>
        <w:bottom w:val="none" w:sz="0" w:space="0" w:color="auto"/>
        <w:right w:val="none" w:sz="0" w:space="0" w:color="auto"/>
      </w:divBdr>
    </w:div>
    <w:div w:id="1061296474">
      <w:bodyDiv w:val="1"/>
      <w:marLeft w:val="0"/>
      <w:marRight w:val="0"/>
      <w:marTop w:val="0"/>
      <w:marBottom w:val="0"/>
      <w:divBdr>
        <w:top w:val="none" w:sz="0" w:space="0" w:color="auto"/>
        <w:left w:val="none" w:sz="0" w:space="0" w:color="auto"/>
        <w:bottom w:val="none" w:sz="0" w:space="0" w:color="auto"/>
        <w:right w:val="none" w:sz="0" w:space="0" w:color="auto"/>
      </w:divBdr>
    </w:div>
    <w:div w:id="1064067935">
      <w:bodyDiv w:val="1"/>
      <w:marLeft w:val="0"/>
      <w:marRight w:val="0"/>
      <w:marTop w:val="0"/>
      <w:marBottom w:val="0"/>
      <w:divBdr>
        <w:top w:val="none" w:sz="0" w:space="0" w:color="auto"/>
        <w:left w:val="none" w:sz="0" w:space="0" w:color="auto"/>
        <w:bottom w:val="none" w:sz="0" w:space="0" w:color="auto"/>
        <w:right w:val="none" w:sz="0" w:space="0" w:color="auto"/>
      </w:divBdr>
    </w:div>
    <w:div w:id="1064568457">
      <w:bodyDiv w:val="1"/>
      <w:marLeft w:val="0"/>
      <w:marRight w:val="0"/>
      <w:marTop w:val="0"/>
      <w:marBottom w:val="0"/>
      <w:divBdr>
        <w:top w:val="none" w:sz="0" w:space="0" w:color="auto"/>
        <w:left w:val="none" w:sz="0" w:space="0" w:color="auto"/>
        <w:bottom w:val="none" w:sz="0" w:space="0" w:color="auto"/>
        <w:right w:val="none" w:sz="0" w:space="0" w:color="auto"/>
      </w:divBdr>
    </w:div>
    <w:div w:id="1064915026">
      <w:bodyDiv w:val="1"/>
      <w:marLeft w:val="0"/>
      <w:marRight w:val="0"/>
      <w:marTop w:val="0"/>
      <w:marBottom w:val="0"/>
      <w:divBdr>
        <w:top w:val="none" w:sz="0" w:space="0" w:color="auto"/>
        <w:left w:val="none" w:sz="0" w:space="0" w:color="auto"/>
        <w:bottom w:val="none" w:sz="0" w:space="0" w:color="auto"/>
        <w:right w:val="none" w:sz="0" w:space="0" w:color="auto"/>
      </w:divBdr>
    </w:div>
    <w:div w:id="1065107624">
      <w:bodyDiv w:val="1"/>
      <w:marLeft w:val="0"/>
      <w:marRight w:val="0"/>
      <w:marTop w:val="0"/>
      <w:marBottom w:val="0"/>
      <w:divBdr>
        <w:top w:val="none" w:sz="0" w:space="0" w:color="auto"/>
        <w:left w:val="none" w:sz="0" w:space="0" w:color="auto"/>
        <w:bottom w:val="none" w:sz="0" w:space="0" w:color="auto"/>
        <w:right w:val="none" w:sz="0" w:space="0" w:color="auto"/>
      </w:divBdr>
    </w:div>
    <w:div w:id="1065880037">
      <w:bodyDiv w:val="1"/>
      <w:marLeft w:val="0"/>
      <w:marRight w:val="0"/>
      <w:marTop w:val="0"/>
      <w:marBottom w:val="0"/>
      <w:divBdr>
        <w:top w:val="none" w:sz="0" w:space="0" w:color="auto"/>
        <w:left w:val="none" w:sz="0" w:space="0" w:color="auto"/>
        <w:bottom w:val="none" w:sz="0" w:space="0" w:color="auto"/>
        <w:right w:val="none" w:sz="0" w:space="0" w:color="auto"/>
      </w:divBdr>
    </w:div>
    <w:div w:id="1067075610">
      <w:bodyDiv w:val="1"/>
      <w:marLeft w:val="0"/>
      <w:marRight w:val="0"/>
      <w:marTop w:val="0"/>
      <w:marBottom w:val="0"/>
      <w:divBdr>
        <w:top w:val="none" w:sz="0" w:space="0" w:color="auto"/>
        <w:left w:val="none" w:sz="0" w:space="0" w:color="auto"/>
        <w:bottom w:val="none" w:sz="0" w:space="0" w:color="auto"/>
        <w:right w:val="none" w:sz="0" w:space="0" w:color="auto"/>
      </w:divBdr>
    </w:div>
    <w:div w:id="1067998018">
      <w:bodyDiv w:val="1"/>
      <w:marLeft w:val="0"/>
      <w:marRight w:val="0"/>
      <w:marTop w:val="0"/>
      <w:marBottom w:val="0"/>
      <w:divBdr>
        <w:top w:val="none" w:sz="0" w:space="0" w:color="auto"/>
        <w:left w:val="none" w:sz="0" w:space="0" w:color="auto"/>
        <w:bottom w:val="none" w:sz="0" w:space="0" w:color="auto"/>
        <w:right w:val="none" w:sz="0" w:space="0" w:color="auto"/>
      </w:divBdr>
    </w:div>
    <w:div w:id="1068311126">
      <w:bodyDiv w:val="1"/>
      <w:marLeft w:val="0"/>
      <w:marRight w:val="0"/>
      <w:marTop w:val="0"/>
      <w:marBottom w:val="0"/>
      <w:divBdr>
        <w:top w:val="none" w:sz="0" w:space="0" w:color="auto"/>
        <w:left w:val="none" w:sz="0" w:space="0" w:color="auto"/>
        <w:bottom w:val="none" w:sz="0" w:space="0" w:color="auto"/>
        <w:right w:val="none" w:sz="0" w:space="0" w:color="auto"/>
      </w:divBdr>
    </w:div>
    <w:div w:id="1068382878">
      <w:bodyDiv w:val="1"/>
      <w:marLeft w:val="0"/>
      <w:marRight w:val="0"/>
      <w:marTop w:val="0"/>
      <w:marBottom w:val="0"/>
      <w:divBdr>
        <w:top w:val="none" w:sz="0" w:space="0" w:color="auto"/>
        <w:left w:val="none" w:sz="0" w:space="0" w:color="auto"/>
        <w:bottom w:val="none" w:sz="0" w:space="0" w:color="auto"/>
        <w:right w:val="none" w:sz="0" w:space="0" w:color="auto"/>
      </w:divBdr>
    </w:div>
    <w:div w:id="1068572621">
      <w:bodyDiv w:val="1"/>
      <w:marLeft w:val="0"/>
      <w:marRight w:val="0"/>
      <w:marTop w:val="0"/>
      <w:marBottom w:val="0"/>
      <w:divBdr>
        <w:top w:val="none" w:sz="0" w:space="0" w:color="auto"/>
        <w:left w:val="none" w:sz="0" w:space="0" w:color="auto"/>
        <w:bottom w:val="none" w:sz="0" w:space="0" w:color="auto"/>
        <w:right w:val="none" w:sz="0" w:space="0" w:color="auto"/>
      </w:divBdr>
    </w:div>
    <w:div w:id="1070541021">
      <w:bodyDiv w:val="1"/>
      <w:marLeft w:val="0"/>
      <w:marRight w:val="0"/>
      <w:marTop w:val="0"/>
      <w:marBottom w:val="0"/>
      <w:divBdr>
        <w:top w:val="none" w:sz="0" w:space="0" w:color="auto"/>
        <w:left w:val="none" w:sz="0" w:space="0" w:color="auto"/>
        <w:bottom w:val="none" w:sz="0" w:space="0" w:color="auto"/>
        <w:right w:val="none" w:sz="0" w:space="0" w:color="auto"/>
      </w:divBdr>
    </w:div>
    <w:div w:id="1071194135">
      <w:bodyDiv w:val="1"/>
      <w:marLeft w:val="0"/>
      <w:marRight w:val="0"/>
      <w:marTop w:val="0"/>
      <w:marBottom w:val="0"/>
      <w:divBdr>
        <w:top w:val="none" w:sz="0" w:space="0" w:color="auto"/>
        <w:left w:val="none" w:sz="0" w:space="0" w:color="auto"/>
        <w:bottom w:val="none" w:sz="0" w:space="0" w:color="auto"/>
        <w:right w:val="none" w:sz="0" w:space="0" w:color="auto"/>
      </w:divBdr>
    </w:div>
    <w:div w:id="1071587011">
      <w:bodyDiv w:val="1"/>
      <w:marLeft w:val="0"/>
      <w:marRight w:val="0"/>
      <w:marTop w:val="0"/>
      <w:marBottom w:val="0"/>
      <w:divBdr>
        <w:top w:val="none" w:sz="0" w:space="0" w:color="auto"/>
        <w:left w:val="none" w:sz="0" w:space="0" w:color="auto"/>
        <w:bottom w:val="none" w:sz="0" w:space="0" w:color="auto"/>
        <w:right w:val="none" w:sz="0" w:space="0" w:color="auto"/>
      </w:divBdr>
    </w:div>
    <w:div w:id="1073160436">
      <w:bodyDiv w:val="1"/>
      <w:marLeft w:val="0"/>
      <w:marRight w:val="0"/>
      <w:marTop w:val="0"/>
      <w:marBottom w:val="0"/>
      <w:divBdr>
        <w:top w:val="none" w:sz="0" w:space="0" w:color="auto"/>
        <w:left w:val="none" w:sz="0" w:space="0" w:color="auto"/>
        <w:bottom w:val="none" w:sz="0" w:space="0" w:color="auto"/>
        <w:right w:val="none" w:sz="0" w:space="0" w:color="auto"/>
      </w:divBdr>
    </w:div>
    <w:div w:id="1074201038">
      <w:bodyDiv w:val="1"/>
      <w:marLeft w:val="0"/>
      <w:marRight w:val="0"/>
      <w:marTop w:val="0"/>
      <w:marBottom w:val="0"/>
      <w:divBdr>
        <w:top w:val="none" w:sz="0" w:space="0" w:color="auto"/>
        <w:left w:val="none" w:sz="0" w:space="0" w:color="auto"/>
        <w:bottom w:val="none" w:sz="0" w:space="0" w:color="auto"/>
        <w:right w:val="none" w:sz="0" w:space="0" w:color="auto"/>
      </w:divBdr>
    </w:div>
    <w:div w:id="1074359389">
      <w:bodyDiv w:val="1"/>
      <w:marLeft w:val="0"/>
      <w:marRight w:val="0"/>
      <w:marTop w:val="0"/>
      <w:marBottom w:val="0"/>
      <w:divBdr>
        <w:top w:val="none" w:sz="0" w:space="0" w:color="auto"/>
        <w:left w:val="none" w:sz="0" w:space="0" w:color="auto"/>
        <w:bottom w:val="none" w:sz="0" w:space="0" w:color="auto"/>
        <w:right w:val="none" w:sz="0" w:space="0" w:color="auto"/>
      </w:divBdr>
    </w:div>
    <w:div w:id="1075203427">
      <w:bodyDiv w:val="1"/>
      <w:marLeft w:val="0"/>
      <w:marRight w:val="0"/>
      <w:marTop w:val="0"/>
      <w:marBottom w:val="0"/>
      <w:divBdr>
        <w:top w:val="none" w:sz="0" w:space="0" w:color="auto"/>
        <w:left w:val="none" w:sz="0" w:space="0" w:color="auto"/>
        <w:bottom w:val="none" w:sz="0" w:space="0" w:color="auto"/>
        <w:right w:val="none" w:sz="0" w:space="0" w:color="auto"/>
      </w:divBdr>
    </w:div>
    <w:div w:id="1076980711">
      <w:bodyDiv w:val="1"/>
      <w:marLeft w:val="0"/>
      <w:marRight w:val="0"/>
      <w:marTop w:val="0"/>
      <w:marBottom w:val="0"/>
      <w:divBdr>
        <w:top w:val="none" w:sz="0" w:space="0" w:color="auto"/>
        <w:left w:val="none" w:sz="0" w:space="0" w:color="auto"/>
        <w:bottom w:val="none" w:sz="0" w:space="0" w:color="auto"/>
        <w:right w:val="none" w:sz="0" w:space="0" w:color="auto"/>
      </w:divBdr>
    </w:div>
    <w:div w:id="1077751852">
      <w:bodyDiv w:val="1"/>
      <w:marLeft w:val="0"/>
      <w:marRight w:val="0"/>
      <w:marTop w:val="0"/>
      <w:marBottom w:val="0"/>
      <w:divBdr>
        <w:top w:val="none" w:sz="0" w:space="0" w:color="auto"/>
        <w:left w:val="none" w:sz="0" w:space="0" w:color="auto"/>
        <w:bottom w:val="none" w:sz="0" w:space="0" w:color="auto"/>
        <w:right w:val="none" w:sz="0" w:space="0" w:color="auto"/>
      </w:divBdr>
    </w:div>
    <w:div w:id="1078022563">
      <w:bodyDiv w:val="1"/>
      <w:marLeft w:val="0"/>
      <w:marRight w:val="0"/>
      <w:marTop w:val="0"/>
      <w:marBottom w:val="0"/>
      <w:divBdr>
        <w:top w:val="none" w:sz="0" w:space="0" w:color="auto"/>
        <w:left w:val="none" w:sz="0" w:space="0" w:color="auto"/>
        <w:bottom w:val="none" w:sz="0" w:space="0" w:color="auto"/>
        <w:right w:val="none" w:sz="0" w:space="0" w:color="auto"/>
      </w:divBdr>
    </w:div>
    <w:div w:id="1078554956">
      <w:bodyDiv w:val="1"/>
      <w:marLeft w:val="0"/>
      <w:marRight w:val="0"/>
      <w:marTop w:val="0"/>
      <w:marBottom w:val="0"/>
      <w:divBdr>
        <w:top w:val="none" w:sz="0" w:space="0" w:color="auto"/>
        <w:left w:val="none" w:sz="0" w:space="0" w:color="auto"/>
        <w:bottom w:val="none" w:sz="0" w:space="0" w:color="auto"/>
        <w:right w:val="none" w:sz="0" w:space="0" w:color="auto"/>
      </w:divBdr>
    </w:div>
    <w:div w:id="1079641643">
      <w:bodyDiv w:val="1"/>
      <w:marLeft w:val="0"/>
      <w:marRight w:val="0"/>
      <w:marTop w:val="0"/>
      <w:marBottom w:val="0"/>
      <w:divBdr>
        <w:top w:val="none" w:sz="0" w:space="0" w:color="auto"/>
        <w:left w:val="none" w:sz="0" w:space="0" w:color="auto"/>
        <w:bottom w:val="none" w:sz="0" w:space="0" w:color="auto"/>
        <w:right w:val="none" w:sz="0" w:space="0" w:color="auto"/>
      </w:divBdr>
    </w:div>
    <w:div w:id="1079866470">
      <w:bodyDiv w:val="1"/>
      <w:marLeft w:val="0"/>
      <w:marRight w:val="0"/>
      <w:marTop w:val="0"/>
      <w:marBottom w:val="0"/>
      <w:divBdr>
        <w:top w:val="none" w:sz="0" w:space="0" w:color="auto"/>
        <w:left w:val="none" w:sz="0" w:space="0" w:color="auto"/>
        <w:bottom w:val="none" w:sz="0" w:space="0" w:color="auto"/>
        <w:right w:val="none" w:sz="0" w:space="0" w:color="auto"/>
      </w:divBdr>
    </w:div>
    <w:div w:id="1082141696">
      <w:bodyDiv w:val="1"/>
      <w:marLeft w:val="0"/>
      <w:marRight w:val="0"/>
      <w:marTop w:val="0"/>
      <w:marBottom w:val="0"/>
      <w:divBdr>
        <w:top w:val="none" w:sz="0" w:space="0" w:color="auto"/>
        <w:left w:val="none" w:sz="0" w:space="0" w:color="auto"/>
        <w:bottom w:val="none" w:sz="0" w:space="0" w:color="auto"/>
        <w:right w:val="none" w:sz="0" w:space="0" w:color="auto"/>
      </w:divBdr>
    </w:div>
    <w:div w:id="1082725783">
      <w:bodyDiv w:val="1"/>
      <w:marLeft w:val="0"/>
      <w:marRight w:val="0"/>
      <w:marTop w:val="0"/>
      <w:marBottom w:val="0"/>
      <w:divBdr>
        <w:top w:val="none" w:sz="0" w:space="0" w:color="auto"/>
        <w:left w:val="none" w:sz="0" w:space="0" w:color="auto"/>
        <w:bottom w:val="none" w:sz="0" w:space="0" w:color="auto"/>
        <w:right w:val="none" w:sz="0" w:space="0" w:color="auto"/>
      </w:divBdr>
    </w:div>
    <w:div w:id="1082989094">
      <w:bodyDiv w:val="1"/>
      <w:marLeft w:val="0"/>
      <w:marRight w:val="0"/>
      <w:marTop w:val="0"/>
      <w:marBottom w:val="0"/>
      <w:divBdr>
        <w:top w:val="none" w:sz="0" w:space="0" w:color="auto"/>
        <w:left w:val="none" w:sz="0" w:space="0" w:color="auto"/>
        <w:bottom w:val="none" w:sz="0" w:space="0" w:color="auto"/>
        <w:right w:val="none" w:sz="0" w:space="0" w:color="auto"/>
      </w:divBdr>
    </w:div>
    <w:div w:id="1083262111">
      <w:bodyDiv w:val="1"/>
      <w:marLeft w:val="0"/>
      <w:marRight w:val="0"/>
      <w:marTop w:val="0"/>
      <w:marBottom w:val="0"/>
      <w:divBdr>
        <w:top w:val="none" w:sz="0" w:space="0" w:color="auto"/>
        <w:left w:val="none" w:sz="0" w:space="0" w:color="auto"/>
        <w:bottom w:val="none" w:sz="0" w:space="0" w:color="auto"/>
        <w:right w:val="none" w:sz="0" w:space="0" w:color="auto"/>
      </w:divBdr>
    </w:div>
    <w:div w:id="1085036548">
      <w:bodyDiv w:val="1"/>
      <w:marLeft w:val="0"/>
      <w:marRight w:val="0"/>
      <w:marTop w:val="0"/>
      <w:marBottom w:val="0"/>
      <w:divBdr>
        <w:top w:val="none" w:sz="0" w:space="0" w:color="auto"/>
        <w:left w:val="none" w:sz="0" w:space="0" w:color="auto"/>
        <w:bottom w:val="none" w:sz="0" w:space="0" w:color="auto"/>
        <w:right w:val="none" w:sz="0" w:space="0" w:color="auto"/>
      </w:divBdr>
    </w:div>
    <w:div w:id="1086728647">
      <w:bodyDiv w:val="1"/>
      <w:marLeft w:val="0"/>
      <w:marRight w:val="0"/>
      <w:marTop w:val="0"/>
      <w:marBottom w:val="0"/>
      <w:divBdr>
        <w:top w:val="none" w:sz="0" w:space="0" w:color="auto"/>
        <w:left w:val="none" w:sz="0" w:space="0" w:color="auto"/>
        <w:bottom w:val="none" w:sz="0" w:space="0" w:color="auto"/>
        <w:right w:val="none" w:sz="0" w:space="0" w:color="auto"/>
      </w:divBdr>
    </w:div>
    <w:div w:id="1087112336">
      <w:bodyDiv w:val="1"/>
      <w:marLeft w:val="0"/>
      <w:marRight w:val="0"/>
      <w:marTop w:val="0"/>
      <w:marBottom w:val="0"/>
      <w:divBdr>
        <w:top w:val="none" w:sz="0" w:space="0" w:color="auto"/>
        <w:left w:val="none" w:sz="0" w:space="0" w:color="auto"/>
        <w:bottom w:val="none" w:sz="0" w:space="0" w:color="auto"/>
        <w:right w:val="none" w:sz="0" w:space="0" w:color="auto"/>
      </w:divBdr>
    </w:div>
    <w:div w:id="1087767090">
      <w:bodyDiv w:val="1"/>
      <w:marLeft w:val="0"/>
      <w:marRight w:val="0"/>
      <w:marTop w:val="0"/>
      <w:marBottom w:val="0"/>
      <w:divBdr>
        <w:top w:val="none" w:sz="0" w:space="0" w:color="auto"/>
        <w:left w:val="none" w:sz="0" w:space="0" w:color="auto"/>
        <w:bottom w:val="none" w:sz="0" w:space="0" w:color="auto"/>
        <w:right w:val="none" w:sz="0" w:space="0" w:color="auto"/>
      </w:divBdr>
    </w:div>
    <w:div w:id="1089541781">
      <w:bodyDiv w:val="1"/>
      <w:marLeft w:val="0"/>
      <w:marRight w:val="0"/>
      <w:marTop w:val="0"/>
      <w:marBottom w:val="0"/>
      <w:divBdr>
        <w:top w:val="none" w:sz="0" w:space="0" w:color="auto"/>
        <w:left w:val="none" w:sz="0" w:space="0" w:color="auto"/>
        <w:bottom w:val="none" w:sz="0" w:space="0" w:color="auto"/>
        <w:right w:val="none" w:sz="0" w:space="0" w:color="auto"/>
      </w:divBdr>
    </w:div>
    <w:div w:id="1091468710">
      <w:bodyDiv w:val="1"/>
      <w:marLeft w:val="0"/>
      <w:marRight w:val="0"/>
      <w:marTop w:val="0"/>
      <w:marBottom w:val="0"/>
      <w:divBdr>
        <w:top w:val="none" w:sz="0" w:space="0" w:color="auto"/>
        <w:left w:val="none" w:sz="0" w:space="0" w:color="auto"/>
        <w:bottom w:val="none" w:sz="0" w:space="0" w:color="auto"/>
        <w:right w:val="none" w:sz="0" w:space="0" w:color="auto"/>
      </w:divBdr>
    </w:div>
    <w:div w:id="1096705041">
      <w:bodyDiv w:val="1"/>
      <w:marLeft w:val="0"/>
      <w:marRight w:val="0"/>
      <w:marTop w:val="0"/>
      <w:marBottom w:val="0"/>
      <w:divBdr>
        <w:top w:val="none" w:sz="0" w:space="0" w:color="auto"/>
        <w:left w:val="none" w:sz="0" w:space="0" w:color="auto"/>
        <w:bottom w:val="none" w:sz="0" w:space="0" w:color="auto"/>
        <w:right w:val="none" w:sz="0" w:space="0" w:color="auto"/>
      </w:divBdr>
    </w:div>
    <w:div w:id="1096710402">
      <w:bodyDiv w:val="1"/>
      <w:marLeft w:val="0"/>
      <w:marRight w:val="0"/>
      <w:marTop w:val="0"/>
      <w:marBottom w:val="0"/>
      <w:divBdr>
        <w:top w:val="none" w:sz="0" w:space="0" w:color="auto"/>
        <w:left w:val="none" w:sz="0" w:space="0" w:color="auto"/>
        <w:bottom w:val="none" w:sz="0" w:space="0" w:color="auto"/>
        <w:right w:val="none" w:sz="0" w:space="0" w:color="auto"/>
      </w:divBdr>
    </w:div>
    <w:div w:id="1097016330">
      <w:bodyDiv w:val="1"/>
      <w:marLeft w:val="0"/>
      <w:marRight w:val="0"/>
      <w:marTop w:val="0"/>
      <w:marBottom w:val="0"/>
      <w:divBdr>
        <w:top w:val="none" w:sz="0" w:space="0" w:color="auto"/>
        <w:left w:val="none" w:sz="0" w:space="0" w:color="auto"/>
        <w:bottom w:val="none" w:sz="0" w:space="0" w:color="auto"/>
        <w:right w:val="none" w:sz="0" w:space="0" w:color="auto"/>
      </w:divBdr>
    </w:div>
    <w:div w:id="1098331609">
      <w:bodyDiv w:val="1"/>
      <w:marLeft w:val="0"/>
      <w:marRight w:val="0"/>
      <w:marTop w:val="0"/>
      <w:marBottom w:val="0"/>
      <w:divBdr>
        <w:top w:val="none" w:sz="0" w:space="0" w:color="auto"/>
        <w:left w:val="none" w:sz="0" w:space="0" w:color="auto"/>
        <w:bottom w:val="none" w:sz="0" w:space="0" w:color="auto"/>
        <w:right w:val="none" w:sz="0" w:space="0" w:color="auto"/>
      </w:divBdr>
    </w:div>
    <w:div w:id="1098717767">
      <w:bodyDiv w:val="1"/>
      <w:marLeft w:val="0"/>
      <w:marRight w:val="0"/>
      <w:marTop w:val="0"/>
      <w:marBottom w:val="0"/>
      <w:divBdr>
        <w:top w:val="none" w:sz="0" w:space="0" w:color="auto"/>
        <w:left w:val="none" w:sz="0" w:space="0" w:color="auto"/>
        <w:bottom w:val="none" w:sz="0" w:space="0" w:color="auto"/>
        <w:right w:val="none" w:sz="0" w:space="0" w:color="auto"/>
      </w:divBdr>
    </w:div>
    <w:div w:id="1099838824">
      <w:bodyDiv w:val="1"/>
      <w:marLeft w:val="0"/>
      <w:marRight w:val="0"/>
      <w:marTop w:val="0"/>
      <w:marBottom w:val="0"/>
      <w:divBdr>
        <w:top w:val="none" w:sz="0" w:space="0" w:color="auto"/>
        <w:left w:val="none" w:sz="0" w:space="0" w:color="auto"/>
        <w:bottom w:val="none" w:sz="0" w:space="0" w:color="auto"/>
        <w:right w:val="none" w:sz="0" w:space="0" w:color="auto"/>
      </w:divBdr>
    </w:div>
    <w:div w:id="1100250148">
      <w:bodyDiv w:val="1"/>
      <w:marLeft w:val="0"/>
      <w:marRight w:val="0"/>
      <w:marTop w:val="0"/>
      <w:marBottom w:val="0"/>
      <w:divBdr>
        <w:top w:val="none" w:sz="0" w:space="0" w:color="auto"/>
        <w:left w:val="none" w:sz="0" w:space="0" w:color="auto"/>
        <w:bottom w:val="none" w:sz="0" w:space="0" w:color="auto"/>
        <w:right w:val="none" w:sz="0" w:space="0" w:color="auto"/>
      </w:divBdr>
    </w:div>
    <w:div w:id="1101298337">
      <w:bodyDiv w:val="1"/>
      <w:marLeft w:val="0"/>
      <w:marRight w:val="0"/>
      <w:marTop w:val="0"/>
      <w:marBottom w:val="0"/>
      <w:divBdr>
        <w:top w:val="none" w:sz="0" w:space="0" w:color="auto"/>
        <w:left w:val="none" w:sz="0" w:space="0" w:color="auto"/>
        <w:bottom w:val="none" w:sz="0" w:space="0" w:color="auto"/>
        <w:right w:val="none" w:sz="0" w:space="0" w:color="auto"/>
      </w:divBdr>
    </w:div>
    <w:div w:id="1102530766">
      <w:bodyDiv w:val="1"/>
      <w:marLeft w:val="0"/>
      <w:marRight w:val="0"/>
      <w:marTop w:val="0"/>
      <w:marBottom w:val="0"/>
      <w:divBdr>
        <w:top w:val="none" w:sz="0" w:space="0" w:color="auto"/>
        <w:left w:val="none" w:sz="0" w:space="0" w:color="auto"/>
        <w:bottom w:val="none" w:sz="0" w:space="0" w:color="auto"/>
        <w:right w:val="none" w:sz="0" w:space="0" w:color="auto"/>
      </w:divBdr>
    </w:div>
    <w:div w:id="1102914543">
      <w:bodyDiv w:val="1"/>
      <w:marLeft w:val="0"/>
      <w:marRight w:val="0"/>
      <w:marTop w:val="0"/>
      <w:marBottom w:val="0"/>
      <w:divBdr>
        <w:top w:val="none" w:sz="0" w:space="0" w:color="auto"/>
        <w:left w:val="none" w:sz="0" w:space="0" w:color="auto"/>
        <w:bottom w:val="none" w:sz="0" w:space="0" w:color="auto"/>
        <w:right w:val="none" w:sz="0" w:space="0" w:color="auto"/>
      </w:divBdr>
    </w:div>
    <w:div w:id="1104492362">
      <w:bodyDiv w:val="1"/>
      <w:marLeft w:val="0"/>
      <w:marRight w:val="0"/>
      <w:marTop w:val="0"/>
      <w:marBottom w:val="0"/>
      <w:divBdr>
        <w:top w:val="none" w:sz="0" w:space="0" w:color="auto"/>
        <w:left w:val="none" w:sz="0" w:space="0" w:color="auto"/>
        <w:bottom w:val="none" w:sz="0" w:space="0" w:color="auto"/>
        <w:right w:val="none" w:sz="0" w:space="0" w:color="auto"/>
      </w:divBdr>
    </w:div>
    <w:div w:id="1104543745">
      <w:bodyDiv w:val="1"/>
      <w:marLeft w:val="0"/>
      <w:marRight w:val="0"/>
      <w:marTop w:val="0"/>
      <w:marBottom w:val="0"/>
      <w:divBdr>
        <w:top w:val="none" w:sz="0" w:space="0" w:color="auto"/>
        <w:left w:val="none" w:sz="0" w:space="0" w:color="auto"/>
        <w:bottom w:val="none" w:sz="0" w:space="0" w:color="auto"/>
        <w:right w:val="none" w:sz="0" w:space="0" w:color="auto"/>
      </w:divBdr>
    </w:div>
    <w:div w:id="1105879833">
      <w:bodyDiv w:val="1"/>
      <w:marLeft w:val="0"/>
      <w:marRight w:val="0"/>
      <w:marTop w:val="0"/>
      <w:marBottom w:val="0"/>
      <w:divBdr>
        <w:top w:val="none" w:sz="0" w:space="0" w:color="auto"/>
        <w:left w:val="none" w:sz="0" w:space="0" w:color="auto"/>
        <w:bottom w:val="none" w:sz="0" w:space="0" w:color="auto"/>
        <w:right w:val="none" w:sz="0" w:space="0" w:color="auto"/>
      </w:divBdr>
    </w:div>
    <w:div w:id="1107626095">
      <w:bodyDiv w:val="1"/>
      <w:marLeft w:val="0"/>
      <w:marRight w:val="0"/>
      <w:marTop w:val="0"/>
      <w:marBottom w:val="0"/>
      <w:divBdr>
        <w:top w:val="none" w:sz="0" w:space="0" w:color="auto"/>
        <w:left w:val="none" w:sz="0" w:space="0" w:color="auto"/>
        <w:bottom w:val="none" w:sz="0" w:space="0" w:color="auto"/>
        <w:right w:val="none" w:sz="0" w:space="0" w:color="auto"/>
      </w:divBdr>
    </w:div>
    <w:div w:id="1107652323">
      <w:bodyDiv w:val="1"/>
      <w:marLeft w:val="0"/>
      <w:marRight w:val="0"/>
      <w:marTop w:val="0"/>
      <w:marBottom w:val="0"/>
      <w:divBdr>
        <w:top w:val="none" w:sz="0" w:space="0" w:color="auto"/>
        <w:left w:val="none" w:sz="0" w:space="0" w:color="auto"/>
        <w:bottom w:val="none" w:sz="0" w:space="0" w:color="auto"/>
        <w:right w:val="none" w:sz="0" w:space="0" w:color="auto"/>
      </w:divBdr>
    </w:div>
    <w:div w:id="1108695139">
      <w:bodyDiv w:val="1"/>
      <w:marLeft w:val="0"/>
      <w:marRight w:val="0"/>
      <w:marTop w:val="0"/>
      <w:marBottom w:val="0"/>
      <w:divBdr>
        <w:top w:val="none" w:sz="0" w:space="0" w:color="auto"/>
        <w:left w:val="none" w:sz="0" w:space="0" w:color="auto"/>
        <w:bottom w:val="none" w:sz="0" w:space="0" w:color="auto"/>
        <w:right w:val="none" w:sz="0" w:space="0" w:color="auto"/>
      </w:divBdr>
    </w:div>
    <w:div w:id="1109277617">
      <w:bodyDiv w:val="1"/>
      <w:marLeft w:val="0"/>
      <w:marRight w:val="0"/>
      <w:marTop w:val="0"/>
      <w:marBottom w:val="0"/>
      <w:divBdr>
        <w:top w:val="none" w:sz="0" w:space="0" w:color="auto"/>
        <w:left w:val="none" w:sz="0" w:space="0" w:color="auto"/>
        <w:bottom w:val="none" w:sz="0" w:space="0" w:color="auto"/>
        <w:right w:val="none" w:sz="0" w:space="0" w:color="auto"/>
      </w:divBdr>
    </w:div>
    <w:div w:id="1110003287">
      <w:bodyDiv w:val="1"/>
      <w:marLeft w:val="0"/>
      <w:marRight w:val="0"/>
      <w:marTop w:val="0"/>
      <w:marBottom w:val="0"/>
      <w:divBdr>
        <w:top w:val="none" w:sz="0" w:space="0" w:color="auto"/>
        <w:left w:val="none" w:sz="0" w:space="0" w:color="auto"/>
        <w:bottom w:val="none" w:sz="0" w:space="0" w:color="auto"/>
        <w:right w:val="none" w:sz="0" w:space="0" w:color="auto"/>
      </w:divBdr>
    </w:div>
    <w:div w:id="1110970218">
      <w:bodyDiv w:val="1"/>
      <w:marLeft w:val="0"/>
      <w:marRight w:val="0"/>
      <w:marTop w:val="0"/>
      <w:marBottom w:val="0"/>
      <w:divBdr>
        <w:top w:val="none" w:sz="0" w:space="0" w:color="auto"/>
        <w:left w:val="none" w:sz="0" w:space="0" w:color="auto"/>
        <w:bottom w:val="none" w:sz="0" w:space="0" w:color="auto"/>
        <w:right w:val="none" w:sz="0" w:space="0" w:color="auto"/>
      </w:divBdr>
    </w:div>
    <w:div w:id="1113748331">
      <w:bodyDiv w:val="1"/>
      <w:marLeft w:val="0"/>
      <w:marRight w:val="0"/>
      <w:marTop w:val="0"/>
      <w:marBottom w:val="0"/>
      <w:divBdr>
        <w:top w:val="none" w:sz="0" w:space="0" w:color="auto"/>
        <w:left w:val="none" w:sz="0" w:space="0" w:color="auto"/>
        <w:bottom w:val="none" w:sz="0" w:space="0" w:color="auto"/>
        <w:right w:val="none" w:sz="0" w:space="0" w:color="auto"/>
      </w:divBdr>
    </w:div>
    <w:div w:id="1115947877">
      <w:bodyDiv w:val="1"/>
      <w:marLeft w:val="0"/>
      <w:marRight w:val="0"/>
      <w:marTop w:val="0"/>
      <w:marBottom w:val="0"/>
      <w:divBdr>
        <w:top w:val="none" w:sz="0" w:space="0" w:color="auto"/>
        <w:left w:val="none" w:sz="0" w:space="0" w:color="auto"/>
        <w:bottom w:val="none" w:sz="0" w:space="0" w:color="auto"/>
        <w:right w:val="none" w:sz="0" w:space="0" w:color="auto"/>
      </w:divBdr>
    </w:div>
    <w:div w:id="1117598390">
      <w:bodyDiv w:val="1"/>
      <w:marLeft w:val="0"/>
      <w:marRight w:val="0"/>
      <w:marTop w:val="0"/>
      <w:marBottom w:val="0"/>
      <w:divBdr>
        <w:top w:val="none" w:sz="0" w:space="0" w:color="auto"/>
        <w:left w:val="none" w:sz="0" w:space="0" w:color="auto"/>
        <w:bottom w:val="none" w:sz="0" w:space="0" w:color="auto"/>
        <w:right w:val="none" w:sz="0" w:space="0" w:color="auto"/>
      </w:divBdr>
    </w:div>
    <w:div w:id="1118328393">
      <w:bodyDiv w:val="1"/>
      <w:marLeft w:val="0"/>
      <w:marRight w:val="0"/>
      <w:marTop w:val="0"/>
      <w:marBottom w:val="0"/>
      <w:divBdr>
        <w:top w:val="none" w:sz="0" w:space="0" w:color="auto"/>
        <w:left w:val="none" w:sz="0" w:space="0" w:color="auto"/>
        <w:bottom w:val="none" w:sz="0" w:space="0" w:color="auto"/>
        <w:right w:val="none" w:sz="0" w:space="0" w:color="auto"/>
      </w:divBdr>
    </w:div>
    <w:div w:id="1122769784">
      <w:bodyDiv w:val="1"/>
      <w:marLeft w:val="0"/>
      <w:marRight w:val="0"/>
      <w:marTop w:val="0"/>
      <w:marBottom w:val="0"/>
      <w:divBdr>
        <w:top w:val="none" w:sz="0" w:space="0" w:color="auto"/>
        <w:left w:val="none" w:sz="0" w:space="0" w:color="auto"/>
        <w:bottom w:val="none" w:sz="0" w:space="0" w:color="auto"/>
        <w:right w:val="none" w:sz="0" w:space="0" w:color="auto"/>
      </w:divBdr>
    </w:div>
    <w:div w:id="1124159931">
      <w:bodyDiv w:val="1"/>
      <w:marLeft w:val="0"/>
      <w:marRight w:val="0"/>
      <w:marTop w:val="0"/>
      <w:marBottom w:val="0"/>
      <w:divBdr>
        <w:top w:val="none" w:sz="0" w:space="0" w:color="auto"/>
        <w:left w:val="none" w:sz="0" w:space="0" w:color="auto"/>
        <w:bottom w:val="none" w:sz="0" w:space="0" w:color="auto"/>
        <w:right w:val="none" w:sz="0" w:space="0" w:color="auto"/>
      </w:divBdr>
    </w:div>
    <w:div w:id="1125738038">
      <w:bodyDiv w:val="1"/>
      <w:marLeft w:val="0"/>
      <w:marRight w:val="0"/>
      <w:marTop w:val="0"/>
      <w:marBottom w:val="0"/>
      <w:divBdr>
        <w:top w:val="none" w:sz="0" w:space="0" w:color="auto"/>
        <w:left w:val="none" w:sz="0" w:space="0" w:color="auto"/>
        <w:bottom w:val="none" w:sz="0" w:space="0" w:color="auto"/>
        <w:right w:val="none" w:sz="0" w:space="0" w:color="auto"/>
      </w:divBdr>
    </w:div>
    <w:div w:id="1127433902">
      <w:bodyDiv w:val="1"/>
      <w:marLeft w:val="0"/>
      <w:marRight w:val="0"/>
      <w:marTop w:val="0"/>
      <w:marBottom w:val="0"/>
      <w:divBdr>
        <w:top w:val="none" w:sz="0" w:space="0" w:color="auto"/>
        <w:left w:val="none" w:sz="0" w:space="0" w:color="auto"/>
        <w:bottom w:val="none" w:sz="0" w:space="0" w:color="auto"/>
        <w:right w:val="none" w:sz="0" w:space="0" w:color="auto"/>
      </w:divBdr>
    </w:div>
    <w:div w:id="1127578695">
      <w:bodyDiv w:val="1"/>
      <w:marLeft w:val="0"/>
      <w:marRight w:val="0"/>
      <w:marTop w:val="0"/>
      <w:marBottom w:val="0"/>
      <w:divBdr>
        <w:top w:val="none" w:sz="0" w:space="0" w:color="auto"/>
        <w:left w:val="none" w:sz="0" w:space="0" w:color="auto"/>
        <w:bottom w:val="none" w:sz="0" w:space="0" w:color="auto"/>
        <w:right w:val="none" w:sz="0" w:space="0" w:color="auto"/>
      </w:divBdr>
    </w:div>
    <w:div w:id="1128206997">
      <w:bodyDiv w:val="1"/>
      <w:marLeft w:val="0"/>
      <w:marRight w:val="0"/>
      <w:marTop w:val="0"/>
      <w:marBottom w:val="0"/>
      <w:divBdr>
        <w:top w:val="none" w:sz="0" w:space="0" w:color="auto"/>
        <w:left w:val="none" w:sz="0" w:space="0" w:color="auto"/>
        <w:bottom w:val="none" w:sz="0" w:space="0" w:color="auto"/>
        <w:right w:val="none" w:sz="0" w:space="0" w:color="auto"/>
      </w:divBdr>
    </w:div>
    <w:div w:id="1128889348">
      <w:bodyDiv w:val="1"/>
      <w:marLeft w:val="0"/>
      <w:marRight w:val="0"/>
      <w:marTop w:val="0"/>
      <w:marBottom w:val="0"/>
      <w:divBdr>
        <w:top w:val="none" w:sz="0" w:space="0" w:color="auto"/>
        <w:left w:val="none" w:sz="0" w:space="0" w:color="auto"/>
        <w:bottom w:val="none" w:sz="0" w:space="0" w:color="auto"/>
        <w:right w:val="none" w:sz="0" w:space="0" w:color="auto"/>
      </w:divBdr>
    </w:div>
    <w:div w:id="1129125582">
      <w:bodyDiv w:val="1"/>
      <w:marLeft w:val="0"/>
      <w:marRight w:val="0"/>
      <w:marTop w:val="0"/>
      <w:marBottom w:val="0"/>
      <w:divBdr>
        <w:top w:val="none" w:sz="0" w:space="0" w:color="auto"/>
        <w:left w:val="none" w:sz="0" w:space="0" w:color="auto"/>
        <w:bottom w:val="none" w:sz="0" w:space="0" w:color="auto"/>
        <w:right w:val="none" w:sz="0" w:space="0" w:color="auto"/>
      </w:divBdr>
    </w:div>
    <w:div w:id="1132870531">
      <w:bodyDiv w:val="1"/>
      <w:marLeft w:val="0"/>
      <w:marRight w:val="0"/>
      <w:marTop w:val="0"/>
      <w:marBottom w:val="0"/>
      <w:divBdr>
        <w:top w:val="none" w:sz="0" w:space="0" w:color="auto"/>
        <w:left w:val="none" w:sz="0" w:space="0" w:color="auto"/>
        <w:bottom w:val="none" w:sz="0" w:space="0" w:color="auto"/>
        <w:right w:val="none" w:sz="0" w:space="0" w:color="auto"/>
      </w:divBdr>
    </w:div>
    <w:div w:id="1135291456">
      <w:bodyDiv w:val="1"/>
      <w:marLeft w:val="0"/>
      <w:marRight w:val="0"/>
      <w:marTop w:val="0"/>
      <w:marBottom w:val="0"/>
      <w:divBdr>
        <w:top w:val="none" w:sz="0" w:space="0" w:color="auto"/>
        <w:left w:val="none" w:sz="0" w:space="0" w:color="auto"/>
        <w:bottom w:val="none" w:sz="0" w:space="0" w:color="auto"/>
        <w:right w:val="none" w:sz="0" w:space="0" w:color="auto"/>
      </w:divBdr>
    </w:div>
    <w:div w:id="1138495316">
      <w:bodyDiv w:val="1"/>
      <w:marLeft w:val="0"/>
      <w:marRight w:val="0"/>
      <w:marTop w:val="0"/>
      <w:marBottom w:val="0"/>
      <w:divBdr>
        <w:top w:val="none" w:sz="0" w:space="0" w:color="auto"/>
        <w:left w:val="none" w:sz="0" w:space="0" w:color="auto"/>
        <w:bottom w:val="none" w:sz="0" w:space="0" w:color="auto"/>
        <w:right w:val="none" w:sz="0" w:space="0" w:color="auto"/>
      </w:divBdr>
    </w:div>
    <w:div w:id="1138719217">
      <w:bodyDiv w:val="1"/>
      <w:marLeft w:val="0"/>
      <w:marRight w:val="0"/>
      <w:marTop w:val="0"/>
      <w:marBottom w:val="0"/>
      <w:divBdr>
        <w:top w:val="none" w:sz="0" w:space="0" w:color="auto"/>
        <w:left w:val="none" w:sz="0" w:space="0" w:color="auto"/>
        <w:bottom w:val="none" w:sz="0" w:space="0" w:color="auto"/>
        <w:right w:val="none" w:sz="0" w:space="0" w:color="auto"/>
      </w:divBdr>
    </w:div>
    <w:div w:id="1140000822">
      <w:bodyDiv w:val="1"/>
      <w:marLeft w:val="0"/>
      <w:marRight w:val="0"/>
      <w:marTop w:val="0"/>
      <w:marBottom w:val="0"/>
      <w:divBdr>
        <w:top w:val="none" w:sz="0" w:space="0" w:color="auto"/>
        <w:left w:val="none" w:sz="0" w:space="0" w:color="auto"/>
        <w:bottom w:val="none" w:sz="0" w:space="0" w:color="auto"/>
        <w:right w:val="none" w:sz="0" w:space="0" w:color="auto"/>
      </w:divBdr>
    </w:div>
    <w:div w:id="1141966041">
      <w:bodyDiv w:val="1"/>
      <w:marLeft w:val="0"/>
      <w:marRight w:val="0"/>
      <w:marTop w:val="0"/>
      <w:marBottom w:val="0"/>
      <w:divBdr>
        <w:top w:val="none" w:sz="0" w:space="0" w:color="auto"/>
        <w:left w:val="none" w:sz="0" w:space="0" w:color="auto"/>
        <w:bottom w:val="none" w:sz="0" w:space="0" w:color="auto"/>
        <w:right w:val="none" w:sz="0" w:space="0" w:color="auto"/>
      </w:divBdr>
    </w:div>
    <w:div w:id="1142580018">
      <w:bodyDiv w:val="1"/>
      <w:marLeft w:val="0"/>
      <w:marRight w:val="0"/>
      <w:marTop w:val="0"/>
      <w:marBottom w:val="0"/>
      <w:divBdr>
        <w:top w:val="none" w:sz="0" w:space="0" w:color="auto"/>
        <w:left w:val="none" w:sz="0" w:space="0" w:color="auto"/>
        <w:bottom w:val="none" w:sz="0" w:space="0" w:color="auto"/>
        <w:right w:val="none" w:sz="0" w:space="0" w:color="auto"/>
      </w:divBdr>
    </w:div>
    <w:div w:id="1143038232">
      <w:bodyDiv w:val="1"/>
      <w:marLeft w:val="0"/>
      <w:marRight w:val="0"/>
      <w:marTop w:val="0"/>
      <w:marBottom w:val="0"/>
      <w:divBdr>
        <w:top w:val="none" w:sz="0" w:space="0" w:color="auto"/>
        <w:left w:val="none" w:sz="0" w:space="0" w:color="auto"/>
        <w:bottom w:val="none" w:sz="0" w:space="0" w:color="auto"/>
        <w:right w:val="none" w:sz="0" w:space="0" w:color="auto"/>
      </w:divBdr>
    </w:div>
    <w:div w:id="1145969182">
      <w:bodyDiv w:val="1"/>
      <w:marLeft w:val="0"/>
      <w:marRight w:val="0"/>
      <w:marTop w:val="0"/>
      <w:marBottom w:val="0"/>
      <w:divBdr>
        <w:top w:val="none" w:sz="0" w:space="0" w:color="auto"/>
        <w:left w:val="none" w:sz="0" w:space="0" w:color="auto"/>
        <w:bottom w:val="none" w:sz="0" w:space="0" w:color="auto"/>
        <w:right w:val="none" w:sz="0" w:space="0" w:color="auto"/>
      </w:divBdr>
    </w:div>
    <w:div w:id="1146893796">
      <w:bodyDiv w:val="1"/>
      <w:marLeft w:val="0"/>
      <w:marRight w:val="0"/>
      <w:marTop w:val="0"/>
      <w:marBottom w:val="0"/>
      <w:divBdr>
        <w:top w:val="none" w:sz="0" w:space="0" w:color="auto"/>
        <w:left w:val="none" w:sz="0" w:space="0" w:color="auto"/>
        <w:bottom w:val="none" w:sz="0" w:space="0" w:color="auto"/>
        <w:right w:val="none" w:sz="0" w:space="0" w:color="auto"/>
      </w:divBdr>
    </w:div>
    <w:div w:id="1148549592">
      <w:bodyDiv w:val="1"/>
      <w:marLeft w:val="0"/>
      <w:marRight w:val="0"/>
      <w:marTop w:val="0"/>
      <w:marBottom w:val="0"/>
      <w:divBdr>
        <w:top w:val="none" w:sz="0" w:space="0" w:color="auto"/>
        <w:left w:val="none" w:sz="0" w:space="0" w:color="auto"/>
        <w:bottom w:val="none" w:sz="0" w:space="0" w:color="auto"/>
        <w:right w:val="none" w:sz="0" w:space="0" w:color="auto"/>
      </w:divBdr>
    </w:div>
    <w:div w:id="1150095057">
      <w:bodyDiv w:val="1"/>
      <w:marLeft w:val="0"/>
      <w:marRight w:val="0"/>
      <w:marTop w:val="0"/>
      <w:marBottom w:val="0"/>
      <w:divBdr>
        <w:top w:val="none" w:sz="0" w:space="0" w:color="auto"/>
        <w:left w:val="none" w:sz="0" w:space="0" w:color="auto"/>
        <w:bottom w:val="none" w:sz="0" w:space="0" w:color="auto"/>
        <w:right w:val="none" w:sz="0" w:space="0" w:color="auto"/>
      </w:divBdr>
    </w:div>
    <w:div w:id="1150634283">
      <w:bodyDiv w:val="1"/>
      <w:marLeft w:val="0"/>
      <w:marRight w:val="0"/>
      <w:marTop w:val="0"/>
      <w:marBottom w:val="0"/>
      <w:divBdr>
        <w:top w:val="none" w:sz="0" w:space="0" w:color="auto"/>
        <w:left w:val="none" w:sz="0" w:space="0" w:color="auto"/>
        <w:bottom w:val="none" w:sz="0" w:space="0" w:color="auto"/>
        <w:right w:val="none" w:sz="0" w:space="0" w:color="auto"/>
      </w:divBdr>
    </w:div>
    <w:div w:id="1155607361">
      <w:bodyDiv w:val="1"/>
      <w:marLeft w:val="0"/>
      <w:marRight w:val="0"/>
      <w:marTop w:val="0"/>
      <w:marBottom w:val="0"/>
      <w:divBdr>
        <w:top w:val="none" w:sz="0" w:space="0" w:color="auto"/>
        <w:left w:val="none" w:sz="0" w:space="0" w:color="auto"/>
        <w:bottom w:val="none" w:sz="0" w:space="0" w:color="auto"/>
        <w:right w:val="none" w:sz="0" w:space="0" w:color="auto"/>
      </w:divBdr>
    </w:div>
    <w:div w:id="1156074707">
      <w:bodyDiv w:val="1"/>
      <w:marLeft w:val="0"/>
      <w:marRight w:val="0"/>
      <w:marTop w:val="0"/>
      <w:marBottom w:val="0"/>
      <w:divBdr>
        <w:top w:val="none" w:sz="0" w:space="0" w:color="auto"/>
        <w:left w:val="none" w:sz="0" w:space="0" w:color="auto"/>
        <w:bottom w:val="none" w:sz="0" w:space="0" w:color="auto"/>
        <w:right w:val="none" w:sz="0" w:space="0" w:color="auto"/>
      </w:divBdr>
    </w:div>
    <w:div w:id="1158768913">
      <w:bodyDiv w:val="1"/>
      <w:marLeft w:val="0"/>
      <w:marRight w:val="0"/>
      <w:marTop w:val="0"/>
      <w:marBottom w:val="0"/>
      <w:divBdr>
        <w:top w:val="none" w:sz="0" w:space="0" w:color="auto"/>
        <w:left w:val="none" w:sz="0" w:space="0" w:color="auto"/>
        <w:bottom w:val="none" w:sz="0" w:space="0" w:color="auto"/>
        <w:right w:val="none" w:sz="0" w:space="0" w:color="auto"/>
      </w:divBdr>
    </w:div>
    <w:div w:id="1159613065">
      <w:bodyDiv w:val="1"/>
      <w:marLeft w:val="0"/>
      <w:marRight w:val="0"/>
      <w:marTop w:val="0"/>
      <w:marBottom w:val="0"/>
      <w:divBdr>
        <w:top w:val="none" w:sz="0" w:space="0" w:color="auto"/>
        <w:left w:val="none" w:sz="0" w:space="0" w:color="auto"/>
        <w:bottom w:val="none" w:sz="0" w:space="0" w:color="auto"/>
        <w:right w:val="none" w:sz="0" w:space="0" w:color="auto"/>
      </w:divBdr>
    </w:div>
    <w:div w:id="1162814100">
      <w:bodyDiv w:val="1"/>
      <w:marLeft w:val="0"/>
      <w:marRight w:val="0"/>
      <w:marTop w:val="0"/>
      <w:marBottom w:val="0"/>
      <w:divBdr>
        <w:top w:val="none" w:sz="0" w:space="0" w:color="auto"/>
        <w:left w:val="none" w:sz="0" w:space="0" w:color="auto"/>
        <w:bottom w:val="none" w:sz="0" w:space="0" w:color="auto"/>
        <w:right w:val="none" w:sz="0" w:space="0" w:color="auto"/>
      </w:divBdr>
    </w:div>
    <w:div w:id="1165710364">
      <w:bodyDiv w:val="1"/>
      <w:marLeft w:val="0"/>
      <w:marRight w:val="0"/>
      <w:marTop w:val="0"/>
      <w:marBottom w:val="0"/>
      <w:divBdr>
        <w:top w:val="none" w:sz="0" w:space="0" w:color="auto"/>
        <w:left w:val="none" w:sz="0" w:space="0" w:color="auto"/>
        <w:bottom w:val="none" w:sz="0" w:space="0" w:color="auto"/>
        <w:right w:val="none" w:sz="0" w:space="0" w:color="auto"/>
      </w:divBdr>
    </w:div>
    <w:div w:id="1168596880">
      <w:bodyDiv w:val="1"/>
      <w:marLeft w:val="0"/>
      <w:marRight w:val="0"/>
      <w:marTop w:val="0"/>
      <w:marBottom w:val="0"/>
      <w:divBdr>
        <w:top w:val="none" w:sz="0" w:space="0" w:color="auto"/>
        <w:left w:val="none" w:sz="0" w:space="0" w:color="auto"/>
        <w:bottom w:val="none" w:sz="0" w:space="0" w:color="auto"/>
        <w:right w:val="none" w:sz="0" w:space="0" w:color="auto"/>
      </w:divBdr>
    </w:div>
    <w:div w:id="1170170238">
      <w:bodyDiv w:val="1"/>
      <w:marLeft w:val="0"/>
      <w:marRight w:val="0"/>
      <w:marTop w:val="0"/>
      <w:marBottom w:val="0"/>
      <w:divBdr>
        <w:top w:val="none" w:sz="0" w:space="0" w:color="auto"/>
        <w:left w:val="none" w:sz="0" w:space="0" w:color="auto"/>
        <w:bottom w:val="none" w:sz="0" w:space="0" w:color="auto"/>
        <w:right w:val="none" w:sz="0" w:space="0" w:color="auto"/>
      </w:divBdr>
    </w:div>
    <w:div w:id="1170948884">
      <w:bodyDiv w:val="1"/>
      <w:marLeft w:val="0"/>
      <w:marRight w:val="0"/>
      <w:marTop w:val="0"/>
      <w:marBottom w:val="0"/>
      <w:divBdr>
        <w:top w:val="none" w:sz="0" w:space="0" w:color="auto"/>
        <w:left w:val="none" w:sz="0" w:space="0" w:color="auto"/>
        <w:bottom w:val="none" w:sz="0" w:space="0" w:color="auto"/>
        <w:right w:val="none" w:sz="0" w:space="0" w:color="auto"/>
      </w:divBdr>
    </w:div>
    <w:div w:id="1171526391">
      <w:bodyDiv w:val="1"/>
      <w:marLeft w:val="0"/>
      <w:marRight w:val="0"/>
      <w:marTop w:val="0"/>
      <w:marBottom w:val="0"/>
      <w:divBdr>
        <w:top w:val="none" w:sz="0" w:space="0" w:color="auto"/>
        <w:left w:val="none" w:sz="0" w:space="0" w:color="auto"/>
        <w:bottom w:val="none" w:sz="0" w:space="0" w:color="auto"/>
        <w:right w:val="none" w:sz="0" w:space="0" w:color="auto"/>
      </w:divBdr>
    </w:div>
    <w:div w:id="1173491637">
      <w:bodyDiv w:val="1"/>
      <w:marLeft w:val="0"/>
      <w:marRight w:val="0"/>
      <w:marTop w:val="0"/>
      <w:marBottom w:val="0"/>
      <w:divBdr>
        <w:top w:val="none" w:sz="0" w:space="0" w:color="auto"/>
        <w:left w:val="none" w:sz="0" w:space="0" w:color="auto"/>
        <w:bottom w:val="none" w:sz="0" w:space="0" w:color="auto"/>
        <w:right w:val="none" w:sz="0" w:space="0" w:color="auto"/>
      </w:divBdr>
    </w:div>
    <w:div w:id="1175922974">
      <w:bodyDiv w:val="1"/>
      <w:marLeft w:val="0"/>
      <w:marRight w:val="0"/>
      <w:marTop w:val="0"/>
      <w:marBottom w:val="0"/>
      <w:divBdr>
        <w:top w:val="none" w:sz="0" w:space="0" w:color="auto"/>
        <w:left w:val="none" w:sz="0" w:space="0" w:color="auto"/>
        <w:bottom w:val="none" w:sz="0" w:space="0" w:color="auto"/>
        <w:right w:val="none" w:sz="0" w:space="0" w:color="auto"/>
      </w:divBdr>
    </w:div>
    <w:div w:id="1177039577">
      <w:bodyDiv w:val="1"/>
      <w:marLeft w:val="0"/>
      <w:marRight w:val="0"/>
      <w:marTop w:val="0"/>
      <w:marBottom w:val="0"/>
      <w:divBdr>
        <w:top w:val="none" w:sz="0" w:space="0" w:color="auto"/>
        <w:left w:val="none" w:sz="0" w:space="0" w:color="auto"/>
        <w:bottom w:val="none" w:sz="0" w:space="0" w:color="auto"/>
        <w:right w:val="none" w:sz="0" w:space="0" w:color="auto"/>
      </w:divBdr>
    </w:div>
    <w:div w:id="1177311164">
      <w:bodyDiv w:val="1"/>
      <w:marLeft w:val="0"/>
      <w:marRight w:val="0"/>
      <w:marTop w:val="0"/>
      <w:marBottom w:val="0"/>
      <w:divBdr>
        <w:top w:val="none" w:sz="0" w:space="0" w:color="auto"/>
        <w:left w:val="none" w:sz="0" w:space="0" w:color="auto"/>
        <w:bottom w:val="none" w:sz="0" w:space="0" w:color="auto"/>
        <w:right w:val="none" w:sz="0" w:space="0" w:color="auto"/>
      </w:divBdr>
    </w:div>
    <w:div w:id="1178425050">
      <w:bodyDiv w:val="1"/>
      <w:marLeft w:val="0"/>
      <w:marRight w:val="0"/>
      <w:marTop w:val="0"/>
      <w:marBottom w:val="0"/>
      <w:divBdr>
        <w:top w:val="none" w:sz="0" w:space="0" w:color="auto"/>
        <w:left w:val="none" w:sz="0" w:space="0" w:color="auto"/>
        <w:bottom w:val="none" w:sz="0" w:space="0" w:color="auto"/>
        <w:right w:val="none" w:sz="0" w:space="0" w:color="auto"/>
      </w:divBdr>
    </w:div>
    <w:div w:id="1179271656">
      <w:bodyDiv w:val="1"/>
      <w:marLeft w:val="0"/>
      <w:marRight w:val="0"/>
      <w:marTop w:val="0"/>
      <w:marBottom w:val="0"/>
      <w:divBdr>
        <w:top w:val="none" w:sz="0" w:space="0" w:color="auto"/>
        <w:left w:val="none" w:sz="0" w:space="0" w:color="auto"/>
        <w:bottom w:val="none" w:sz="0" w:space="0" w:color="auto"/>
        <w:right w:val="none" w:sz="0" w:space="0" w:color="auto"/>
      </w:divBdr>
    </w:div>
    <w:div w:id="1179466757">
      <w:bodyDiv w:val="1"/>
      <w:marLeft w:val="0"/>
      <w:marRight w:val="0"/>
      <w:marTop w:val="0"/>
      <w:marBottom w:val="0"/>
      <w:divBdr>
        <w:top w:val="none" w:sz="0" w:space="0" w:color="auto"/>
        <w:left w:val="none" w:sz="0" w:space="0" w:color="auto"/>
        <w:bottom w:val="none" w:sz="0" w:space="0" w:color="auto"/>
        <w:right w:val="none" w:sz="0" w:space="0" w:color="auto"/>
      </w:divBdr>
    </w:div>
    <w:div w:id="1183320131">
      <w:bodyDiv w:val="1"/>
      <w:marLeft w:val="0"/>
      <w:marRight w:val="0"/>
      <w:marTop w:val="0"/>
      <w:marBottom w:val="0"/>
      <w:divBdr>
        <w:top w:val="none" w:sz="0" w:space="0" w:color="auto"/>
        <w:left w:val="none" w:sz="0" w:space="0" w:color="auto"/>
        <w:bottom w:val="none" w:sz="0" w:space="0" w:color="auto"/>
        <w:right w:val="none" w:sz="0" w:space="0" w:color="auto"/>
      </w:divBdr>
    </w:div>
    <w:div w:id="1183588979">
      <w:bodyDiv w:val="1"/>
      <w:marLeft w:val="0"/>
      <w:marRight w:val="0"/>
      <w:marTop w:val="0"/>
      <w:marBottom w:val="0"/>
      <w:divBdr>
        <w:top w:val="none" w:sz="0" w:space="0" w:color="auto"/>
        <w:left w:val="none" w:sz="0" w:space="0" w:color="auto"/>
        <w:bottom w:val="none" w:sz="0" w:space="0" w:color="auto"/>
        <w:right w:val="none" w:sz="0" w:space="0" w:color="auto"/>
      </w:divBdr>
    </w:div>
    <w:div w:id="1183975820">
      <w:bodyDiv w:val="1"/>
      <w:marLeft w:val="0"/>
      <w:marRight w:val="0"/>
      <w:marTop w:val="0"/>
      <w:marBottom w:val="0"/>
      <w:divBdr>
        <w:top w:val="none" w:sz="0" w:space="0" w:color="auto"/>
        <w:left w:val="none" w:sz="0" w:space="0" w:color="auto"/>
        <w:bottom w:val="none" w:sz="0" w:space="0" w:color="auto"/>
        <w:right w:val="none" w:sz="0" w:space="0" w:color="auto"/>
      </w:divBdr>
    </w:div>
    <w:div w:id="1184439813">
      <w:bodyDiv w:val="1"/>
      <w:marLeft w:val="0"/>
      <w:marRight w:val="0"/>
      <w:marTop w:val="0"/>
      <w:marBottom w:val="0"/>
      <w:divBdr>
        <w:top w:val="none" w:sz="0" w:space="0" w:color="auto"/>
        <w:left w:val="none" w:sz="0" w:space="0" w:color="auto"/>
        <w:bottom w:val="none" w:sz="0" w:space="0" w:color="auto"/>
        <w:right w:val="none" w:sz="0" w:space="0" w:color="auto"/>
      </w:divBdr>
    </w:div>
    <w:div w:id="1185285283">
      <w:bodyDiv w:val="1"/>
      <w:marLeft w:val="0"/>
      <w:marRight w:val="0"/>
      <w:marTop w:val="0"/>
      <w:marBottom w:val="0"/>
      <w:divBdr>
        <w:top w:val="none" w:sz="0" w:space="0" w:color="auto"/>
        <w:left w:val="none" w:sz="0" w:space="0" w:color="auto"/>
        <w:bottom w:val="none" w:sz="0" w:space="0" w:color="auto"/>
        <w:right w:val="none" w:sz="0" w:space="0" w:color="auto"/>
      </w:divBdr>
    </w:div>
    <w:div w:id="1188643153">
      <w:bodyDiv w:val="1"/>
      <w:marLeft w:val="0"/>
      <w:marRight w:val="0"/>
      <w:marTop w:val="0"/>
      <w:marBottom w:val="0"/>
      <w:divBdr>
        <w:top w:val="none" w:sz="0" w:space="0" w:color="auto"/>
        <w:left w:val="none" w:sz="0" w:space="0" w:color="auto"/>
        <w:bottom w:val="none" w:sz="0" w:space="0" w:color="auto"/>
        <w:right w:val="none" w:sz="0" w:space="0" w:color="auto"/>
      </w:divBdr>
    </w:div>
    <w:div w:id="1190140415">
      <w:bodyDiv w:val="1"/>
      <w:marLeft w:val="0"/>
      <w:marRight w:val="0"/>
      <w:marTop w:val="0"/>
      <w:marBottom w:val="0"/>
      <w:divBdr>
        <w:top w:val="none" w:sz="0" w:space="0" w:color="auto"/>
        <w:left w:val="none" w:sz="0" w:space="0" w:color="auto"/>
        <w:bottom w:val="none" w:sz="0" w:space="0" w:color="auto"/>
        <w:right w:val="none" w:sz="0" w:space="0" w:color="auto"/>
      </w:divBdr>
    </w:div>
    <w:div w:id="1190532495">
      <w:bodyDiv w:val="1"/>
      <w:marLeft w:val="0"/>
      <w:marRight w:val="0"/>
      <w:marTop w:val="0"/>
      <w:marBottom w:val="0"/>
      <w:divBdr>
        <w:top w:val="none" w:sz="0" w:space="0" w:color="auto"/>
        <w:left w:val="none" w:sz="0" w:space="0" w:color="auto"/>
        <w:bottom w:val="none" w:sz="0" w:space="0" w:color="auto"/>
        <w:right w:val="none" w:sz="0" w:space="0" w:color="auto"/>
      </w:divBdr>
    </w:div>
    <w:div w:id="1190921592">
      <w:bodyDiv w:val="1"/>
      <w:marLeft w:val="0"/>
      <w:marRight w:val="0"/>
      <w:marTop w:val="0"/>
      <w:marBottom w:val="0"/>
      <w:divBdr>
        <w:top w:val="none" w:sz="0" w:space="0" w:color="auto"/>
        <w:left w:val="none" w:sz="0" w:space="0" w:color="auto"/>
        <w:bottom w:val="none" w:sz="0" w:space="0" w:color="auto"/>
        <w:right w:val="none" w:sz="0" w:space="0" w:color="auto"/>
      </w:divBdr>
    </w:div>
    <w:div w:id="1191601352">
      <w:bodyDiv w:val="1"/>
      <w:marLeft w:val="0"/>
      <w:marRight w:val="0"/>
      <w:marTop w:val="0"/>
      <w:marBottom w:val="0"/>
      <w:divBdr>
        <w:top w:val="none" w:sz="0" w:space="0" w:color="auto"/>
        <w:left w:val="none" w:sz="0" w:space="0" w:color="auto"/>
        <w:bottom w:val="none" w:sz="0" w:space="0" w:color="auto"/>
        <w:right w:val="none" w:sz="0" w:space="0" w:color="auto"/>
      </w:divBdr>
    </w:div>
    <w:div w:id="1191608206">
      <w:bodyDiv w:val="1"/>
      <w:marLeft w:val="0"/>
      <w:marRight w:val="0"/>
      <w:marTop w:val="0"/>
      <w:marBottom w:val="0"/>
      <w:divBdr>
        <w:top w:val="none" w:sz="0" w:space="0" w:color="auto"/>
        <w:left w:val="none" w:sz="0" w:space="0" w:color="auto"/>
        <w:bottom w:val="none" w:sz="0" w:space="0" w:color="auto"/>
        <w:right w:val="none" w:sz="0" w:space="0" w:color="auto"/>
      </w:divBdr>
    </w:div>
    <w:div w:id="1193374680">
      <w:bodyDiv w:val="1"/>
      <w:marLeft w:val="0"/>
      <w:marRight w:val="0"/>
      <w:marTop w:val="0"/>
      <w:marBottom w:val="0"/>
      <w:divBdr>
        <w:top w:val="none" w:sz="0" w:space="0" w:color="auto"/>
        <w:left w:val="none" w:sz="0" w:space="0" w:color="auto"/>
        <w:bottom w:val="none" w:sz="0" w:space="0" w:color="auto"/>
        <w:right w:val="none" w:sz="0" w:space="0" w:color="auto"/>
      </w:divBdr>
    </w:div>
    <w:div w:id="1193957359">
      <w:bodyDiv w:val="1"/>
      <w:marLeft w:val="0"/>
      <w:marRight w:val="0"/>
      <w:marTop w:val="0"/>
      <w:marBottom w:val="0"/>
      <w:divBdr>
        <w:top w:val="none" w:sz="0" w:space="0" w:color="auto"/>
        <w:left w:val="none" w:sz="0" w:space="0" w:color="auto"/>
        <w:bottom w:val="none" w:sz="0" w:space="0" w:color="auto"/>
        <w:right w:val="none" w:sz="0" w:space="0" w:color="auto"/>
      </w:divBdr>
    </w:div>
    <w:div w:id="1194998398">
      <w:bodyDiv w:val="1"/>
      <w:marLeft w:val="0"/>
      <w:marRight w:val="0"/>
      <w:marTop w:val="0"/>
      <w:marBottom w:val="0"/>
      <w:divBdr>
        <w:top w:val="none" w:sz="0" w:space="0" w:color="auto"/>
        <w:left w:val="none" w:sz="0" w:space="0" w:color="auto"/>
        <w:bottom w:val="none" w:sz="0" w:space="0" w:color="auto"/>
        <w:right w:val="none" w:sz="0" w:space="0" w:color="auto"/>
      </w:divBdr>
    </w:div>
    <w:div w:id="1195116253">
      <w:bodyDiv w:val="1"/>
      <w:marLeft w:val="0"/>
      <w:marRight w:val="0"/>
      <w:marTop w:val="0"/>
      <w:marBottom w:val="0"/>
      <w:divBdr>
        <w:top w:val="none" w:sz="0" w:space="0" w:color="auto"/>
        <w:left w:val="none" w:sz="0" w:space="0" w:color="auto"/>
        <w:bottom w:val="none" w:sz="0" w:space="0" w:color="auto"/>
        <w:right w:val="none" w:sz="0" w:space="0" w:color="auto"/>
      </w:divBdr>
    </w:div>
    <w:div w:id="1196887998">
      <w:bodyDiv w:val="1"/>
      <w:marLeft w:val="0"/>
      <w:marRight w:val="0"/>
      <w:marTop w:val="0"/>
      <w:marBottom w:val="0"/>
      <w:divBdr>
        <w:top w:val="none" w:sz="0" w:space="0" w:color="auto"/>
        <w:left w:val="none" w:sz="0" w:space="0" w:color="auto"/>
        <w:bottom w:val="none" w:sz="0" w:space="0" w:color="auto"/>
        <w:right w:val="none" w:sz="0" w:space="0" w:color="auto"/>
      </w:divBdr>
    </w:div>
    <w:div w:id="1197036210">
      <w:bodyDiv w:val="1"/>
      <w:marLeft w:val="0"/>
      <w:marRight w:val="0"/>
      <w:marTop w:val="0"/>
      <w:marBottom w:val="0"/>
      <w:divBdr>
        <w:top w:val="none" w:sz="0" w:space="0" w:color="auto"/>
        <w:left w:val="none" w:sz="0" w:space="0" w:color="auto"/>
        <w:bottom w:val="none" w:sz="0" w:space="0" w:color="auto"/>
        <w:right w:val="none" w:sz="0" w:space="0" w:color="auto"/>
      </w:divBdr>
    </w:div>
    <w:div w:id="1197541142">
      <w:bodyDiv w:val="1"/>
      <w:marLeft w:val="0"/>
      <w:marRight w:val="0"/>
      <w:marTop w:val="0"/>
      <w:marBottom w:val="0"/>
      <w:divBdr>
        <w:top w:val="none" w:sz="0" w:space="0" w:color="auto"/>
        <w:left w:val="none" w:sz="0" w:space="0" w:color="auto"/>
        <w:bottom w:val="none" w:sz="0" w:space="0" w:color="auto"/>
        <w:right w:val="none" w:sz="0" w:space="0" w:color="auto"/>
      </w:divBdr>
    </w:div>
    <w:div w:id="1197696829">
      <w:bodyDiv w:val="1"/>
      <w:marLeft w:val="0"/>
      <w:marRight w:val="0"/>
      <w:marTop w:val="0"/>
      <w:marBottom w:val="0"/>
      <w:divBdr>
        <w:top w:val="none" w:sz="0" w:space="0" w:color="auto"/>
        <w:left w:val="none" w:sz="0" w:space="0" w:color="auto"/>
        <w:bottom w:val="none" w:sz="0" w:space="0" w:color="auto"/>
        <w:right w:val="none" w:sz="0" w:space="0" w:color="auto"/>
      </w:divBdr>
    </w:div>
    <w:div w:id="1199321238">
      <w:bodyDiv w:val="1"/>
      <w:marLeft w:val="0"/>
      <w:marRight w:val="0"/>
      <w:marTop w:val="0"/>
      <w:marBottom w:val="0"/>
      <w:divBdr>
        <w:top w:val="none" w:sz="0" w:space="0" w:color="auto"/>
        <w:left w:val="none" w:sz="0" w:space="0" w:color="auto"/>
        <w:bottom w:val="none" w:sz="0" w:space="0" w:color="auto"/>
        <w:right w:val="none" w:sz="0" w:space="0" w:color="auto"/>
      </w:divBdr>
    </w:div>
    <w:div w:id="1203128473">
      <w:bodyDiv w:val="1"/>
      <w:marLeft w:val="0"/>
      <w:marRight w:val="0"/>
      <w:marTop w:val="0"/>
      <w:marBottom w:val="0"/>
      <w:divBdr>
        <w:top w:val="none" w:sz="0" w:space="0" w:color="auto"/>
        <w:left w:val="none" w:sz="0" w:space="0" w:color="auto"/>
        <w:bottom w:val="none" w:sz="0" w:space="0" w:color="auto"/>
        <w:right w:val="none" w:sz="0" w:space="0" w:color="auto"/>
      </w:divBdr>
    </w:div>
    <w:div w:id="1203324054">
      <w:bodyDiv w:val="1"/>
      <w:marLeft w:val="0"/>
      <w:marRight w:val="0"/>
      <w:marTop w:val="0"/>
      <w:marBottom w:val="0"/>
      <w:divBdr>
        <w:top w:val="none" w:sz="0" w:space="0" w:color="auto"/>
        <w:left w:val="none" w:sz="0" w:space="0" w:color="auto"/>
        <w:bottom w:val="none" w:sz="0" w:space="0" w:color="auto"/>
        <w:right w:val="none" w:sz="0" w:space="0" w:color="auto"/>
      </w:divBdr>
    </w:div>
    <w:div w:id="1203441611">
      <w:bodyDiv w:val="1"/>
      <w:marLeft w:val="0"/>
      <w:marRight w:val="0"/>
      <w:marTop w:val="0"/>
      <w:marBottom w:val="0"/>
      <w:divBdr>
        <w:top w:val="none" w:sz="0" w:space="0" w:color="auto"/>
        <w:left w:val="none" w:sz="0" w:space="0" w:color="auto"/>
        <w:bottom w:val="none" w:sz="0" w:space="0" w:color="auto"/>
        <w:right w:val="none" w:sz="0" w:space="0" w:color="auto"/>
      </w:divBdr>
    </w:div>
    <w:div w:id="1203786169">
      <w:bodyDiv w:val="1"/>
      <w:marLeft w:val="0"/>
      <w:marRight w:val="0"/>
      <w:marTop w:val="0"/>
      <w:marBottom w:val="0"/>
      <w:divBdr>
        <w:top w:val="none" w:sz="0" w:space="0" w:color="auto"/>
        <w:left w:val="none" w:sz="0" w:space="0" w:color="auto"/>
        <w:bottom w:val="none" w:sz="0" w:space="0" w:color="auto"/>
        <w:right w:val="none" w:sz="0" w:space="0" w:color="auto"/>
      </w:divBdr>
    </w:div>
    <w:div w:id="1203981462">
      <w:bodyDiv w:val="1"/>
      <w:marLeft w:val="0"/>
      <w:marRight w:val="0"/>
      <w:marTop w:val="0"/>
      <w:marBottom w:val="0"/>
      <w:divBdr>
        <w:top w:val="none" w:sz="0" w:space="0" w:color="auto"/>
        <w:left w:val="none" w:sz="0" w:space="0" w:color="auto"/>
        <w:bottom w:val="none" w:sz="0" w:space="0" w:color="auto"/>
        <w:right w:val="none" w:sz="0" w:space="0" w:color="auto"/>
      </w:divBdr>
    </w:div>
    <w:div w:id="1208301349">
      <w:bodyDiv w:val="1"/>
      <w:marLeft w:val="0"/>
      <w:marRight w:val="0"/>
      <w:marTop w:val="0"/>
      <w:marBottom w:val="0"/>
      <w:divBdr>
        <w:top w:val="none" w:sz="0" w:space="0" w:color="auto"/>
        <w:left w:val="none" w:sz="0" w:space="0" w:color="auto"/>
        <w:bottom w:val="none" w:sz="0" w:space="0" w:color="auto"/>
        <w:right w:val="none" w:sz="0" w:space="0" w:color="auto"/>
      </w:divBdr>
    </w:div>
    <w:div w:id="1208831975">
      <w:bodyDiv w:val="1"/>
      <w:marLeft w:val="0"/>
      <w:marRight w:val="0"/>
      <w:marTop w:val="0"/>
      <w:marBottom w:val="0"/>
      <w:divBdr>
        <w:top w:val="none" w:sz="0" w:space="0" w:color="auto"/>
        <w:left w:val="none" w:sz="0" w:space="0" w:color="auto"/>
        <w:bottom w:val="none" w:sz="0" w:space="0" w:color="auto"/>
        <w:right w:val="none" w:sz="0" w:space="0" w:color="auto"/>
      </w:divBdr>
    </w:div>
    <w:div w:id="1209075535">
      <w:bodyDiv w:val="1"/>
      <w:marLeft w:val="0"/>
      <w:marRight w:val="0"/>
      <w:marTop w:val="0"/>
      <w:marBottom w:val="0"/>
      <w:divBdr>
        <w:top w:val="none" w:sz="0" w:space="0" w:color="auto"/>
        <w:left w:val="none" w:sz="0" w:space="0" w:color="auto"/>
        <w:bottom w:val="none" w:sz="0" w:space="0" w:color="auto"/>
        <w:right w:val="none" w:sz="0" w:space="0" w:color="auto"/>
      </w:divBdr>
    </w:div>
    <w:div w:id="1209731471">
      <w:bodyDiv w:val="1"/>
      <w:marLeft w:val="0"/>
      <w:marRight w:val="0"/>
      <w:marTop w:val="0"/>
      <w:marBottom w:val="0"/>
      <w:divBdr>
        <w:top w:val="none" w:sz="0" w:space="0" w:color="auto"/>
        <w:left w:val="none" w:sz="0" w:space="0" w:color="auto"/>
        <w:bottom w:val="none" w:sz="0" w:space="0" w:color="auto"/>
        <w:right w:val="none" w:sz="0" w:space="0" w:color="auto"/>
      </w:divBdr>
    </w:div>
    <w:div w:id="1210000123">
      <w:bodyDiv w:val="1"/>
      <w:marLeft w:val="0"/>
      <w:marRight w:val="0"/>
      <w:marTop w:val="0"/>
      <w:marBottom w:val="0"/>
      <w:divBdr>
        <w:top w:val="none" w:sz="0" w:space="0" w:color="auto"/>
        <w:left w:val="none" w:sz="0" w:space="0" w:color="auto"/>
        <w:bottom w:val="none" w:sz="0" w:space="0" w:color="auto"/>
        <w:right w:val="none" w:sz="0" w:space="0" w:color="auto"/>
      </w:divBdr>
    </w:div>
    <w:div w:id="1211771385">
      <w:bodyDiv w:val="1"/>
      <w:marLeft w:val="0"/>
      <w:marRight w:val="0"/>
      <w:marTop w:val="0"/>
      <w:marBottom w:val="0"/>
      <w:divBdr>
        <w:top w:val="none" w:sz="0" w:space="0" w:color="auto"/>
        <w:left w:val="none" w:sz="0" w:space="0" w:color="auto"/>
        <w:bottom w:val="none" w:sz="0" w:space="0" w:color="auto"/>
        <w:right w:val="none" w:sz="0" w:space="0" w:color="auto"/>
      </w:divBdr>
    </w:div>
    <w:div w:id="1212351472">
      <w:bodyDiv w:val="1"/>
      <w:marLeft w:val="0"/>
      <w:marRight w:val="0"/>
      <w:marTop w:val="0"/>
      <w:marBottom w:val="0"/>
      <w:divBdr>
        <w:top w:val="none" w:sz="0" w:space="0" w:color="auto"/>
        <w:left w:val="none" w:sz="0" w:space="0" w:color="auto"/>
        <w:bottom w:val="none" w:sz="0" w:space="0" w:color="auto"/>
        <w:right w:val="none" w:sz="0" w:space="0" w:color="auto"/>
      </w:divBdr>
    </w:div>
    <w:div w:id="1213346751">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847055">
      <w:bodyDiv w:val="1"/>
      <w:marLeft w:val="0"/>
      <w:marRight w:val="0"/>
      <w:marTop w:val="0"/>
      <w:marBottom w:val="0"/>
      <w:divBdr>
        <w:top w:val="none" w:sz="0" w:space="0" w:color="auto"/>
        <w:left w:val="none" w:sz="0" w:space="0" w:color="auto"/>
        <w:bottom w:val="none" w:sz="0" w:space="0" w:color="auto"/>
        <w:right w:val="none" w:sz="0" w:space="0" w:color="auto"/>
      </w:divBdr>
    </w:div>
    <w:div w:id="1216938080">
      <w:bodyDiv w:val="1"/>
      <w:marLeft w:val="0"/>
      <w:marRight w:val="0"/>
      <w:marTop w:val="0"/>
      <w:marBottom w:val="0"/>
      <w:divBdr>
        <w:top w:val="none" w:sz="0" w:space="0" w:color="auto"/>
        <w:left w:val="none" w:sz="0" w:space="0" w:color="auto"/>
        <w:bottom w:val="none" w:sz="0" w:space="0" w:color="auto"/>
        <w:right w:val="none" w:sz="0" w:space="0" w:color="auto"/>
      </w:divBdr>
    </w:div>
    <w:div w:id="1217164202">
      <w:bodyDiv w:val="1"/>
      <w:marLeft w:val="0"/>
      <w:marRight w:val="0"/>
      <w:marTop w:val="0"/>
      <w:marBottom w:val="0"/>
      <w:divBdr>
        <w:top w:val="none" w:sz="0" w:space="0" w:color="auto"/>
        <w:left w:val="none" w:sz="0" w:space="0" w:color="auto"/>
        <w:bottom w:val="none" w:sz="0" w:space="0" w:color="auto"/>
        <w:right w:val="none" w:sz="0" w:space="0" w:color="auto"/>
      </w:divBdr>
    </w:div>
    <w:div w:id="1217661783">
      <w:bodyDiv w:val="1"/>
      <w:marLeft w:val="0"/>
      <w:marRight w:val="0"/>
      <w:marTop w:val="0"/>
      <w:marBottom w:val="0"/>
      <w:divBdr>
        <w:top w:val="none" w:sz="0" w:space="0" w:color="auto"/>
        <w:left w:val="none" w:sz="0" w:space="0" w:color="auto"/>
        <w:bottom w:val="none" w:sz="0" w:space="0" w:color="auto"/>
        <w:right w:val="none" w:sz="0" w:space="0" w:color="auto"/>
      </w:divBdr>
    </w:div>
    <w:div w:id="1218473307">
      <w:bodyDiv w:val="1"/>
      <w:marLeft w:val="0"/>
      <w:marRight w:val="0"/>
      <w:marTop w:val="0"/>
      <w:marBottom w:val="0"/>
      <w:divBdr>
        <w:top w:val="none" w:sz="0" w:space="0" w:color="auto"/>
        <w:left w:val="none" w:sz="0" w:space="0" w:color="auto"/>
        <w:bottom w:val="none" w:sz="0" w:space="0" w:color="auto"/>
        <w:right w:val="none" w:sz="0" w:space="0" w:color="auto"/>
      </w:divBdr>
    </w:div>
    <w:div w:id="1219391063">
      <w:bodyDiv w:val="1"/>
      <w:marLeft w:val="0"/>
      <w:marRight w:val="0"/>
      <w:marTop w:val="0"/>
      <w:marBottom w:val="0"/>
      <w:divBdr>
        <w:top w:val="none" w:sz="0" w:space="0" w:color="auto"/>
        <w:left w:val="none" w:sz="0" w:space="0" w:color="auto"/>
        <w:bottom w:val="none" w:sz="0" w:space="0" w:color="auto"/>
        <w:right w:val="none" w:sz="0" w:space="0" w:color="auto"/>
      </w:divBdr>
    </w:div>
    <w:div w:id="1220824960">
      <w:bodyDiv w:val="1"/>
      <w:marLeft w:val="0"/>
      <w:marRight w:val="0"/>
      <w:marTop w:val="0"/>
      <w:marBottom w:val="0"/>
      <w:divBdr>
        <w:top w:val="none" w:sz="0" w:space="0" w:color="auto"/>
        <w:left w:val="none" w:sz="0" w:space="0" w:color="auto"/>
        <w:bottom w:val="none" w:sz="0" w:space="0" w:color="auto"/>
        <w:right w:val="none" w:sz="0" w:space="0" w:color="auto"/>
      </w:divBdr>
    </w:div>
    <w:div w:id="1222251226">
      <w:bodyDiv w:val="1"/>
      <w:marLeft w:val="0"/>
      <w:marRight w:val="0"/>
      <w:marTop w:val="0"/>
      <w:marBottom w:val="0"/>
      <w:divBdr>
        <w:top w:val="none" w:sz="0" w:space="0" w:color="auto"/>
        <w:left w:val="none" w:sz="0" w:space="0" w:color="auto"/>
        <w:bottom w:val="none" w:sz="0" w:space="0" w:color="auto"/>
        <w:right w:val="none" w:sz="0" w:space="0" w:color="auto"/>
      </w:divBdr>
    </w:div>
    <w:div w:id="1222251614">
      <w:bodyDiv w:val="1"/>
      <w:marLeft w:val="0"/>
      <w:marRight w:val="0"/>
      <w:marTop w:val="0"/>
      <w:marBottom w:val="0"/>
      <w:divBdr>
        <w:top w:val="none" w:sz="0" w:space="0" w:color="auto"/>
        <w:left w:val="none" w:sz="0" w:space="0" w:color="auto"/>
        <w:bottom w:val="none" w:sz="0" w:space="0" w:color="auto"/>
        <w:right w:val="none" w:sz="0" w:space="0" w:color="auto"/>
      </w:divBdr>
    </w:div>
    <w:div w:id="1224750767">
      <w:bodyDiv w:val="1"/>
      <w:marLeft w:val="0"/>
      <w:marRight w:val="0"/>
      <w:marTop w:val="0"/>
      <w:marBottom w:val="0"/>
      <w:divBdr>
        <w:top w:val="none" w:sz="0" w:space="0" w:color="auto"/>
        <w:left w:val="none" w:sz="0" w:space="0" w:color="auto"/>
        <w:bottom w:val="none" w:sz="0" w:space="0" w:color="auto"/>
        <w:right w:val="none" w:sz="0" w:space="0" w:color="auto"/>
      </w:divBdr>
    </w:div>
    <w:div w:id="1225023345">
      <w:bodyDiv w:val="1"/>
      <w:marLeft w:val="0"/>
      <w:marRight w:val="0"/>
      <w:marTop w:val="0"/>
      <w:marBottom w:val="0"/>
      <w:divBdr>
        <w:top w:val="none" w:sz="0" w:space="0" w:color="auto"/>
        <w:left w:val="none" w:sz="0" w:space="0" w:color="auto"/>
        <w:bottom w:val="none" w:sz="0" w:space="0" w:color="auto"/>
        <w:right w:val="none" w:sz="0" w:space="0" w:color="auto"/>
      </w:divBdr>
    </w:div>
    <w:div w:id="1225068575">
      <w:bodyDiv w:val="1"/>
      <w:marLeft w:val="0"/>
      <w:marRight w:val="0"/>
      <w:marTop w:val="0"/>
      <w:marBottom w:val="0"/>
      <w:divBdr>
        <w:top w:val="none" w:sz="0" w:space="0" w:color="auto"/>
        <w:left w:val="none" w:sz="0" w:space="0" w:color="auto"/>
        <w:bottom w:val="none" w:sz="0" w:space="0" w:color="auto"/>
        <w:right w:val="none" w:sz="0" w:space="0" w:color="auto"/>
      </w:divBdr>
    </w:div>
    <w:div w:id="1229921681">
      <w:bodyDiv w:val="1"/>
      <w:marLeft w:val="0"/>
      <w:marRight w:val="0"/>
      <w:marTop w:val="0"/>
      <w:marBottom w:val="0"/>
      <w:divBdr>
        <w:top w:val="none" w:sz="0" w:space="0" w:color="auto"/>
        <w:left w:val="none" w:sz="0" w:space="0" w:color="auto"/>
        <w:bottom w:val="none" w:sz="0" w:space="0" w:color="auto"/>
        <w:right w:val="none" w:sz="0" w:space="0" w:color="auto"/>
      </w:divBdr>
    </w:div>
    <w:div w:id="1234001027">
      <w:bodyDiv w:val="1"/>
      <w:marLeft w:val="0"/>
      <w:marRight w:val="0"/>
      <w:marTop w:val="0"/>
      <w:marBottom w:val="0"/>
      <w:divBdr>
        <w:top w:val="none" w:sz="0" w:space="0" w:color="auto"/>
        <w:left w:val="none" w:sz="0" w:space="0" w:color="auto"/>
        <w:bottom w:val="none" w:sz="0" w:space="0" w:color="auto"/>
        <w:right w:val="none" w:sz="0" w:space="0" w:color="auto"/>
      </w:divBdr>
    </w:div>
    <w:div w:id="1235164484">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35703787">
      <w:bodyDiv w:val="1"/>
      <w:marLeft w:val="0"/>
      <w:marRight w:val="0"/>
      <w:marTop w:val="0"/>
      <w:marBottom w:val="0"/>
      <w:divBdr>
        <w:top w:val="none" w:sz="0" w:space="0" w:color="auto"/>
        <w:left w:val="none" w:sz="0" w:space="0" w:color="auto"/>
        <w:bottom w:val="none" w:sz="0" w:space="0" w:color="auto"/>
        <w:right w:val="none" w:sz="0" w:space="0" w:color="auto"/>
      </w:divBdr>
    </w:div>
    <w:div w:id="1237940321">
      <w:bodyDiv w:val="1"/>
      <w:marLeft w:val="0"/>
      <w:marRight w:val="0"/>
      <w:marTop w:val="0"/>
      <w:marBottom w:val="0"/>
      <w:divBdr>
        <w:top w:val="none" w:sz="0" w:space="0" w:color="auto"/>
        <w:left w:val="none" w:sz="0" w:space="0" w:color="auto"/>
        <w:bottom w:val="none" w:sz="0" w:space="0" w:color="auto"/>
        <w:right w:val="none" w:sz="0" w:space="0" w:color="auto"/>
      </w:divBdr>
    </w:div>
    <w:div w:id="1239097121">
      <w:bodyDiv w:val="1"/>
      <w:marLeft w:val="0"/>
      <w:marRight w:val="0"/>
      <w:marTop w:val="0"/>
      <w:marBottom w:val="0"/>
      <w:divBdr>
        <w:top w:val="none" w:sz="0" w:space="0" w:color="auto"/>
        <w:left w:val="none" w:sz="0" w:space="0" w:color="auto"/>
        <w:bottom w:val="none" w:sz="0" w:space="0" w:color="auto"/>
        <w:right w:val="none" w:sz="0" w:space="0" w:color="auto"/>
      </w:divBdr>
    </w:div>
    <w:div w:id="1239367589">
      <w:bodyDiv w:val="1"/>
      <w:marLeft w:val="0"/>
      <w:marRight w:val="0"/>
      <w:marTop w:val="0"/>
      <w:marBottom w:val="0"/>
      <w:divBdr>
        <w:top w:val="none" w:sz="0" w:space="0" w:color="auto"/>
        <w:left w:val="none" w:sz="0" w:space="0" w:color="auto"/>
        <w:bottom w:val="none" w:sz="0" w:space="0" w:color="auto"/>
        <w:right w:val="none" w:sz="0" w:space="0" w:color="auto"/>
      </w:divBdr>
    </w:div>
    <w:div w:id="1240167474">
      <w:bodyDiv w:val="1"/>
      <w:marLeft w:val="0"/>
      <w:marRight w:val="0"/>
      <w:marTop w:val="0"/>
      <w:marBottom w:val="0"/>
      <w:divBdr>
        <w:top w:val="none" w:sz="0" w:space="0" w:color="auto"/>
        <w:left w:val="none" w:sz="0" w:space="0" w:color="auto"/>
        <w:bottom w:val="none" w:sz="0" w:space="0" w:color="auto"/>
        <w:right w:val="none" w:sz="0" w:space="0" w:color="auto"/>
      </w:divBdr>
    </w:div>
    <w:div w:id="1240481012">
      <w:bodyDiv w:val="1"/>
      <w:marLeft w:val="0"/>
      <w:marRight w:val="0"/>
      <w:marTop w:val="0"/>
      <w:marBottom w:val="0"/>
      <w:divBdr>
        <w:top w:val="none" w:sz="0" w:space="0" w:color="auto"/>
        <w:left w:val="none" w:sz="0" w:space="0" w:color="auto"/>
        <w:bottom w:val="none" w:sz="0" w:space="0" w:color="auto"/>
        <w:right w:val="none" w:sz="0" w:space="0" w:color="auto"/>
      </w:divBdr>
    </w:div>
    <w:div w:id="1240676574">
      <w:bodyDiv w:val="1"/>
      <w:marLeft w:val="0"/>
      <w:marRight w:val="0"/>
      <w:marTop w:val="0"/>
      <w:marBottom w:val="0"/>
      <w:divBdr>
        <w:top w:val="none" w:sz="0" w:space="0" w:color="auto"/>
        <w:left w:val="none" w:sz="0" w:space="0" w:color="auto"/>
        <w:bottom w:val="none" w:sz="0" w:space="0" w:color="auto"/>
        <w:right w:val="none" w:sz="0" w:space="0" w:color="auto"/>
      </w:divBdr>
    </w:div>
    <w:div w:id="1243375633">
      <w:bodyDiv w:val="1"/>
      <w:marLeft w:val="0"/>
      <w:marRight w:val="0"/>
      <w:marTop w:val="0"/>
      <w:marBottom w:val="0"/>
      <w:divBdr>
        <w:top w:val="none" w:sz="0" w:space="0" w:color="auto"/>
        <w:left w:val="none" w:sz="0" w:space="0" w:color="auto"/>
        <w:bottom w:val="none" w:sz="0" w:space="0" w:color="auto"/>
        <w:right w:val="none" w:sz="0" w:space="0" w:color="auto"/>
      </w:divBdr>
    </w:div>
    <w:div w:id="1244800038">
      <w:bodyDiv w:val="1"/>
      <w:marLeft w:val="0"/>
      <w:marRight w:val="0"/>
      <w:marTop w:val="0"/>
      <w:marBottom w:val="0"/>
      <w:divBdr>
        <w:top w:val="none" w:sz="0" w:space="0" w:color="auto"/>
        <w:left w:val="none" w:sz="0" w:space="0" w:color="auto"/>
        <w:bottom w:val="none" w:sz="0" w:space="0" w:color="auto"/>
        <w:right w:val="none" w:sz="0" w:space="0" w:color="auto"/>
      </w:divBdr>
    </w:div>
    <w:div w:id="1247887770">
      <w:bodyDiv w:val="1"/>
      <w:marLeft w:val="0"/>
      <w:marRight w:val="0"/>
      <w:marTop w:val="0"/>
      <w:marBottom w:val="0"/>
      <w:divBdr>
        <w:top w:val="none" w:sz="0" w:space="0" w:color="auto"/>
        <w:left w:val="none" w:sz="0" w:space="0" w:color="auto"/>
        <w:bottom w:val="none" w:sz="0" w:space="0" w:color="auto"/>
        <w:right w:val="none" w:sz="0" w:space="0" w:color="auto"/>
      </w:divBdr>
    </w:div>
    <w:div w:id="1247959867">
      <w:bodyDiv w:val="1"/>
      <w:marLeft w:val="0"/>
      <w:marRight w:val="0"/>
      <w:marTop w:val="0"/>
      <w:marBottom w:val="0"/>
      <w:divBdr>
        <w:top w:val="none" w:sz="0" w:space="0" w:color="auto"/>
        <w:left w:val="none" w:sz="0" w:space="0" w:color="auto"/>
        <w:bottom w:val="none" w:sz="0" w:space="0" w:color="auto"/>
        <w:right w:val="none" w:sz="0" w:space="0" w:color="auto"/>
      </w:divBdr>
    </w:div>
    <w:div w:id="1248660065">
      <w:bodyDiv w:val="1"/>
      <w:marLeft w:val="0"/>
      <w:marRight w:val="0"/>
      <w:marTop w:val="0"/>
      <w:marBottom w:val="0"/>
      <w:divBdr>
        <w:top w:val="none" w:sz="0" w:space="0" w:color="auto"/>
        <w:left w:val="none" w:sz="0" w:space="0" w:color="auto"/>
        <w:bottom w:val="none" w:sz="0" w:space="0" w:color="auto"/>
        <w:right w:val="none" w:sz="0" w:space="0" w:color="auto"/>
      </w:divBdr>
    </w:div>
    <w:div w:id="1249120285">
      <w:bodyDiv w:val="1"/>
      <w:marLeft w:val="0"/>
      <w:marRight w:val="0"/>
      <w:marTop w:val="0"/>
      <w:marBottom w:val="0"/>
      <w:divBdr>
        <w:top w:val="none" w:sz="0" w:space="0" w:color="auto"/>
        <w:left w:val="none" w:sz="0" w:space="0" w:color="auto"/>
        <w:bottom w:val="none" w:sz="0" w:space="0" w:color="auto"/>
        <w:right w:val="none" w:sz="0" w:space="0" w:color="auto"/>
      </w:divBdr>
    </w:div>
    <w:div w:id="1251424533">
      <w:bodyDiv w:val="1"/>
      <w:marLeft w:val="0"/>
      <w:marRight w:val="0"/>
      <w:marTop w:val="0"/>
      <w:marBottom w:val="0"/>
      <w:divBdr>
        <w:top w:val="none" w:sz="0" w:space="0" w:color="auto"/>
        <w:left w:val="none" w:sz="0" w:space="0" w:color="auto"/>
        <w:bottom w:val="none" w:sz="0" w:space="0" w:color="auto"/>
        <w:right w:val="none" w:sz="0" w:space="0" w:color="auto"/>
      </w:divBdr>
    </w:div>
    <w:div w:id="1252162055">
      <w:bodyDiv w:val="1"/>
      <w:marLeft w:val="0"/>
      <w:marRight w:val="0"/>
      <w:marTop w:val="0"/>
      <w:marBottom w:val="0"/>
      <w:divBdr>
        <w:top w:val="none" w:sz="0" w:space="0" w:color="auto"/>
        <w:left w:val="none" w:sz="0" w:space="0" w:color="auto"/>
        <w:bottom w:val="none" w:sz="0" w:space="0" w:color="auto"/>
        <w:right w:val="none" w:sz="0" w:space="0" w:color="auto"/>
      </w:divBdr>
    </w:div>
    <w:div w:id="1253127918">
      <w:bodyDiv w:val="1"/>
      <w:marLeft w:val="0"/>
      <w:marRight w:val="0"/>
      <w:marTop w:val="0"/>
      <w:marBottom w:val="0"/>
      <w:divBdr>
        <w:top w:val="none" w:sz="0" w:space="0" w:color="auto"/>
        <w:left w:val="none" w:sz="0" w:space="0" w:color="auto"/>
        <w:bottom w:val="none" w:sz="0" w:space="0" w:color="auto"/>
        <w:right w:val="none" w:sz="0" w:space="0" w:color="auto"/>
      </w:divBdr>
    </w:div>
    <w:div w:id="1256472490">
      <w:bodyDiv w:val="1"/>
      <w:marLeft w:val="0"/>
      <w:marRight w:val="0"/>
      <w:marTop w:val="0"/>
      <w:marBottom w:val="0"/>
      <w:divBdr>
        <w:top w:val="none" w:sz="0" w:space="0" w:color="auto"/>
        <w:left w:val="none" w:sz="0" w:space="0" w:color="auto"/>
        <w:bottom w:val="none" w:sz="0" w:space="0" w:color="auto"/>
        <w:right w:val="none" w:sz="0" w:space="0" w:color="auto"/>
      </w:divBdr>
    </w:div>
    <w:div w:id="1258367965">
      <w:bodyDiv w:val="1"/>
      <w:marLeft w:val="0"/>
      <w:marRight w:val="0"/>
      <w:marTop w:val="0"/>
      <w:marBottom w:val="0"/>
      <w:divBdr>
        <w:top w:val="none" w:sz="0" w:space="0" w:color="auto"/>
        <w:left w:val="none" w:sz="0" w:space="0" w:color="auto"/>
        <w:bottom w:val="none" w:sz="0" w:space="0" w:color="auto"/>
        <w:right w:val="none" w:sz="0" w:space="0" w:color="auto"/>
      </w:divBdr>
    </w:div>
    <w:div w:id="1259559711">
      <w:bodyDiv w:val="1"/>
      <w:marLeft w:val="0"/>
      <w:marRight w:val="0"/>
      <w:marTop w:val="0"/>
      <w:marBottom w:val="0"/>
      <w:divBdr>
        <w:top w:val="none" w:sz="0" w:space="0" w:color="auto"/>
        <w:left w:val="none" w:sz="0" w:space="0" w:color="auto"/>
        <w:bottom w:val="none" w:sz="0" w:space="0" w:color="auto"/>
        <w:right w:val="none" w:sz="0" w:space="0" w:color="auto"/>
      </w:divBdr>
    </w:div>
    <w:div w:id="1259798849">
      <w:bodyDiv w:val="1"/>
      <w:marLeft w:val="0"/>
      <w:marRight w:val="0"/>
      <w:marTop w:val="0"/>
      <w:marBottom w:val="0"/>
      <w:divBdr>
        <w:top w:val="none" w:sz="0" w:space="0" w:color="auto"/>
        <w:left w:val="none" w:sz="0" w:space="0" w:color="auto"/>
        <w:bottom w:val="none" w:sz="0" w:space="0" w:color="auto"/>
        <w:right w:val="none" w:sz="0" w:space="0" w:color="auto"/>
      </w:divBdr>
    </w:div>
    <w:div w:id="1259866513">
      <w:bodyDiv w:val="1"/>
      <w:marLeft w:val="0"/>
      <w:marRight w:val="0"/>
      <w:marTop w:val="0"/>
      <w:marBottom w:val="0"/>
      <w:divBdr>
        <w:top w:val="none" w:sz="0" w:space="0" w:color="auto"/>
        <w:left w:val="none" w:sz="0" w:space="0" w:color="auto"/>
        <w:bottom w:val="none" w:sz="0" w:space="0" w:color="auto"/>
        <w:right w:val="none" w:sz="0" w:space="0" w:color="auto"/>
      </w:divBdr>
    </w:div>
    <w:div w:id="1261640896">
      <w:bodyDiv w:val="1"/>
      <w:marLeft w:val="0"/>
      <w:marRight w:val="0"/>
      <w:marTop w:val="0"/>
      <w:marBottom w:val="0"/>
      <w:divBdr>
        <w:top w:val="none" w:sz="0" w:space="0" w:color="auto"/>
        <w:left w:val="none" w:sz="0" w:space="0" w:color="auto"/>
        <w:bottom w:val="none" w:sz="0" w:space="0" w:color="auto"/>
        <w:right w:val="none" w:sz="0" w:space="0" w:color="auto"/>
      </w:divBdr>
    </w:div>
    <w:div w:id="1261986686">
      <w:bodyDiv w:val="1"/>
      <w:marLeft w:val="0"/>
      <w:marRight w:val="0"/>
      <w:marTop w:val="0"/>
      <w:marBottom w:val="0"/>
      <w:divBdr>
        <w:top w:val="none" w:sz="0" w:space="0" w:color="auto"/>
        <w:left w:val="none" w:sz="0" w:space="0" w:color="auto"/>
        <w:bottom w:val="none" w:sz="0" w:space="0" w:color="auto"/>
        <w:right w:val="none" w:sz="0" w:space="0" w:color="auto"/>
      </w:divBdr>
    </w:div>
    <w:div w:id="1262296034">
      <w:bodyDiv w:val="1"/>
      <w:marLeft w:val="0"/>
      <w:marRight w:val="0"/>
      <w:marTop w:val="0"/>
      <w:marBottom w:val="0"/>
      <w:divBdr>
        <w:top w:val="none" w:sz="0" w:space="0" w:color="auto"/>
        <w:left w:val="none" w:sz="0" w:space="0" w:color="auto"/>
        <w:bottom w:val="none" w:sz="0" w:space="0" w:color="auto"/>
        <w:right w:val="none" w:sz="0" w:space="0" w:color="auto"/>
      </w:divBdr>
    </w:div>
    <w:div w:id="1262838480">
      <w:bodyDiv w:val="1"/>
      <w:marLeft w:val="0"/>
      <w:marRight w:val="0"/>
      <w:marTop w:val="0"/>
      <w:marBottom w:val="0"/>
      <w:divBdr>
        <w:top w:val="none" w:sz="0" w:space="0" w:color="auto"/>
        <w:left w:val="none" w:sz="0" w:space="0" w:color="auto"/>
        <w:bottom w:val="none" w:sz="0" w:space="0" w:color="auto"/>
        <w:right w:val="none" w:sz="0" w:space="0" w:color="auto"/>
      </w:divBdr>
    </w:div>
    <w:div w:id="1263227897">
      <w:bodyDiv w:val="1"/>
      <w:marLeft w:val="0"/>
      <w:marRight w:val="0"/>
      <w:marTop w:val="0"/>
      <w:marBottom w:val="0"/>
      <w:divBdr>
        <w:top w:val="none" w:sz="0" w:space="0" w:color="auto"/>
        <w:left w:val="none" w:sz="0" w:space="0" w:color="auto"/>
        <w:bottom w:val="none" w:sz="0" w:space="0" w:color="auto"/>
        <w:right w:val="none" w:sz="0" w:space="0" w:color="auto"/>
      </w:divBdr>
    </w:div>
    <w:div w:id="1263413155">
      <w:bodyDiv w:val="1"/>
      <w:marLeft w:val="0"/>
      <w:marRight w:val="0"/>
      <w:marTop w:val="0"/>
      <w:marBottom w:val="0"/>
      <w:divBdr>
        <w:top w:val="none" w:sz="0" w:space="0" w:color="auto"/>
        <w:left w:val="none" w:sz="0" w:space="0" w:color="auto"/>
        <w:bottom w:val="none" w:sz="0" w:space="0" w:color="auto"/>
        <w:right w:val="none" w:sz="0" w:space="0" w:color="auto"/>
      </w:divBdr>
    </w:div>
    <w:div w:id="1263681570">
      <w:bodyDiv w:val="1"/>
      <w:marLeft w:val="0"/>
      <w:marRight w:val="0"/>
      <w:marTop w:val="0"/>
      <w:marBottom w:val="0"/>
      <w:divBdr>
        <w:top w:val="none" w:sz="0" w:space="0" w:color="auto"/>
        <w:left w:val="none" w:sz="0" w:space="0" w:color="auto"/>
        <w:bottom w:val="none" w:sz="0" w:space="0" w:color="auto"/>
        <w:right w:val="none" w:sz="0" w:space="0" w:color="auto"/>
      </w:divBdr>
    </w:div>
    <w:div w:id="1265114887">
      <w:bodyDiv w:val="1"/>
      <w:marLeft w:val="0"/>
      <w:marRight w:val="0"/>
      <w:marTop w:val="0"/>
      <w:marBottom w:val="0"/>
      <w:divBdr>
        <w:top w:val="none" w:sz="0" w:space="0" w:color="auto"/>
        <w:left w:val="none" w:sz="0" w:space="0" w:color="auto"/>
        <w:bottom w:val="none" w:sz="0" w:space="0" w:color="auto"/>
        <w:right w:val="none" w:sz="0" w:space="0" w:color="auto"/>
      </w:divBdr>
    </w:div>
    <w:div w:id="1265116503">
      <w:bodyDiv w:val="1"/>
      <w:marLeft w:val="0"/>
      <w:marRight w:val="0"/>
      <w:marTop w:val="0"/>
      <w:marBottom w:val="0"/>
      <w:divBdr>
        <w:top w:val="none" w:sz="0" w:space="0" w:color="auto"/>
        <w:left w:val="none" w:sz="0" w:space="0" w:color="auto"/>
        <w:bottom w:val="none" w:sz="0" w:space="0" w:color="auto"/>
        <w:right w:val="none" w:sz="0" w:space="0" w:color="auto"/>
      </w:divBdr>
    </w:div>
    <w:div w:id="1268006839">
      <w:bodyDiv w:val="1"/>
      <w:marLeft w:val="0"/>
      <w:marRight w:val="0"/>
      <w:marTop w:val="0"/>
      <w:marBottom w:val="0"/>
      <w:divBdr>
        <w:top w:val="none" w:sz="0" w:space="0" w:color="auto"/>
        <w:left w:val="none" w:sz="0" w:space="0" w:color="auto"/>
        <w:bottom w:val="none" w:sz="0" w:space="0" w:color="auto"/>
        <w:right w:val="none" w:sz="0" w:space="0" w:color="auto"/>
      </w:divBdr>
    </w:div>
    <w:div w:id="1270433787">
      <w:bodyDiv w:val="1"/>
      <w:marLeft w:val="0"/>
      <w:marRight w:val="0"/>
      <w:marTop w:val="0"/>
      <w:marBottom w:val="0"/>
      <w:divBdr>
        <w:top w:val="none" w:sz="0" w:space="0" w:color="auto"/>
        <w:left w:val="none" w:sz="0" w:space="0" w:color="auto"/>
        <w:bottom w:val="none" w:sz="0" w:space="0" w:color="auto"/>
        <w:right w:val="none" w:sz="0" w:space="0" w:color="auto"/>
      </w:divBdr>
    </w:div>
    <w:div w:id="1273710687">
      <w:bodyDiv w:val="1"/>
      <w:marLeft w:val="0"/>
      <w:marRight w:val="0"/>
      <w:marTop w:val="0"/>
      <w:marBottom w:val="0"/>
      <w:divBdr>
        <w:top w:val="none" w:sz="0" w:space="0" w:color="auto"/>
        <w:left w:val="none" w:sz="0" w:space="0" w:color="auto"/>
        <w:bottom w:val="none" w:sz="0" w:space="0" w:color="auto"/>
        <w:right w:val="none" w:sz="0" w:space="0" w:color="auto"/>
      </w:divBdr>
    </w:div>
    <w:div w:id="1274553120">
      <w:bodyDiv w:val="1"/>
      <w:marLeft w:val="0"/>
      <w:marRight w:val="0"/>
      <w:marTop w:val="0"/>
      <w:marBottom w:val="0"/>
      <w:divBdr>
        <w:top w:val="none" w:sz="0" w:space="0" w:color="auto"/>
        <w:left w:val="none" w:sz="0" w:space="0" w:color="auto"/>
        <w:bottom w:val="none" w:sz="0" w:space="0" w:color="auto"/>
        <w:right w:val="none" w:sz="0" w:space="0" w:color="auto"/>
      </w:divBdr>
    </w:div>
    <w:div w:id="1280648401">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6082948">
      <w:bodyDiv w:val="1"/>
      <w:marLeft w:val="0"/>
      <w:marRight w:val="0"/>
      <w:marTop w:val="0"/>
      <w:marBottom w:val="0"/>
      <w:divBdr>
        <w:top w:val="none" w:sz="0" w:space="0" w:color="auto"/>
        <w:left w:val="none" w:sz="0" w:space="0" w:color="auto"/>
        <w:bottom w:val="none" w:sz="0" w:space="0" w:color="auto"/>
        <w:right w:val="none" w:sz="0" w:space="0" w:color="auto"/>
      </w:divBdr>
    </w:div>
    <w:div w:id="1286156551">
      <w:bodyDiv w:val="1"/>
      <w:marLeft w:val="0"/>
      <w:marRight w:val="0"/>
      <w:marTop w:val="0"/>
      <w:marBottom w:val="0"/>
      <w:divBdr>
        <w:top w:val="none" w:sz="0" w:space="0" w:color="auto"/>
        <w:left w:val="none" w:sz="0" w:space="0" w:color="auto"/>
        <w:bottom w:val="none" w:sz="0" w:space="0" w:color="auto"/>
        <w:right w:val="none" w:sz="0" w:space="0" w:color="auto"/>
      </w:divBdr>
    </w:div>
    <w:div w:id="1288126287">
      <w:bodyDiv w:val="1"/>
      <w:marLeft w:val="0"/>
      <w:marRight w:val="0"/>
      <w:marTop w:val="0"/>
      <w:marBottom w:val="0"/>
      <w:divBdr>
        <w:top w:val="none" w:sz="0" w:space="0" w:color="auto"/>
        <w:left w:val="none" w:sz="0" w:space="0" w:color="auto"/>
        <w:bottom w:val="none" w:sz="0" w:space="0" w:color="auto"/>
        <w:right w:val="none" w:sz="0" w:space="0" w:color="auto"/>
      </w:divBdr>
    </w:div>
    <w:div w:id="1293511323">
      <w:bodyDiv w:val="1"/>
      <w:marLeft w:val="0"/>
      <w:marRight w:val="0"/>
      <w:marTop w:val="0"/>
      <w:marBottom w:val="0"/>
      <w:divBdr>
        <w:top w:val="none" w:sz="0" w:space="0" w:color="auto"/>
        <w:left w:val="none" w:sz="0" w:space="0" w:color="auto"/>
        <w:bottom w:val="none" w:sz="0" w:space="0" w:color="auto"/>
        <w:right w:val="none" w:sz="0" w:space="0" w:color="auto"/>
      </w:divBdr>
    </w:div>
    <w:div w:id="1293556553">
      <w:bodyDiv w:val="1"/>
      <w:marLeft w:val="0"/>
      <w:marRight w:val="0"/>
      <w:marTop w:val="0"/>
      <w:marBottom w:val="0"/>
      <w:divBdr>
        <w:top w:val="none" w:sz="0" w:space="0" w:color="auto"/>
        <w:left w:val="none" w:sz="0" w:space="0" w:color="auto"/>
        <w:bottom w:val="none" w:sz="0" w:space="0" w:color="auto"/>
        <w:right w:val="none" w:sz="0" w:space="0" w:color="auto"/>
      </w:divBdr>
    </w:div>
    <w:div w:id="1294410623">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
    <w:div w:id="1298297435">
      <w:bodyDiv w:val="1"/>
      <w:marLeft w:val="0"/>
      <w:marRight w:val="0"/>
      <w:marTop w:val="0"/>
      <w:marBottom w:val="0"/>
      <w:divBdr>
        <w:top w:val="none" w:sz="0" w:space="0" w:color="auto"/>
        <w:left w:val="none" w:sz="0" w:space="0" w:color="auto"/>
        <w:bottom w:val="none" w:sz="0" w:space="0" w:color="auto"/>
        <w:right w:val="none" w:sz="0" w:space="0" w:color="auto"/>
      </w:divBdr>
    </w:div>
    <w:div w:id="1298759643">
      <w:bodyDiv w:val="1"/>
      <w:marLeft w:val="0"/>
      <w:marRight w:val="0"/>
      <w:marTop w:val="0"/>
      <w:marBottom w:val="0"/>
      <w:divBdr>
        <w:top w:val="none" w:sz="0" w:space="0" w:color="auto"/>
        <w:left w:val="none" w:sz="0" w:space="0" w:color="auto"/>
        <w:bottom w:val="none" w:sz="0" w:space="0" w:color="auto"/>
        <w:right w:val="none" w:sz="0" w:space="0" w:color="auto"/>
      </w:divBdr>
    </w:div>
    <w:div w:id="1299460368">
      <w:bodyDiv w:val="1"/>
      <w:marLeft w:val="0"/>
      <w:marRight w:val="0"/>
      <w:marTop w:val="0"/>
      <w:marBottom w:val="0"/>
      <w:divBdr>
        <w:top w:val="none" w:sz="0" w:space="0" w:color="auto"/>
        <w:left w:val="none" w:sz="0" w:space="0" w:color="auto"/>
        <w:bottom w:val="none" w:sz="0" w:space="0" w:color="auto"/>
        <w:right w:val="none" w:sz="0" w:space="0" w:color="auto"/>
      </w:divBdr>
    </w:div>
    <w:div w:id="1300498133">
      <w:bodyDiv w:val="1"/>
      <w:marLeft w:val="0"/>
      <w:marRight w:val="0"/>
      <w:marTop w:val="0"/>
      <w:marBottom w:val="0"/>
      <w:divBdr>
        <w:top w:val="none" w:sz="0" w:space="0" w:color="auto"/>
        <w:left w:val="none" w:sz="0" w:space="0" w:color="auto"/>
        <w:bottom w:val="none" w:sz="0" w:space="0" w:color="auto"/>
        <w:right w:val="none" w:sz="0" w:space="0" w:color="auto"/>
      </w:divBdr>
    </w:div>
    <w:div w:id="1301034933">
      <w:bodyDiv w:val="1"/>
      <w:marLeft w:val="0"/>
      <w:marRight w:val="0"/>
      <w:marTop w:val="0"/>
      <w:marBottom w:val="0"/>
      <w:divBdr>
        <w:top w:val="none" w:sz="0" w:space="0" w:color="auto"/>
        <w:left w:val="none" w:sz="0" w:space="0" w:color="auto"/>
        <w:bottom w:val="none" w:sz="0" w:space="0" w:color="auto"/>
        <w:right w:val="none" w:sz="0" w:space="0" w:color="auto"/>
      </w:divBdr>
    </w:div>
    <w:div w:id="1301810117">
      <w:bodyDiv w:val="1"/>
      <w:marLeft w:val="0"/>
      <w:marRight w:val="0"/>
      <w:marTop w:val="0"/>
      <w:marBottom w:val="0"/>
      <w:divBdr>
        <w:top w:val="none" w:sz="0" w:space="0" w:color="auto"/>
        <w:left w:val="none" w:sz="0" w:space="0" w:color="auto"/>
        <w:bottom w:val="none" w:sz="0" w:space="0" w:color="auto"/>
        <w:right w:val="none" w:sz="0" w:space="0" w:color="auto"/>
      </w:divBdr>
    </w:div>
    <w:div w:id="1303385559">
      <w:bodyDiv w:val="1"/>
      <w:marLeft w:val="0"/>
      <w:marRight w:val="0"/>
      <w:marTop w:val="0"/>
      <w:marBottom w:val="0"/>
      <w:divBdr>
        <w:top w:val="none" w:sz="0" w:space="0" w:color="auto"/>
        <w:left w:val="none" w:sz="0" w:space="0" w:color="auto"/>
        <w:bottom w:val="none" w:sz="0" w:space="0" w:color="auto"/>
        <w:right w:val="none" w:sz="0" w:space="0" w:color="auto"/>
      </w:divBdr>
    </w:div>
    <w:div w:id="1304887328">
      <w:bodyDiv w:val="1"/>
      <w:marLeft w:val="0"/>
      <w:marRight w:val="0"/>
      <w:marTop w:val="0"/>
      <w:marBottom w:val="0"/>
      <w:divBdr>
        <w:top w:val="none" w:sz="0" w:space="0" w:color="auto"/>
        <w:left w:val="none" w:sz="0" w:space="0" w:color="auto"/>
        <w:bottom w:val="none" w:sz="0" w:space="0" w:color="auto"/>
        <w:right w:val="none" w:sz="0" w:space="0" w:color="auto"/>
      </w:divBdr>
    </w:div>
    <w:div w:id="1307471416">
      <w:bodyDiv w:val="1"/>
      <w:marLeft w:val="0"/>
      <w:marRight w:val="0"/>
      <w:marTop w:val="0"/>
      <w:marBottom w:val="0"/>
      <w:divBdr>
        <w:top w:val="none" w:sz="0" w:space="0" w:color="auto"/>
        <w:left w:val="none" w:sz="0" w:space="0" w:color="auto"/>
        <w:bottom w:val="none" w:sz="0" w:space="0" w:color="auto"/>
        <w:right w:val="none" w:sz="0" w:space="0" w:color="auto"/>
      </w:divBdr>
    </w:div>
    <w:div w:id="1309047983">
      <w:bodyDiv w:val="1"/>
      <w:marLeft w:val="0"/>
      <w:marRight w:val="0"/>
      <w:marTop w:val="0"/>
      <w:marBottom w:val="0"/>
      <w:divBdr>
        <w:top w:val="none" w:sz="0" w:space="0" w:color="auto"/>
        <w:left w:val="none" w:sz="0" w:space="0" w:color="auto"/>
        <w:bottom w:val="none" w:sz="0" w:space="0" w:color="auto"/>
        <w:right w:val="none" w:sz="0" w:space="0" w:color="auto"/>
      </w:divBdr>
    </w:div>
    <w:div w:id="1309632152">
      <w:bodyDiv w:val="1"/>
      <w:marLeft w:val="0"/>
      <w:marRight w:val="0"/>
      <w:marTop w:val="0"/>
      <w:marBottom w:val="0"/>
      <w:divBdr>
        <w:top w:val="none" w:sz="0" w:space="0" w:color="auto"/>
        <w:left w:val="none" w:sz="0" w:space="0" w:color="auto"/>
        <w:bottom w:val="none" w:sz="0" w:space="0" w:color="auto"/>
        <w:right w:val="none" w:sz="0" w:space="0" w:color="auto"/>
      </w:divBdr>
    </w:div>
    <w:div w:id="1310475009">
      <w:bodyDiv w:val="1"/>
      <w:marLeft w:val="0"/>
      <w:marRight w:val="0"/>
      <w:marTop w:val="0"/>
      <w:marBottom w:val="0"/>
      <w:divBdr>
        <w:top w:val="none" w:sz="0" w:space="0" w:color="auto"/>
        <w:left w:val="none" w:sz="0" w:space="0" w:color="auto"/>
        <w:bottom w:val="none" w:sz="0" w:space="0" w:color="auto"/>
        <w:right w:val="none" w:sz="0" w:space="0" w:color="auto"/>
      </w:divBdr>
    </w:div>
    <w:div w:id="1313293899">
      <w:bodyDiv w:val="1"/>
      <w:marLeft w:val="0"/>
      <w:marRight w:val="0"/>
      <w:marTop w:val="0"/>
      <w:marBottom w:val="0"/>
      <w:divBdr>
        <w:top w:val="none" w:sz="0" w:space="0" w:color="auto"/>
        <w:left w:val="none" w:sz="0" w:space="0" w:color="auto"/>
        <w:bottom w:val="none" w:sz="0" w:space="0" w:color="auto"/>
        <w:right w:val="none" w:sz="0" w:space="0" w:color="auto"/>
      </w:divBdr>
    </w:div>
    <w:div w:id="1315185734">
      <w:bodyDiv w:val="1"/>
      <w:marLeft w:val="0"/>
      <w:marRight w:val="0"/>
      <w:marTop w:val="0"/>
      <w:marBottom w:val="0"/>
      <w:divBdr>
        <w:top w:val="none" w:sz="0" w:space="0" w:color="auto"/>
        <w:left w:val="none" w:sz="0" w:space="0" w:color="auto"/>
        <w:bottom w:val="none" w:sz="0" w:space="0" w:color="auto"/>
        <w:right w:val="none" w:sz="0" w:space="0" w:color="auto"/>
      </w:divBdr>
    </w:div>
    <w:div w:id="1317028674">
      <w:bodyDiv w:val="1"/>
      <w:marLeft w:val="0"/>
      <w:marRight w:val="0"/>
      <w:marTop w:val="0"/>
      <w:marBottom w:val="0"/>
      <w:divBdr>
        <w:top w:val="none" w:sz="0" w:space="0" w:color="auto"/>
        <w:left w:val="none" w:sz="0" w:space="0" w:color="auto"/>
        <w:bottom w:val="none" w:sz="0" w:space="0" w:color="auto"/>
        <w:right w:val="none" w:sz="0" w:space="0" w:color="auto"/>
      </w:divBdr>
    </w:div>
    <w:div w:id="1318221187">
      <w:bodyDiv w:val="1"/>
      <w:marLeft w:val="0"/>
      <w:marRight w:val="0"/>
      <w:marTop w:val="0"/>
      <w:marBottom w:val="0"/>
      <w:divBdr>
        <w:top w:val="none" w:sz="0" w:space="0" w:color="auto"/>
        <w:left w:val="none" w:sz="0" w:space="0" w:color="auto"/>
        <w:bottom w:val="none" w:sz="0" w:space="0" w:color="auto"/>
        <w:right w:val="none" w:sz="0" w:space="0" w:color="auto"/>
      </w:divBdr>
    </w:div>
    <w:div w:id="1320619048">
      <w:bodyDiv w:val="1"/>
      <w:marLeft w:val="0"/>
      <w:marRight w:val="0"/>
      <w:marTop w:val="0"/>
      <w:marBottom w:val="0"/>
      <w:divBdr>
        <w:top w:val="none" w:sz="0" w:space="0" w:color="auto"/>
        <w:left w:val="none" w:sz="0" w:space="0" w:color="auto"/>
        <w:bottom w:val="none" w:sz="0" w:space="0" w:color="auto"/>
        <w:right w:val="none" w:sz="0" w:space="0" w:color="auto"/>
      </w:divBdr>
    </w:div>
    <w:div w:id="1321537109">
      <w:bodyDiv w:val="1"/>
      <w:marLeft w:val="0"/>
      <w:marRight w:val="0"/>
      <w:marTop w:val="0"/>
      <w:marBottom w:val="0"/>
      <w:divBdr>
        <w:top w:val="none" w:sz="0" w:space="0" w:color="auto"/>
        <w:left w:val="none" w:sz="0" w:space="0" w:color="auto"/>
        <w:bottom w:val="none" w:sz="0" w:space="0" w:color="auto"/>
        <w:right w:val="none" w:sz="0" w:space="0" w:color="auto"/>
      </w:divBdr>
    </w:div>
    <w:div w:id="1322152381">
      <w:bodyDiv w:val="1"/>
      <w:marLeft w:val="0"/>
      <w:marRight w:val="0"/>
      <w:marTop w:val="0"/>
      <w:marBottom w:val="0"/>
      <w:divBdr>
        <w:top w:val="none" w:sz="0" w:space="0" w:color="auto"/>
        <w:left w:val="none" w:sz="0" w:space="0" w:color="auto"/>
        <w:bottom w:val="none" w:sz="0" w:space="0" w:color="auto"/>
        <w:right w:val="none" w:sz="0" w:space="0" w:color="auto"/>
      </w:divBdr>
    </w:div>
    <w:div w:id="1330981750">
      <w:bodyDiv w:val="1"/>
      <w:marLeft w:val="0"/>
      <w:marRight w:val="0"/>
      <w:marTop w:val="0"/>
      <w:marBottom w:val="0"/>
      <w:divBdr>
        <w:top w:val="none" w:sz="0" w:space="0" w:color="auto"/>
        <w:left w:val="none" w:sz="0" w:space="0" w:color="auto"/>
        <w:bottom w:val="none" w:sz="0" w:space="0" w:color="auto"/>
        <w:right w:val="none" w:sz="0" w:space="0" w:color="auto"/>
      </w:divBdr>
    </w:div>
    <w:div w:id="1332178065">
      <w:bodyDiv w:val="1"/>
      <w:marLeft w:val="0"/>
      <w:marRight w:val="0"/>
      <w:marTop w:val="0"/>
      <w:marBottom w:val="0"/>
      <w:divBdr>
        <w:top w:val="none" w:sz="0" w:space="0" w:color="auto"/>
        <w:left w:val="none" w:sz="0" w:space="0" w:color="auto"/>
        <w:bottom w:val="none" w:sz="0" w:space="0" w:color="auto"/>
        <w:right w:val="none" w:sz="0" w:space="0" w:color="auto"/>
      </w:divBdr>
    </w:div>
    <w:div w:id="1334648696">
      <w:bodyDiv w:val="1"/>
      <w:marLeft w:val="0"/>
      <w:marRight w:val="0"/>
      <w:marTop w:val="0"/>
      <w:marBottom w:val="0"/>
      <w:divBdr>
        <w:top w:val="none" w:sz="0" w:space="0" w:color="auto"/>
        <w:left w:val="none" w:sz="0" w:space="0" w:color="auto"/>
        <w:bottom w:val="none" w:sz="0" w:space="0" w:color="auto"/>
        <w:right w:val="none" w:sz="0" w:space="0" w:color="auto"/>
      </w:divBdr>
    </w:div>
    <w:div w:id="1336034896">
      <w:bodyDiv w:val="1"/>
      <w:marLeft w:val="0"/>
      <w:marRight w:val="0"/>
      <w:marTop w:val="0"/>
      <w:marBottom w:val="0"/>
      <w:divBdr>
        <w:top w:val="none" w:sz="0" w:space="0" w:color="auto"/>
        <w:left w:val="none" w:sz="0" w:space="0" w:color="auto"/>
        <w:bottom w:val="none" w:sz="0" w:space="0" w:color="auto"/>
        <w:right w:val="none" w:sz="0" w:space="0" w:color="auto"/>
      </w:divBdr>
    </w:div>
    <w:div w:id="1336569844">
      <w:bodyDiv w:val="1"/>
      <w:marLeft w:val="0"/>
      <w:marRight w:val="0"/>
      <w:marTop w:val="0"/>
      <w:marBottom w:val="0"/>
      <w:divBdr>
        <w:top w:val="none" w:sz="0" w:space="0" w:color="auto"/>
        <w:left w:val="none" w:sz="0" w:space="0" w:color="auto"/>
        <w:bottom w:val="none" w:sz="0" w:space="0" w:color="auto"/>
        <w:right w:val="none" w:sz="0" w:space="0" w:color="auto"/>
      </w:divBdr>
    </w:div>
    <w:div w:id="1337880753">
      <w:bodyDiv w:val="1"/>
      <w:marLeft w:val="0"/>
      <w:marRight w:val="0"/>
      <w:marTop w:val="0"/>
      <w:marBottom w:val="0"/>
      <w:divBdr>
        <w:top w:val="none" w:sz="0" w:space="0" w:color="auto"/>
        <w:left w:val="none" w:sz="0" w:space="0" w:color="auto"/>
        <w:bottom w:val="none" w:sz="0" w:space="0" w:color="auto"/>
        <w:right w:val="none" w:sz="0" w:space="0" w:color="auto"/>
      </w:divBdr>
    </w:div>
    <w:div w:id="1338146232">
      <w:bodyDiv w:val="1"/>
      <w:marLeft w:val="0"/>
      <w:marRight w:val="0"/>
      <w:marTop w:val="0"/>
      <w:marBottom w:val="0"/>
      <w:divBdr>
        <w:top w:val="none" w:sz="0" w:space="0" w:color="auto"/>
        <w:left w:val="none" w:sz="0" w:space="0" w:color="auto"/>
        <w:bottom w:val="none" w:sz="0" w:space="0" w:color="auto"/>
        <w:right w:val="none" w:sz="0" w:space="0" w:color="auto"/>
      </w:divBdr>
    </w:div>
    <w:div w:id="1338577492">
      <w:bodyDiv w:val="1"/>
      <w:marLeft w:val="0"/>
      <w:marRight w:val="0"/>
      <w:marTop w:val="0"/>
      <w:marBottom w:val="0"/>
      <w:divBdr>
        <w:top w:val="none" w:sz="0" w:space="0" w:color="auto"/>
        <w:left w:val="none" w:sz="0" w:space="0" w:color="auto"/>
        <w:bottom w:val="none" w:sz="0" w:space="0" w:color="auto"/>
        <w:right w:val="none" w:sz="0" w:space="0" w:color="auto"/>
      </w:divBdr>
    </w:div>
    <w:div w:id="1339235479">
      <w:bodyDiv w:val="1"/>
      <w:marLeft w:val="0"/>
      <w:marRight w:val="0"/>
      <w:marTop w:val="0"/>
      <w:marBottom w:val="0"/>
      <w:divBdr>
        <w:top w:val="none" w:sz="0" w:space="0" w:color="auto"/>
        <w:left w:val="none" w:sz="0" w:space="0" w:color="auto"/>
        <w:bottom w:val="none" w:sz="0" w:space="0" w:color="auto"/>
        <w:right w:val="none" w:sz="0" w:space="0" w:color="auto"/>
      </w:divBdr>
    </w:div>
    <w:div w:id="1340423824">
      <w:bodyDiv w:val="1"/>
      <w:marLeft w:val="0"/>
      <w:marRight w:val="0"/>
      <w:marTop w:val="0"/>
      <w:marBottom w:val="0"/>
      <w:divBdr>
        <w:top w:val="none" w:sz="0" w:space="0" w:color="auto"/>
        <w:left w:val="none" w:sz="0" w:space="0" w:color="auto"/>
        <w:bottom w:val="none" w:sz="0" w:space="0" w:color="auto"/>
        <w:right w:val="none" w:sz="0" w:space="0" w:color="auto"/>
      </w:divBdr>
    </w:div>
    <w:div w:id="1342703334">
      <w:bodyDiv w:val="1"/>
      <w:marLeft w:val="0"/>
      <w:marRight w:val="0"/>
      <w:marTop w:val="0"/>
      <w:marBottom w:val="0"/>
      <w:divBdr>
        <w:top w:val="none" w:sz="0" w:space="0" w:color="auto"/>
        <w:left w:val="none" w:sz="0" w:space="0" w:color="auto"/>
        <w:bottom w:val="none" w:sz="0" w:space="0" w:color="auto"/>
        <w:right w:val="none" w:sz="0" w:space="0" w:color="auto"/>
      </w:divBdr>
    </w:div>
    <w:div w:id="1343047391">
      <w:bodyDiv w:val="1"/>
      <w:marLeft w:val="0"/>
      <w:marRight w:val="0"/>
      <w:marTop w:val="0"/>
      <w:marBottom w:val="0"/>
      <w:divBdr>
        <w:top w:val="none" w:sz="0" w:space="0" w:color="auto"/>
        <w:left w:val="none" w:sz="0" w:space="0" w:color="auto"/>
        <w:bottom w:val="none" w:sz="0" w:space="0" w:color="auto"/>
        <w:right w:val="none" w:sz="0" w:space="0" w:color="auto"/>
      </w:divBdr>
    </w:div>
    <w:div w:id="1352487682">
      <w:bodyDiv w:val="1"/>
      <w:marLeft w:val="0"/>
      <w:marRight w:val="0"/>
      <w:marTop w:val="0"/>
      <w:marBottom w:val="0"/>
      <w:divBdr>
        <w:top w:val="none" w:sz="0" w:space="0" w:color="auto"/>
        <w:left w:val="none" w:sz="0" w:space="0" w:color="auto"/>
        <w:bottom w:val="none" w:sz="0" w:space="0" w:color="auto"/>
        <w:right w:val="none" w:sz="0" w:space="0" w:color="auto"/>
      </w:divBdr>
    </w:div>
    <w:div w:id="1354846208">
      <w:bodyDiv w:val="1"/>
      <w:marLeft w:val="0"/>
      <w:marRight w:val="0"/>
      <w:marTop w:val="0"/>
      <w:marBottom w:val="0"/>
      <w:divBdr>
        <w:top w:val="none" w:sz="0" w:space="0" w:color="auto"/>
        <w:left w:val="none" w:sz="0" w:space="0" w:color="auto"/>
        <w:bottom w:val="none" w:sz="0" w:space="0" w:color="auto"/>
        <w:right w:val="none" w:sz="0" w:space="0" w:color="auto"/>
      </w:divBdr>
    </w:div>
    <w:div w:id="1358238677">
      <w:bodyDiv w:val="1"/>
      <w:marLeft w:val="0"/>
      <w:marRight w:val="0"/>
      <w:marTop w:val="0"/>
      <w:marBottom w:val="0"/>
      <w:divBdr>
        <w:top w:val="none" w:sz="0" w:space="0" w:color="auto"/>
        <w:left w:val="none" w:sz="0" w:space="0" w:color="auto"/>
        <w:bottom w:val="none" w:sz="0" w:space="0" w:color="auto"/>
        <w:right w:val="none" w:sz="0" w:space="0" w:color="auto"/>
      </w:divBdr>
    </w:div>
    <w:div w:id="1358848208">
      <w:bodyDiv w:val="1"/>
      <w:marLeft w:val="0"/>
      <w:marRight w:val="0"/>
      <w:marTop w:val="0"/>
      <w:marBottom w:val="0"/>
      <w:divBdr>
        <w:top w:val="none" w:sz="0" w:space="0" w:color="auto"/>
        <w:left w:val="none" w:sz="0" w:space="0" w:color="auto"/>
        <w:bottom w:val="none" w:sz="0" w:space="0" w:color="auto"/>
        <w:right w:val="none" w:sz="0" w:space="0" w:color="auto"/>
      </w:divBdr>
    </w:div>
    <w:div w:id="1358891814">
      <w:bodyDiv w:val="1"/>
      <w:marLeft w:val="0"/>
      <w:marRight w:val="0"/>
      <w:marTop w:val="0"/>
      <w:marBottom w:val="0"/>
      <w:divBdr>
        <w:top w:val="none" w:sz="0" w:space="0" w:color="auto"/>
        <w:left w:val="none" w:sz="0" w:space="0" w:color="auto"/>
        <w:bottom w:val="none" w:sz="0" w:space="0" w:color="auto"/>
        <w:right w:val="none" w:sz="0" w:space="0" w:color="auto"/>
      </w:divBdr>
    </w:div>
    <w:div w:id="1359308482">
      <w:bodyDiv w:val="1"/>
      <w:marLeft w:val="0"/>
      <w:marRight w:val="0"/>
      <w:marTop w:val="0"/>
      <w:marBottom w:val="0"/>
      <w:divBdr>
        <w:top w:val="none" w:sz="0" w:space="0" w:color="auto"/>
        <w:left w:val="none" w:sz="0" w:space="0" w:color="auto"/>
        <w:bottom w:val="none" w:sz="0" w:space="0" w:color="auto"/>
        <w:right w:val="none" w:sz="0" w:space="0" w:color="auto"/>
      </w:divBdr>
    </w:div>
    <w:div w:id="1365057564">
      <w:bodyDiv w:val="1"/>
      <w:marLeft w:val="0"/>
      <w:marRight w:val="0"/>
      <w:marTop w:val="0"/>
      <w:marBottom w:val="0"/>
      <w:divBdr>
        <w:top w:val="none" w:sz="0" w:space="0" w:color="auto"/>
        <w:left w:val="none" w:sz="0" w:space="0" w:color="auto"/>
        <w:bottom w:val="none" w:sz="0" w:space="0" w:color="auto"/>
        <w:right w:val="none" w:sz="0" w:space="0" w:color="auto"/>
      </w:divBdr>
    </w:div>
    <w:div w:id="1365255005">
      <w:bodyDiv w:val="1"/>
      <w:marLeft w:val="0"/>
      <w:marRight w:val="0"/>
      <w:marTop w:val="0"/>
      <w:marBottom w:val="0"/>
      <w:divBdr>
        <w:top w:val="none" w:sz="0" w:space="0" w:color="auto"/>
        <w:left w:val="none" w:sz="0" w:space="0" w:color="auto"/>
        <w:bottom w:val="none" w:sz="0" w:space="0" w:color="auto"/>
        <w:right w:val="none" w:sz="0" w:space="0" w:color="auto"/>
      </w:divBdr>
    </w:div>
    <w:div w:id="1368290448">
      <w:bodyDiv w:val="1"/>
      <w:marLeft w:val="0"/>
      <w:marRight w:val="0"/>
      <w:marTop w:val="0"/>
      <w:marBottom w:val="0"/>
      <w:divBdr>
        <w:top w:val="none" w:sz="0" w:space="0" w:color="auto"/>
        <w:left w:val="none" w:sz="0" w:space="0" w:color="auto"/>
        <w:bottom w:val="none" w:sz="0" w:space="0" w:color="auto"/>
        <w:right w:val="none" w:sz="0" w:space="0" w:color="auto"/>
      </w:divBdr>
    </w:div>
    <w:div w:id="1369263269">
      <w:bodyDiv w:val="1"/>
      <w:marLeft w:val="0"/>
      <w:marRight w:val="0"/>
      <w:marTop w:val="0"/>
      <w:marBottom w:val="0"/>
      <w:divBdr>
        <w:top w:val="none" w:sz="0" w:space="0" w:color="auto"/>
        <w:left w:val="none" w:sz="0" w:space="0" w:color="auto"/>
        <w:bottom w:val="none" w:sz="0" w:space="0" w:color="auto"/>
        <w:right w:val="none" w:sz="0" w:space="0" w:color="auto"/>
      </w:divBdr>
    </w:div>
    <w:div w:id="1369640511">
      <w:bodyDiv w:val="1"/>
      <w:marLeft w:val="0"/>
      <w:marRight w:val="0"/>
      <w:marTop w:val="0"/>
      <w:marBottom w:val="0"/>
      <w:divBdr>
        <w:top w:val="none" w:sz="0" w:space="0" w:color="auto"/>
        <w:left w:val="none" w:sz="0" w:space="0" w:color="auto"/>
        <w:bottom w:val="none" w:sz="0" w:space="0" w:color="auto"/>
        <w:right w:val="none" w:sz="0" w:space="0" w:color="auto"/>
      </w:divBdr>
    </w:div>
    <w:div w:id="1370295656">
      <w:bodyDiv w:val="1"/>
      <w:marLeft w:val="0"/>
      <w:marRight w:val="0"/>
      <w:marTop w:val="0"/>
      <w:marBottom w:val="0"/>
      <w:divBdr>
        <w:top w:val="none" w:sz="0" w:space="0" w:color="auto"/>
        <w:left w:val="none" w:sz="0" w:space="0" w:color="auto"/>
        <w:bottom w:val="none" w:sz="0" w:space="0" w:color="auto"/>
        <w:right w:val="none" w:sz="0" w:space="0" w:color="auto"/>
      </w:divBdr>
    </w:div>
    <w:div w:id="1372732756">
      <w:bodyDiv w:val="1"/>
      <w:marLeft w:val="0"/>
      <w:marRight w:val="0"/>
      <w:marTop w:val="0"/>
      <w:marBottom w:val="0"/>
      <w:divBdr>
        <w:top w:val="none" w:sz="0" w:space="0" w:color="auto"/>
        <w:left w:val="none" w:sz="0" w:space="0" w:color="auto"/>
        <w:bottom w:val="none" w:sz="0" w:space="0" w:color="auto"/>
        <w:right w:val="none" w:sz="0" w:space="0" w:color="auto"/>
      </w:divBdr>
    </w:div>
    <w:div w:id="1372804556">
      <w:bodyDiv w:val="1"/>
      <w:marLeft w:val="0"/>
      <w:marRight w:val="0"/>
      <w:marTop w:val="0"/>
      <w:marBottom w:val="0"/>
      <w:divBdr>
        <w:top w:val="none" w:sz="0" w:space="0" w:color="auto"/>
        <w:left w:val="none" w:sz="0" w:space="0" w:color="auto"/>
        <w:bottom w:val="none" w:sz="0" w:space="0" w:color="auto"/>
        <w:right w:val="none" w:sz="0" w:space="0" w:color="auto"/>
      </w:divBdr>
    </w:div>
    <w:div w:id="1373647834">
      <w:bodyDiv w:val="1"/>
      <w:marLeft w:val="0"/>
      <w:marRight w:val="0"/>
      <w:marTop w:val="0"/>
      <w:marBottom w:val="0"/>
      <w:divBdr>
        <w:top w:val="none" w:sz="0" w:space="0" w:color="auto"/>
        <w:left w:val="none" w:sz="0" w:space="0" w:color="auto"/>
        <w:bottom w:val="none" w:sz="0" w:space="0" w:color="auto"/>
        <w:right w:val="none" w:sz="0" w:space="0" w:color="auto"/>
      </w:divBdr>
    </w:div>
    <w:div w:id="1374042456">
      <w:bodyDiv w:val="1"/>
      <w:marLeft w:val="0"/>
      <w:marRight w:val="0"/>
      <w:marTop w:val="0"/>
      <w:marBottom w:val="0"/>
      <w:divBdr>
        <w:top w:val="none" w:sz="0" w:space="0" w:color="auto"/>
        <w:left w:val="none" w:sz="0" w:space="0" w:color="auto"/>
        <w:bottom w:val="none" w:sz="0" w:space="0" w:color="auto"/>
        <w:right w:val="none" w:sz="0" w:space="0" w:color="auto"/>
      </w:divBdr>
    </w:div>
    <w:div w:id="1376587083">
      <w:bodyDiv w:val="1"/>
      <w:marLeft w:val="0"/>
      <w:marRight w:val="0"/>
      <w:marTop w:val="0"/>
      <w:marBottom w:val="0"/>
      <w:divBdr>
        <w:top w:val="none" w:sz="0" w:space="0" w:color="auto"/>
        <w:left w:val="none" w:sz="0" w:space="0" w:color="auto"/>
        <w:bottom w:val="none" w:sz="0" w:space="0" w:color="auto"/>
        <w:right w:val="none" w:sz="0" w:space="0" w:color="auto"/>
      </w:divBdr>
    </w:div>
    <w:div w:id="1376930825">
      <w:bodyDiv w:val="1"/>
      <w:marLeft w:val="0"/>
      <w:marRight w:val="0"/>
      <w:marTop w:val="0"/>
      <w:marBottom w:val="0"/>
      <w:divBdr>
        <w:top w:val="none" w:sz="0" w:space="0" w:color="auto"/>
        <w:left w:val="none" w:sz="0" w:space="0" w:color="auto"/>
        <w:bottom w:val="none" w:sz="0" w:space="0" w:color="auto"/>
        <w:right w:val="none" w:sz="0" w:space="0" w:color="auto"/>
      </w:divBdr>
    </w:div>
    <w:div w:id="1378047118">
      <w:bodyDiv w:val="1"/>
      <w:marLeft w:val="0"/>
      <w:marRight w:val="0"/>
      <w:marTop w:val="0"/>
      <w:marBottom w:val="0"/>
      <w:divBdr>
        <w:top w:val="none" w:sz="0" w:space="0" w:color="auto"/>
        <w:left w:val="none" w:sz="0" w:space="0" w:color="auto"/>
        <w:bottom w:val="none" w:sz="0" w:space="0" w:color="auto"/>
        <w:right w:val="none" w:sz="0" w:space="0" w:color="auto"/>
      </w:divBdr>
    </w:div>
    <w:div w:id="1379091145">
      <w:bodyDiv w:val="1"/>
      <w:marLeft w:val="0"/>
      <w:marRight w:val="0"/>
      <w:marTop w:val="0"/>
      <w:marBottom w:val="0"/>
      <w:divBdr>
        <w:top w:val="none" w:sz="0" w:space="0" w:color="auto"/>
        <w:left w:val="none" w:sz="0" w:space="0" w:color="auto"/>
        <w:bottom w:val="none" w:sz="0" w:space="0" w:color="auto"/>
        <w:right w:val="none" w:sz="0" w:space="0" w:color="auto"/>
      </w:divBdr>
    </w:div>
    <w:div w:id="1379092137">
      <w:bodyDiv w:val="1"/>
      <w:marLeft w:val="0"/>
      <w:marRight w:val="0"/>
      <w:marTop w:val="0"/>
      <w:marBottom w:val="0"/>
      <w:divBdr>
        <w:top w:val="none" w:sz="0" w:space="0" w:color="auto"/>
        <w:left w:val="none" w:sz="0" w:space="0" w:color="auto"/>
        <w:bottom w:val="none" w:sz="0" w:space="0" w:color="auto"/>
        <w:right w:val="none" w:sz="0" w:space="0" w:color="auto"/>
      </w:divBdr>
    </w:div>
    <w:div w:id="1382051149">
      <w:bodyDiv w:val="1"/>
      <w:marLeft w:val="0"/>
      <w:marRight w:val="0"/>
      <w:marTop w:val="0"/>
      <w:marBottom w:val="0"/>
      <w:divBdr>
        <w:top w:val="none" w:sz="0" w:space="0" w:color="auto"/>
        <w:left w:val="none" w:sz="0" w:space="0" w:color="auto"/>
        <w:bottom w:val="none" w:sz="0" w:space="0" w:color="auto"/>
        <w:right w:val="none" w:sz="0" w:space="0" w:color="auto"/>
      </w:divBdr>
    </w:div>
    <w:div w:id="1382367820">
      <w:bodyDiv w:val="1"/>
      <w:marLeft w:val="0"/>
      <w:marRight w:val="0"/>
      <w:marTop w:val="0"/>
      <w:marBottom w:val="0"/>
      <w:divBdr>
        <w:top w:val="none" w:sz="0" w:space="0" w:color="auto"/>
        <w:left w:val="none" w:sz="0" w:space="0" w:color="auto"/>
        <w:bottom w:val="none" w:sz="0" w:space="0" w:color="auto"/>
        <w:right w:val="none" w:sz="0" w:space="0" w:color="auto"/>
      </w:divBdr>
    </w:div>
    <w:div w:id="1383289409">
      <w:bodyDiv w:val="1"/>
      <w:marLeft w:val="0"/>
      <w:marRight w:val="0"/>
      <w:marTop w:val="0"/>
      <w:marBottom w:val="0"/>
      <w:divBdr>
        <w:top w:val="none" w:sz="0" w:space="0" w:color="auto"/>
        <w:left w:val="none" w:sz="0" w:space="0" w:color="auto"/>
        <w:bottom w:val="none" w:sz="0" w:space="0" w:color="auto"/>
        <w:right w:val="none" w:sz="0" w:space="0" w:color="auto"/>
      </w:divBdr>
    </w:div>
    <w:div w:id="1389305346">
      <w:bodyDiv w:val="1"/>
      <w:marLeft w:val="0"/>
      <w:marRight w:val="0"/>
      <w:marTop w:val="0"/>
      <w:marBottom w:val="0"/>
      <w:divBdr>
        <w:top w:val="none" w:sz="0" w:space="0" w:color="auto"/>
        <w:left w:val="none" w:sz="0" w:space="0" w:color="auto"/>
        <w:bottom w:val="none" w:sz="0" w:space="0" w:color="auto"/>
        <w:right w:val="none" w:sz="0" w:space="0" w:color="auto"/>
      </w:divBdr>
    </w:div>
    <w:div w:id="1389500336">
      <w:bodyDiv w:val="1"/>
      <w:marLeft w:val="0"/>
      <w:marRight w:val="0"/>
      <w:marTop w:val="0"/>
      <w:marBottom w:val="0"/>
      <w:divBdr>
        <w:top w:val="none" w:sz="0" w:space="0" w:color="auto"/>
        <w:left w:val="none" w:sz="0" w:space="0" w:color="auto"/>
        <w:bottom w:val="none" w:sz="0" w:space="0" w:color="auto"/>
        <w:right w:val="none" w:sz="0" w:space="0" w:color="auto"/>
      </w:divBdr>
    </w:div>
    <w:div w:id="1389911204">
      <w:bodyDiv w:val="1"/>
      <w:marLeft w:val="0"/>
      <w:marRight w:val="0"/>
      <w:marTop w:val="0"/>
      <w:marBottom w:val="0"/>
      <w:divBdr>
        <w:top w:val="none" w:sz="0" w:space="0" w:color="auto"/>
        <w:left w:val="none" w:sz="0" w:space="0" w:color="auto"/>
        <w:bottom w:val="none" w:sz="0" w:space="0" w:color="auto"/>
        <w:right w:val="none" w:sz="0" w:space="0" w:color="auto"/>
      </w:divBdr>
    </w:div>
    <w:div w:id="1394352521">
      <w:bodyDiv w:val="1"/>
      <w:marLeft w:val="0"/>
      <w:marRight w:val="0"/>
      <w:marTop w:val="0"/>
      <w:marBottom w:val="0"/>
      <w:divBdr>
        <w:top w:val="none" w:sz="0" w:space="0" w:color="auto"/>
        <w:left w:val="none" w:sz="0" w:space="0" w:color="auto"/>
        <w:bottom w:val="none" w:sz="0" w:space="0" w:color="auto"/>
        <w:right w:val="none" w:sz="0" w:space="0" w:color="auto"/>
      </w:divBdr>
    </w:div>
    <w:div w:id="1395542403">
      <w:bodyDiv w:val="1"/>
      <w:marLeft w:val="0"/>
      <w:marRight w:val="0"/>
      <w:marTop w:val="0"/>
      <w:marBottom w:val="0"/>
      <w:divBdr>
        <w:top w:val="none" w:sz="0" w:space="0" w:color="auto"/>
        <w:left w:val="none" w:sz="0" w:space="0" w:color="auto"/>
        <w:bottom w:val="none" w:sz="0" w:space="0" w:color="auto"/>
        <w:right w:val="none" w:sz="0" w:space="0" w:color="auto"/>
      </w:divBdr>
    </w:div>
    <w:div w:id="1397819036">
      <w:bodyDiv w:val="1"/>
      <w:marLeft w:val="0"/>
      <w:marRight w:val="0"/>
      <w:marTop w:val="0"/>
      <w:marBottom w:val="0"/>
      <w:divBdr>
        <w:top w:val="none" w:sz="0" w:space="0" w:color="auto"/>
        <w:left w:val="none" w:sz="0" w:space="0" w:color="auto"/>
        <w:bottom w:val="none" w:sz="0" w:space="0" w:color="auto"/>
        <w:right w:val="none" w:sz="0" w:space="0" w:color="auto"/>
      </w:divBdr>
    </w:div>
    <w:div w:id="1399085547">
      <w:bodyDiv w:val="1"/>
      <w:marLeft w:val="0"/>
      <w:marRight w:val="0"/>
      <w:marTop w:val="0"/>
      <w:marBottom w:val="0"/>
      <w:divBdr>
        <w:top w:val="none" w:sz="0" w:space="0" w:color="auto"/>
        <w:left w:val="none" w:sz="0" w:space="0" w:color="auto"/>
        <w:bottom w:val="none" w:sz="0" w:space="0" w:color="auto"/>
        <w:right w:val="none" w:sz="0" w:space="0" w:color="auto"/>
      </w:divBdr>
    </w:div>
    <w:div w:id="1399286528">
      <w:bodyDiv w:val="1"/>
      <w:marLeft w:val="0"/>
      <w:marRight w:val="0"/>
      <w:marTop w:val="0"/>
      <w:marBottom w:val="0"/>
      <w:divBdr>
        <w:top w:val="none" w:sz="0" w:space="0" w:color="auto"/>
        <w:left w:val="none" w:sz="0" w:space="0" w:color="auto"/>
        <w:bottom w:val="none" w:sz="0" w:space="0" w:color="auto"/>
        <w:right w:val="none" w:sz="0" w:space="0" w:color="auto"/>
      </w:divBdr>
    </w:div>
    <w:div w:id="1399476239">
      <w:bodyDiv w:val="1"/>
      <w:marLeft w:val="0"/>
      <w:marRight w:val="0"/>
      <w:marTop w:val="0"/>
      <w:marBottom w:val="0"/>
      <w:divBdr>
        <w:top w:val="none" w:sz="0" w:space="0" w:color="auto"/>
        <w:left w:val="none" w:sz="0" w:space="0" w:color="auto"/>
        <w:bottom w:val="none" w:sz="0" w:space="0" w:color="auto"/>
        <w:right w:val="none" w:sz="0" w:space="0" w:color="auto"/>
      </w:divBdr>
    </w:div>
    <w:div w:id="1399591617">
      <w:bodyDiv w:val="1"/>
      <w:marLeft w:val="0"/>
      <w:marRight w:val="0"/>
      <w:marTop w:val="0"/>
      <w:marBottom w:val="0"/>
      <w:divBdr>
        <w:top w:val="none" w:sz="0" w:space="0" w:color="auto"/>
        <w:left w:val="none" w:sz="0" w:space="0" w:color="auto"/>
        <w:bottom w:val="none" w:sz="0" w:space="0" w:color="auto"/>
        <w:right w:val="none" w:sz="0" w:space="0" w:color="auto"/>
      </w:divBdr>
    </w:div>
    <w:div w:id="1400178056">
      <w:bodyDiv w:val="1"/>
      <w:marLeft w:val="0"/>
      <w:marRight w:val="0"/>
      <w:marTop w:val="0"/>
      <w:marBottom w:val="0"/>
      <w:divBdr>
        <w:top w:val="none" w:sz="0" w:space="0" w:color="auto"/>
        <w:left w:val="none" w:sz="0" w:space="0" w:color="auto"/>
        <w:bottom w:val="none" w:sz="0" w:space="0" w:color="auto"/>
        <w:right w:val="none" w:sz="0" w:space="0" w:color="auto"/>
      </w:divBdr>
    </w:div>
    <w:div w:id="1400209397">
      <w:bodyDiv w:val="1"/>
      <w:marLeft w:val="0"/>
      <w:marRight w:val="0"/>
      <w:marTop w:val="0"/>
      <w:marBottom w:val="0"/>
      <w:divBdr>
        <w:top w:val="none" w:sz="0" w:space="0" w:color="auto"/>
        <w:left w:val="none" w:sz="0" w:space="0" w:color="auto"/>
        <w:bottom w:val="none" w:sz="0" w:space="0" w:color="auto"/>
        <w:right w:val="none" w:sz="0" w:space="0" w:color="auto"/>
      </w:divBdr>
    </w:div>
    <w:div w:id="1400597332">
      <w:bodyDiv w:val="1"/>
      <w:marLeft w:val="0"/>
      <w:marRight w:val="0"/>
      <w:marTop w:val="0"/>
      <w:marBottom w:val="0"/>
      <w:divBdr>
        <w:top w:val="none" w:sz="0" w:space="0" w:color="auto"/>
        <w:left w:val="none" w:sz="0" w:space="0" w:color="auto"/>
        <w:bottom w:val="none" w:sz="0" w:space="0" w:color="auto"/>
        <w:right w:val="none" w:sz="0" w:space="0" w:color="auto"/>
      </w:divBdr>
    </w:div>
    <w:div w:id="1400982983">
      <w:bodyDiv w:val="1"/>
      <w:marLeft w:val="0"/>
      <w:marRight w:val="0"/>
      <w:marTop w:val="0"/>
      <w:marBottom w:val="0"/>
      <w:divBdr>
        <w:top w:val="none" w:sz="0" w:space="0" w:color="auto"/>
        <w:left w:val="none" w:sz="0" w:space="0" w:color="auto"/>
        <w:bottom w:val="none" w:sz="0" w:space="0" w:color="auto"/>
        <w:right w:val="none" w:sz="0" w:space="0" w:color="auto"/>
      </w:divBdr>
    </w:div>
    <w:div w:id="1401443677">
      <w:bodyDiv w:val="1"/>
      <w:marLeft w:val="0"/>
      <w:marRight w:val="0"/>
      <w:marTop w:val="0"/>
      <w:marBottom w:val="0"/>
      <w:divBdr>
        <w:top w:val="none" w:sz="0" w:space="0" w:color="auto"/>
        <w:left w:val="none" w:sz="0" w:space="0" w:color="auto"/>
        <w:bottom w:val="none" w:sz="0" w:space="0" w:color="auto"/>
        <w:right w:val="none" w:sz="0" w:space="0" w:color="auto"/>
      </w:divBdr>
    </w:div>
    <w:div w:id="1401560475">
      <w:bodyDiv w:val="1"/>
      <w:marLeft w:val="0"/>
      <w:marRight w:val="0"/>
      <w:marTop w:val="0"/>
      <w:marBottom w:val="0"/>
      <w:divBdr>
        <w:top w:val="none" w:sz="0" w:space="0" w:color="auto"/>
        <w:left w:val="none" w:sz="0" w:space="0" w:color="auto"/>
        <w:bottom w:val="none" w:sz="0" w:space="0" w:color="auto"/>
        <w:right w:val="none" w:sz="0" w:space="0" w:color="auto"/>
      </w:divBdr>
    </w:div>
    <w:div w:id="1403135476">
      <w:bodyDiv w:val="1"/>
      <w:marLeft w:val="0"/>
      <w:marRight w:val="0"/>
      <w:marTop w:val="0"/>
      <w:marBottom w:val="0"/>
      <w:divBdr>
        <w:top w:val="none" w:sz="0" w:space="0" w:color="auto"/>
        <w:left w:val="none" w:sz="0" w:space="0" w:color="auto"/>
        <w:bottom w:val="none" w:sz="0" w:space="0" w:color="auto"/>
        <w:right w:val="none" w:sz="0" w:space="0" w:color="auto"/>
      </w:divBdr>
    </w:div>
    <w:div w:id="1403336807">
      <w:bodyDiv w:val="1"/>
      <w:marLeft w:val="0"/>
      <w:marRight w:val="0"/>
      <w:marTop w:val="0"/>
      <w:marBottom w:val="0"/>
      <w:divBdr>
        <w:top w:val="none" w:sz="0" w:space="0" w:color="auto"/>
        <w:left w:val="none" w:sz="0" w:space="0" w:color="auto"/>
        <w:bottom w:val="none" w:sz="0" w:space="0" w:color="auto"/>
        <w:right w:val="none" w:sz="0" w:space="0" w:color="auto"/>
      </w:divBdr>
    </w:div>
    <w:div w:id="1405254746">
      <w:bodyDiv w:val="1"/>
      <w:marLeft w:val="0"/>
      <w:marRight w:val="0"/>
      <w:marTop w:val="0"/>
      <w:marBottom w:val="0"/>
      <w:divBdr>
        <w:top w:val="none" w:sz="0" w:space="0" w:color="auto"/>
        <w:left w:val="none" w:sz="0" w:space="0" w:color="auto"/>
        <w:bottom w:val="none" w:sz="0" w:space="0" w:color="auto"/>
        <w:right w:val="none" w:sz="0" w:space="0" w:color="auto"/>
      </w:divBdr>
    </w:div>
    <w:div w:id="1406296448">
      <w:bodyDiv w:val="1"/>
      <w:marLeft w:val="0"/>
      <w:marRight w:val="0"/>
      <w:marTop w:val="0"/>
      <w:marBottom w:val="0"/>
      <w:divBdr>
        <w:top w:val="none" w:sz="0" w:space="0" w:color="auto"/>
        <w:left w:val="none" w:sz="0" w:space="0" w:color="auto"/>
        <w:bottom w:val="none" w:sz="0" w:space="0" w:color="auto"/>
        <w:right w:val="none" w:sz="0" w:space="0" w:color="auto"/>
      </w:divBdr>
    </w:div>
    <w:div w:id="1406537299">
      <w:bodyDiv w:val="1"/>
      <w:marLeft w:val="0"/>
      <w:marRight w:val="0"/>
      <w:marTop w:val="0"/>
      <w:marBottom w:val="0"/>
      <w:divBdr>
        <w:top w:val="none" w:sz="0" w:space="0" w:color="auto"/>
        <w:left w:val="none" w:sz="0" w:space="0" w:color="auto"/>
        <w:bottom w:val="none" w:sz="0" w:space="0" w:color="auto"/>
        <w:right w:val="none" w:sz="0" w:space="0" w:color="auto"/>
      </w:divBdr>
    </w:div>
    <w:div w:id="1407338912">
      <w:bodyDiv w:val="1"/>
      <w:marLeft w:val="0"/>
      <w:marRight w:val="0"/>
      <w:marTop w:val="0"/>
      <w:marBottom w:val="0"/>
      <w:divBdr>
        <w:top w:val="none" w:sz="0" w:space="0" w:color="auto"/>
        <w:left w:val="none" w:sz="0" w:space="0" w:color="auto"/>
        <w:bottom w:val="none" w:sz="0" w:space="0" w:color="auto"/>
        <w:right w:val="none" w:sz="0" w:space="0" w:color="auto"/>
      </w:divBdr>
    </w:div>
    <w:div w:id="1410076050">
      <w:bodyDiv w:val="1"/>
      <w:marLeft w:val="0"/>
      <w:marRight w:val="0"/>
      <w:marTop w:val="0"/>
      <w:marBottom w:val="0"/>
      <w:divBdr>
        <w:top w:val="none" w:sz="0" w:space="0" w:color="auto"/>
        <w:left w:val="none" w:sz="0" w:space="0" w:color="auto"/>
        <w:bottom w:val="none" w:sz="0" w:space="0" w:color="auto"/>
        <w:right w:val="none" w:sz="0" w:space="0" w:color="auto"/>
      </w:divBdr>
    </w:div>
    <w:div w:id="1411388014">
      <w:bodyDiv w:val="1"/>
      <w:marLeft w:val="0"/>
      <w:marRight w:val="0"/>
      <w:marTop w:val="0"/>
      <w:marBottom w:val="0"/>
      <w:divBdr>
        <w:top w:val="none" w:sz="0" w:space="0" w:color="auto"/>
        <w:left w:val="none" w:sz="0" w:space="0" w:color="auto"/>
        <w:bottom w:val="none" w:sz="0" w:space="0" w:color="auto"/>
        <w:right w:val="none" w:sz="0" w:space="0" w:color="auto"/>
      </w:divBdr>
    </w:div>
    <w:div w:id="1414667333">
      <w:bodyDiv w:val="1"/>
      <w:marLeft w:val="0"/>
      <w:marRight w:val="0"/>
      <w:marTop w:val="0"/>
      <w:marBottom w:val="0"/>
      <w:divBdr>
        <w:top w:val="none" w:sz="0" w:space="0" w:color="auto"/>
        <w:left w:val="none" w:sz="0" w:space="0" w:color="auto"/>
        <w:bottom w:val="none" w:sz="0" w:space="0" w:color="auto"/>
        <w:right w:val="none" w:sz="0" w:space="0" w:color="auto"/>
      </w:divBdr>
    </w:div>
    <w:div w:id="1416827241">
      <w:bodyDiv w:val="1"/>
      <w:marLeft w:val="0"/>
      <w:marRight w:val="0"/>
      <w:marTop w:val="0"/>
      <w:marBottom w:val="0"/>
      <w:divBdr>
        <w:top w:val="none" w:sz="0" w:space="0" w:color="auto"/>
        <w:left w:val="none" w:sz="0" w:space="0" w:color="auto"/>
        <w:bottom w:val="none" w:sz="0" w:space="0" w:color="auto"/>
        <w:right w:val="none" w:sz="0" w:space="0" w:color="auto"/>
      </w:divBdr>
    </w:div>
    <w:div w:id="1418013849">
      <w:bodyDiv w:val="1"/>
      <w:marLeft w:val="0"/>
      <w:marRight w:val="0"/>
      <w:marTop w:val="0"/>
      <w:marBottom w:val="0"/>
      <w:divBdr>
        <w:top w:val="none" w:sz="0" w:space="0" w:color="auto"/>
        <w:left w:val="none" w:sz="0" w:space="0" w:color="auto"/>
        <w:bottom w:val="none" w:sz="0" w:space="0" w:color="auto"/>
        <w:right w:val="none" w:sz="0" w:space="0" w:color="auto"/>
      </w:divBdr>
    </w:div>
    <w:div w:id="1419210258">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3457585">
      <w:bodyDiv w:val="1"/>
      <w:marLeft w:val="0"/>
      <w:marRight w:val="0"/>
      <w:marTop w:val="0"/>
      <w:marBottom w:val="0"/>
      <w:divBdr>
        <w:top w:val="none" w:sz="0" w:space="0" w:color="auto"/>
        <w:left w:val="none" w:sz="0" w:space="0" w:color="auto"/>
        <w:bottom w:val="none" w:sz="0" w:space="0" w:color="auto"/>
        <w:right w:val="none" w:sz="0" w:space="0" w:color="auto"/>
      </w:divBdr>
    </w:div>
    <w:div w:id="1424448672">
      <w:bodyDiv w:val="1"/>
      <w:marLeft w:val="0"/>
      <w:marRight w:val="0"/>
      <w:marTop w:val="0"/>
      <w:marBottom w:val="0"/>
      <w:divBdr>
        <w:top w:val="none" w:sz="0" w:space="0" w:color="auto"/>
        <w:left w:val="none" w:sz="0" w:space="0" w:color="auto"/>
        <w:bottom w:val="none" w:sz="0" w:space="0" w:color="auto"/>
        <w:right w:val="none" w:sz="0" w:space="0" w:color="auto"/>
      </w:divBdr>
    </w:div>
    <w:div w:id="1425147414">
      <w:bodyDiv w:val="1"/>
      <w:marLeft w:val="0"/>
      <w:marRight w:val="0"/>
      <w:marTop w:val="0"/>
      <w:marBottom w:val="0"/>
      <w:divBdr>
        <w:top w:val="none" w:sz="0" w:space="0" w:color="auto"/>
        <w:left w:val="none" w:sz="0" w:space="0" w:color="auto"/>
        <w:bottom w:val="none" w:sz="0" w:space="0" w:color="auto"/>
        <w:right w:val="none" w:sz="0" w:space="0" w:color="auto"/>
      </w:divBdr>
    </w:div>
    <w:div w:id="1426222151">
      <w:bodyDiv w:val="1"/>
      <w:marLeft w:val="0"/>
      <w:marRight w:val="0"/>
      <w:marTop w:val="0"/>
      <w:marBottom w:val="0"/>
      <w:divBdr>
        <w:top w:val="none" w:sz="0" w:space="0" w:color="auto"/>
        <w:left w:val="none" w:sz="0" w:space="0" w:color="auto"/>
        <w:bottom w:val="none" w:sz="0" w:space="0" w:color="auto"/>
        <w:right w:val="none" w:sz="0" w:space="0" w:color="auto"/>
      </w:divBdr>
    </w:div>
    <w:div w:id="1430193841">
      <w:bodyDiv w:val="1"/>
      <w:marLeft w:val="0"/>
      <w:marRight w:val="0"/>
      <w:marTop w:val="0"/>
      <w:marBottom w:val="0"/>
      <w:divBdr>
        <w:top w:val="none" w:sz="0" w:space="0" w:color="auto"/>
        <w:left w:val="none" w:sz="0" w:space="0" w:color="auto"/>
        <w:bottom w:val="none" w:sz="0" w:space="0" w:color="auto"/>
        <w:right w:val="none" w:sz="0" w:space="0" w:color="auto"/>
      </w:divBdr>
    </w:div>
    <w:div w:id="1431048433">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36289963">
      <w:bodyDiv w:val="1"/>
      <w:marLeft w:val="0"/>
      <w:marRight w:val="0"/>
      <w:marTop w:val="0"/>
      <w:marBottom w:val="0"/>
      <w:divBdr>
        <w:top w:val="none" w:sz="0" w:space="0" w:color="auto"/>
        <w:left w:val="none" w:sz="0" w:space="0" w:color="auto"/>
        <w:bottom w:val="none" w:sz="0" w:space="0" w:color="auto"/>
        <w:right w:val="none" w:sz="0" w:space="0" w:color="auto"/>
      </w:divBdr>
    </w:div>
    <w:div w:id="1438209599">
      <w:bodyDiv w:val="1"/>
      <w:marLeft w:val="0"/>
      <w:marRight w:val="0"/>
      <w:marTop w:val="0"/>
      <w:marBottom w:val="0"/>
      <w:divBdr>
        <w:top w:val="none" w:sz="0" w:space="0" w:color="auto"/>
        <w:left w:val="none" w:sz="0" w:space="0" w:color="auto"/>
        <w:bottom w:val="none" w:sz="0" w:space="0" w:color="auto"/>
        <w:right w:val="none" w:sz="0" w:space="0" w:color="auto"/>
      </w:divBdr>
    </w:div>
    <w:div w:id="1439520764">
      <w:bodyDiv w:val="1"/>
      <w:marLeft w:val="0"/>
      <w:marRight w:val="0"/>
      <w:marTop w:val="0"/>
      <w:marBottom w:val="0"/>
      <w:divBdr>
        <w:top w:val="none" w:sz="0" w:space="0" w:color="auto"/>
        <w:left w:val="none" w:sz="0" w:space="0" w:color="auto"/>
        <w:bottom w:val="none" w:sz="0" w:space="0" w:color="auto"/>
        <w:right w:val="none" w:sz="0" w:space="0" w:color="auto"/>
      </w:divBdr>
    </w:div>
    <w:div w:id="1439564287">
      <w:bodyDiv w:val="1"/>
      <w:marLeft w:val="0"/>
      <w:marRight w:val="0"/>
      <w:marTop w:val="0"/>
      <w:marBottom w:val="0"/>
      <w:divBdr>
        <w:top w:val="none" w:sz="0" w:space="0" w:color="auto"/>
        <w:left w:val="none" w:sz="0" w:space="0" w:color="auto"/>
        <w:bottom w:val="none" w:sz="0" w:space="0" w:color="auto"/>
        <w:right w:val="none" w:sz="0" w:space="0" w:color="auto"/>
      </w:divBdr>
    </w:div>
    <w:div w:id="1439912559">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3067002">
      <w:bodyDiv w:val="1"/>
      <w:marLeft w:val="0"/>
      <w:marRight w:val="0"/>
      <w:marTop w:val="0"/>
      <w:marBottom w:val="0"/>
      <w:divBdr>
        <w:top w:val="none" w:sz="0" w:space="0" w:color="auto"/>
        <w:left w:val="none" w:sz="0" w:space="0" w:color="auto"/>
        <w:bottom w:val="none" w:sz="0" w:space="0" w:color="auto"/>
        <w:right w:val="none" w:sz="0" w:space="0" w:color="auto"/>
      </w:divBdr>
    </w:div>
    <w:div w:id="1443644454">
      <w:bodyDiv w:val="1"/>
      <w:marLeft w:val="0"/>
      <w:marRight w:val="0"/>
      <w:marTop w:val="0"/>
      <w:marBottom w:val="0"/>
      <w:divBdr>
        <w:top w:val="none" w:sz="0" w:space="0" w:color="auto"/>
        <w:left w:val="none" w:sz="0" w:space="0" w:color="auto"/>
        <w:bottom w:val="none" w:sz="0" w:space="0" w:color="auto"/>
        <w:right w:val="none" w:sz="0" w:space="0" w:color="auto"/>
      </w:divBdr>
    </w:div>
    <w:div w:id="1443650909">
      <w:bodyDiv w:val="1"/>
      <w:marLeft w:val="0"/>
      <w:marRight w:val="0"/>
      <w:marTop w:val="0"/>
      <w:marBottom w:val="0"/>
      <w:divBdr>
        <w:top w:val="none" w:sz="0" w:space="0" w:color="auto"/>
        <w:left w:val="none" w:sz="0" w:space="0" w:color="auto"/>
        <w:bottom w:val="none" w:sz="0" w:space="0" w:color="auto"/>
        <w:right w:val="none" w:sz="0" w:space="0" w:color="auto"/>
      </w:divBdr>
    </w:div>
    <w:div w:id="1443651575">
      <w:bodyDiv w:val="1"/>
      <w:marLeft w:val="0"/>
      <w:marRight w:val="0"/>
      <w:marTop w:val="0"/>
      <w:marBottom w:val="0"/>
      <w:divBdr>
        <w:top w:val="none" w:sz="0" w:space="0" w:color="auto"/>
        <w:left w:val="none" w:sz="0" w:space="0" w:color="auto"/>
        <w:bottom w:val="none" w:sz="0" w:space="0" w:color="auto"/>
        <w:right w:val="none" w:sz="0" w:space="0" w:color="auto"/>
      </w:divBdr>
    </w:div>
    <w:div w:id="1443695549">
      <w:bodyDiv w:val="1"/>
      <w:marLeft w:val="0"/>
      <w:marRight w:val="0"/>
      <w:marTop w:val="0"/>
      <w:marBottom w:val="0"/>
      <w:divBdr>
        <w:top w:val="none" w:sz="0" w:space="0" w:color="auto"/>
        <w:left w:val="none" w:sz="0" w:space="0" w:color="auto"/>
        <w:bottom w:val="none" w:sz="0" w:space="0" w:color="auto"/>
        <w:right w:val="none" w:sz="0" w:space="0" w:color="auto"/>
      </w:divBdr>
    </w:div>
    <w:div w:id="1444807807">
      <w:bodyDiv w:val="1"/>
      <w:marLeft w:val="0"/>
      <w:marRight w:val="0"/>
      <w:marTop w:val="0"/>
      <w:marBottom w:val="0"/>
      <w:divBdr>
        <w:top w:val="none" w:sz="0" w:space="0" w:color="auto"/>
        <w:left w:val="none" w:sz="0" w:space="0" w:color="auto"/>
        <w:bottom w:val="none" w:sz="0" w:space="0" w:color="auto"/>
        <w:right w:val="none" w:sz="0" w:space="0" w:color="auto"/>
      </w:divBdr>
    </w:div>
    <w:div w:id="1445803294">
      <w:bodyDiv w:val="1"/>
      <w:marLeft w:val="0"/>
      <w:marRight w:val="0"/>
      <w:marTop w:val="0"/>
      <w:marBottom w:val="0"/>
      <w:divBdr>
        <w:top w:val="none" w:sz="0" w:space="0" w:color="auto"/>
        <w:left w:val="none" w:sz="0" w:space="0" w:color="auto"/>
        <w:bottom w:val="none" w:sz="0" w:space="0" w:color="auto"/>
        <w:right w:val="none" w:sz="0" w:space="0" w:color="auto"/>
      </w:divBdr>
    </w:div>
    <w:div w:id="1446656193">
      <w:bodyDiv w:val="1"/>
      <w:marLeft w:val="0"/>
      <w:marRight w:val="0"/>
      <w:marTop w:val="0"/>
      <w:marBottom w:val="0"/>
      <w:divBdr>
        <w:top w:val="none" w:sz="0" w:space="0" w:color="auto"/>
        <w:left w:val="none" w:sz="0" w:space="0" w:color="auto"/>
        <w:bottom w:val="none" w:sz="0" w:space="0" w:color="auto"/>
        <w:right w:val="none" w:sz="0" w:space="0" w:color="auto"/>
      </w:divBdr>
    </w:div>
    <w:div w:id="1449199275">
      <w:bodyDiv w:val="1"/>
      <w:marLeft w:val="0"/>
      <w:marRight w:val="0"/>
      <w:marTop w:val="0"/>
      <w:marBottom w:val="0"/>
      <w:divBdr>
        <w:top w:val="none" w:sz="0" w:space="0" w:color="auto"/>
        <w:left w:val="none" w:sz="0" w:space="0" w:color="auto"/>
        <w:bottom w:val="none" w:sz="0" w:space="0" w:color="auto"/>
        <w:right w:val="none" w:sz="0" w:space="0" w:color="auto"/>
      </w:divBdr>
    </w:div>
    <w:div w:id="1449659966">
      <w:bodyDiv w:val="1"/>
      <w:marLeft w:val="0"/>
      <w:marRight w:val="0"/>
      <w:marTop w:val="0"/>
      <w:marBottom w:val="0"/>
      <w:divBdr>
        <w:top w:val="none" w:sz="0" w:space="0" w:color="auto"/>
        <w:left w:val="none" w:sz="0" w:space="0" w:color="auto"/>
        <w:bottom w:val="none" w:sz="0" w:space="0" w:color="auto"/>
        <w:right w:val="none" w:sz="0" w:space="0" w:color="auto"/>
      </w:divBdr>
    </w:div>
    <w:div w:id="1449811292">
      <w:bodyDiv w:val="1"/>
      <w:marLeft w:val="0"/>
      <w:marRight w:val="0"/>
      <w:marTop w:val="0"/>
      <w:marBottom w:val="0"/>
      <w:divBdr>
        <w:top w:val="none" w:sz="0" w:space="0" w:color="auto"/>
        <w:left w:val="none" w:sz="0" w:space="0" w:color="auto"/>
        <w:bottom w:val="none" w:sz="0" w:space="0" w:color="auto"/>
        <w:right w:val="none" w:sz="0" w:space="0" w:color="auto"/>
      </w:divBdr>
    </w:div>
    <w:div w:id="1451700079">
      <w:bodyDiv w:val="1"/>
      <w:marLeft w:val="0"/>
      <w:marRight w:val="0"/>
      <w:marTop w:val="0"/>
      <w:marBottom w:val="0"/>
      <w:divBdr>
        <w:top w:val="none" w:sz="0" w:space="0" w:color="auto"/>
        <w:left w:val="none" w:sz="0" w:space="0" w:color="auto"/>
        <w:bottom w:val="none" w:sz="0" w:space="0" w:color="auto"/>
        <w:right w:val="none" w:sz="0" w:space="0" w:color="auto"/>
      </w:divBdr>
    </w:div>
    <w:div w:id="1455367561">
      <w:bodyDiv w:val="1"/>
      <w:marLeft w:val="0"/>
      <w:marRight w:val="0"/>
      <w:marTop w:val="0"/>
      <w:marBottom w:val="0"/>
      <w:divBdr>
        <w:top w:val="none" w:sz="0" w:space="0" w:color="auto"/>
        <w:left w:val="none" w:sz="0" w:space="0" w:color="auto"/>
        <w:bottom w:val="none" w:sz="0" w:space="0" w:color="auto"/>
        <w:right w:val="none" w:sz="0" w:space="0" w:color="auto"/>
      </w:divBdr>
    </w:div>
    <w:div w:id="1455909192">
      <w:bodyDiv w:val="1"/>
      <w:marLeft w:val="0"/>
      <w:marRight w:val="0"/>
      <w:marTop w:val="0"/>
      <w:marBottom w:val="0"/>
      <w:divBdr>
        <w:top w:val="none" w:sz="0" w:space="0" w:color="auto"/>
        <w:left w:val="none" w:sz="0" w:space="0" w:color="auto"/>
        <w:bottom w:val="none" w:sz="0" w:space="0" w:color="auto"/>
        <w:right w:val="none" w:sz="0" w:space="0" w:color="auto"/>
      </w:divBdr>
    </w:div>
    <w:div w:id="1462964078">
      <w:bodyDiv w:val="1"/>
      <w:marLeft w:val="0"/>
      <w:marRight w:val="0"/>
      <w:marTop w:val="0"/>
      <w:marBottom w:val="0"/>
      <w:divBdr>
        <w:top w:val="none" w:sz="0" w:space="0" w:color="auto"/>
        <w:left w:val="none" w:sz="0" w:space="0" w:color="auto"/>
        <w:bottom w:val="none" w:sz="0" w:space="0" w:color="auto"/>
        <w:right w:val="none" w:sz="0" w:space="0" w:color="auto"/>
      </w:divBdr>
    </w:div>
    <w:div w:id="1465152655">
      <w:bodyDiv w:val="1"/>
      <w:marLeft w:val="0"/>
      <w:marRight w:val="0"/>
      <w:marTop w:val="0"/>
      <w:marBottom w:val="0"/>
      <w:divBdr>
        <w:top w:val="none" w:sz="0" w:space="0" w:color="auto"/>
        <w:left w:val="none" w:sz="0" w:space="0" w:color="auto"/>
        <w:bottom w:val="none" w:sz="0" w:space="0" w:color="auto"/>
        <w:right w:val="none" w:sz="0" w:space="0" w:color="auto"/>
      </w:divBdr>
    </w:div>
    <w:div w:id="1465199276">
      <w:bodyDiv w:val="1"/>
      <w:marLeft w:val="0"/>
      <w:marRight w:val="0"/>
      <w:marTop w:val="0"/>
      <w:marBottom w:val="0"/>
      <w:divBdr>
        <w:top w:val="none" w:sz="0" w:space="0" w:color="auto"/>
        <w:left w:val="none" w:sz="0" w:space="0" w:color="auto"/>
        <w:bottom w:val="none" w:sz="0" w:space="0" w:color="auto"/>
        <w:right w:val="none" w:sz="0" w:space="0" w:color="auto"/>
      </w:divBdr>
    </w:div>
    <w:div w:id="1465392559">
      <w:bodyDiv w:val="1"/>
      <w:marLeft w:val="0"/>
      <w:marRight w:val="0"/>
      <w:marTop w:val="0"/>
      <w:marBottom w:val="0"/>
      <w:divBdr>
        <w:top w:val="none" w:sz="0" w:space="0" w:color="auto"/>
        <w:left w:val="none" w:sz="0" w:space="0" w:color="auto"/>
        <w:bottom w:val="none" w:sz="0" w:space="0" w:color="auto"/>
        <w:right w:val="none" w:sz="0" w:space="0" w:color="auto"/>
      </w:divBdr>
    </w:div>
    <w:div w:id="1466894632">
      <w:bodyDiv w:val="1"/>
      <w:marLeft w:val="0"/>
      <w:marRight w:val="0"/>
      <w:marTop w:val="0"/>
      <w:marBottom w:val="0"/>
      <w:divBdr>
        <w:top w:val="none" w:sz="0" w:space="0" w:color="auto"/>
        <w:left w:val="none" w:sz="0" w:space="0" w:color="auto"/>
        <w:bottom w:val="none" w:sz="0" w:space="0" w:color="auto"/>
        <w:right w:val="none" w:sz="0" w:space="0" w:color="auto"/>
      </w:divBdr>
    </w:div>
    <w:div w:id="1467817121">
      <w:bodyDiv w:val="1"/>
      <w:marLeft w:val="0"/>
      <w:marRight w:val="0"/>
      <w:marTop w:val="0"/>
      <w:marBottom w:val="0"/>
      <w:divBdr>
        <w:top w:val="none" w:sz="0" w:space="0" w:color="auto"/>
        <w:left w:val="none" w:sz="0" w:space="0" w:color="auto"/>
        <w:bottom w:val="none" w:sz="0" w:space="0" w:color="auto"/>
        <w:right w:val="none" w:sz="0" w:space="0" w:color="auto"/>
      </w:divBdr>
    </w:div>
    <w:div w:id="1467822108">
      <w:bodyDiv w:val="1"/>
      <w:marLeft w:val="0"/>
      <w:marRight w:val="0"/>
      <w:marTop w:val="0"/>
      <w:marBottom w:val="0"/>
      <w:divBdr>
        <w:top w:val="none" w:sz="0" w:space="0" w:color="auto"/>
        <w:left w:val="none" w:sz="0" w:space="0" w:color="auto"/>
        <w:bottom w:val="none" w:sz="0" w:space="0" w:color="auto"/>
        <w:right w:val="none" w:sz="0" w:space="0" w:color="auto"/>
      </w:divBdr>
    </w:div>
    <w:div w:id="1467965113">
      <w:bodyDiv w:val="1"/>
      <w:marLeft w:val="0"/>
      <w:marRight w:val="0"/>
      <w:marTop w:val="0"/>
      <w:marBottom w:val="0"/>
      <w:divBdr>
        <w:top w:val="none" w:sz="0" w:space="0" w:color="auto"/>
        <w:left w:val="none" w:sz="0" w:space="0" w:color="auto"/>
        <w:bottom w:val="none" w:sz="0" w:space="0" w:color="auto"/>
        <w:right w:val="none" w:sz="0" w:space="0" w:color="auto"/>
      </w:divBdr>
    </w:div>
    <w:div w:id="1469667238">
      <w:bodyDiv w:val="1"/>
      <w:marLeft w:val="0"/>
      <w:marRight w:val="0"/>
      <w:marTop w:val="0"/>
      <w:marBottom w:val="0"/>
      <w:divBdr>
        <w:top w:val="none" w:sz="0" w:space="0" w:color="auto"/>
        <w:left w:val="none" w:sz="0" w:space="0" w:color="auto"/>
        <w:bottom w:val="none" w:sz="0" w:space="0" w:color="auto"/>
        <w:right w:val="none" w:sz="0" w:space="0" w:color="auto"/>
      </w:divBdr>
    </w:div>
    <w:div w:id="1471970839">
      <w:bodyDiv w:val="1"/>
      <w:marLeft w:val="0"/>
      <w:marRight w:val="0"/>
      <w:marTop w:val="0"/>
      <w:marBottom w:val="0"/>
      <w:divBdr>
        <w:top w:val="none" w:sz="0" w:space="0" w:color="auto"/>
        <w:left w:val="none" w:sz="0" w:space="0" w:color="auto"/>
        <w:bottom w:val="none" w:sz="0" w:space="0" w:color="auto"/>
        <w:right w:val="none" w:sz="0" w:space="0" w:color="auto"/>
      </w:divBdr>
    </w:div>
    <w:div w:id="1472093369">
      <w:bodyDiv w:val="1"/>
      <w:marLeft w:val="0"/>
      <w:marRight w:val="0"/>
      <w:marTop w:val="0"/>
      <w:marBottom w:val="0"/>
      <w:divBdr>
        <w:top w:val="none" w:sz="0" w:space="0" w:color="auto"/>
        <w:left w:val="none" w:sz="0" w:space="0" w:color="auto"/>
        <w:bottom w:val="none" w:sz="0" w:space="0" w:color="auto"/>
        <w:right w:val="none" w:sz="0" w:space="0" w:color="auto"/>
      </w:divBdr>
    </w:div>
    <w:div w:id="1472214146">
      <w:bodyDiv w:val="1"/>
      <w:marLeft w:val="0"/>
      <w:marRight w:val="0"/>
      <w:marTop w:val="0"/>
      <w:marBottom w:val="0"/>
      <w:divBdr>
        <w:top w:val="none" w:sz="0" w:space="0" w:color="auto"/>
        <w:left w:val="none" w:sz="0" w:space="0" w:color="auto"/>
        <w:bottom w:val="none" w:sz="0" w:space="0" w:color="auto"/>
        <w:right w:val="none" w:sz="0" w:space="0" w:color="auto"/>
      </w:divBdr>
    </w:div>
    <w:div w:id="1472215843">
      <w:bodyDiv w:val="1"/>
      <w:marLeft w:val="0"/>
      <w:marRight w:val="0"/>
      <w:marTop w:val="0"/>
      <w:marBottom w:val="0"/>
      <w:divBdr>
        <w:top w:val="none" w:sz="0" w:space="0" w:color="auto"/>
        <w:left w:val="none" w:sz="0" w:space="0" w:color="auto"/>
        <w:bottom w:val="none" w:sz="0" w:space="0" w:color="auto"/>
        <w:right w:val="none" w:sz="0" w:space="0" w:color="auto"/>
      </w:divBdr>
    </w:div>
    <w:div w:id="1473525380">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81843493">
      <w:bodyDiv w:val="1"/>
      <w:marLeft w:val="0"/>
      <w:marRight w:val="0"/>
      <w:marTop w:val="0"/>
      <w:marBottom w:val="0"/>
      <w:divBdr>
        <w:top w:val="none" w:sz="0" w:space="0" w:color="auto"/>
        <w:left w:val="none" w:sz="0" w:space="0" w:color="auto"/>
        <w:bottom w:val="none" w:sz="0" w:space="0" w:color="auto"/>
        <w:right w:val="none" w:sz="0" w:space="0" w:color="auto"/>
      </w:divBdr>
    </w:div>
    <w:div w:id="1482504672">
      <w:bodyDiv w:val="1"/>
      <w:marLeft w:val="0"/>
      <w:marRight w:val="0"/>
      <w:marTop w:val="0"/>
      <w:marBottom w:val="0"/>
      <w:divBdr>
        <w:top w:val="none" w:sz="0" w:space="0" w:color="auto"/>
        <w:left w:val="none" w:sz="0" w:space="0" w:color="auto"/>
        <w:bottom w:val="none" w:sz="0" w:space="0" w:color="auto"/>
        <w:right w:val="none" w:sz="0" w:space="0" w:color="auto"/>
      </w:divBdr>
    </w:div>
    <w:div w:id="1483934840">
      <w:bodyDiv w:val="1"/>
      <w:marLeft w:val="0"/>
      <w:marRight w:val="0"/>
      <w:marTop w:val="0"/>
      <w:marBottom w:val="0"/>
      <w:divBdr>
        <w:top w:val="none" w:sz="0" w:space="0" w:color="auto"/>
        <w:left w:val="none" w:sz="0" w:space="0" w:color="auto"/>
        <w:bottom w:val="none" w:sz="0" w:space="0" w:color="auto"/>
        <w:right w:val="none" w:sz="0" w:space="0" w:color="auto"/>
      </w:divBdr>
    </w:div>
    <w:div w:id="1485856150">
      <w:bodyDiv w:val="1"/>
      <w:marLeft w:val="0"/>
      <w:marRight w:val="0"/>
      <w:marTop w:val="0"/>
      <w:marBottom w:val="0"/>
      <w:divBdr>
        <w:top w:val="none" w:sz="0" w:space="0" w:color="auto"/>
        <w:left w:val="none" w:sz="0" w:space="0" w:color="auto"/>
        <w:bottom w:val="none" w:sz="0" w:space="0" w:color="auto"/>
        <w:right w:val="none" w:sz="0" w:space="0" w:color="auto"/>
      </w:divBdr>
    </w:div>
    <w:div w:id="1486120217">
      <w:bodyDiv w:val="1"/>
      <w:marLeft w:val="0"/>
      <w:marRight w:val="0"/>
      <w:marTop w:val="0"/>
      <w:marBottom w:val="0"/>
      <w:divBdr>
        <w:top w:val="none" w:sz="0" w:space="0" w:color="auto"/>
        <w:left w:val="none" w:sz="0" w:space="0" w:color="auto"/>
        <w:bottom w:val="none" w:sz="0" w:space="0" w:color="auto"/>
        <w:right w:val="none" w:sz="0" w:space="0" w:color="auto"/>
      </w:divBdr>
    </w:div>
    <w:div w:id="1486238048">
      <w:bodyDiv w:val="1"/>
      <w:marLeft w:val="0"/>
      <w:marRight w:val="0"/>
      <w:marTop w:val="0"/>
      <w:marBottom w:val="0"/>
      <w:divBdr>
        <w:top w:val="none" w:sz="0" w:space="0" w:color="auto"/>
        <w:left w:val="none" w:sz="0" w:space="0" w:color="auto"/>
        <w:bottom w:val="none" w:sz="0" w:space="0" w:color="auto"/>
        <w:right w:val="none" w:sz="0" w:space="0" w:color="auto"/>
      </w:divBdr>
    </w:div>
    <w:div w:id="1490252039">
      <w:bodyDiv w:val="1"/>
      <w:marLeft w:val="0"/>
      <w:marRight w:val="0"/>
      <w:marTop w:val="0"/>
      <w:marBottom w:val="0"/>
      <w:divBdr>
        <w:top w:val="none" w:sz="0" w:space="0" w:color="auto"/>
        <w:left w:val="none" w:sz="0" w:space="0" w:color="auto"/>
        <w:bottom w:val="none" w:sz="0" w:space="0" w:color="auto"/>
        <w:right w:val="none" w:sz="0" w:space="0" w:color="auto"/>
      </w:divBdr>
    </w:div>
    <w:div w:id="1494030155">
      <w:bodyDiv w:val="1"/>
      <w:marLeft w:val="0"/>
      <w:marRight w:val="0"/>
      <w:marTop w:val="0"/>
      <w:marBottom w:val="0"/>
      <w:divBdr>
        <w:top w:val="none" w:sz="0" w:space="0" w:color="auto"/>
        <w:left w:val="none" w:sz="0" w:space="0" w:color="auto"/>
        <w:bottom w:val="none" w:sz="0" w:space="0" w:color="auto"/>
        <w:right w:val="none" w:sz="0" w:space="0" w:color="auto"/>
      </w:divBdr>
    </w:div>
    <w:div w:id="1495678386">
      <w:bodyDiv w:val="1"/>
      <w:marLeft w:val="0"/>
      <w:marRight w:val="0"/>
      <w:marTop w:val="0"/>
      <w:marBottom w:val="0"/>
      <w:divBdr>
        <w:top w:val="none" w:sz="0" w:space="0" w:color="auto"/>
        <w:left w:val="none" w:sz="0" w:space="0" w:color="auto"/>
        <w:bottom w:val="none" w:sz="0" w:space="0" w:color="auto"/>
        <w:right w:val="none" w:sz="0" w:space="0" w:color="auto"/>
      </w:divBdr>
    </w:div>
    <w:div w:id="1495801707">
      <w:bodyDiv w:val="1"/>
      <w:marLeft w:val="0"/>
      <w:marRight w:val="0"/>
      <w:marTop w:val="0"/>
      <w:marBottom w:val="0"/>
      <w:divBdr>
        <w:top w:val="none" w:sz="0" w:space="0" w:color="auto"/>
        <w:left w:val="none" w:sz="0" w:space="0" w:color="auto"/>
        <w:bottom w:val="none" w:sz="0" w:space="0" w:color="auto"/>
        <w:right w:val="none" w:sz="0" w:space="0" w:color="auto"/>
      </w:divBdr>
    </w:div>
    <w:div w:id="1496921901">
      <w:bodyDiv w:val="1"/>
      <w:marLeft w:val="0"/>
      <w:marRight w:val="0"/>
      <w:marTop w:val="0"/>
      <w:marBottom w:val="0"/>
      <w:divBdr>
        <w:top w:val="none" w:sz="0" w:space="0" w:color="auto"/>
        <w:left w:val="none" w:sz="0" w:space="0" w:color="auto"/>
        <w:bottom w:val="none" w:sz="0" w:space="0" w:color="auto"/>
        <w:right w:val="none" w:sz="0" w:space="0" w:color="auto"/>
      </w:divBdr>
    </w:div>
    <w:div w:id="149703892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577765">
      <w:bodyDiv w:val="1"/>
      <w:marLeft w:val="0"/>
      <w:marRight w:val="0"/>
      <w:marTop w:val="0"/>
      <w:marBottom w:val="0"/>
      <w:divBdr>
        <w:top w:val="none" w:sz="0" w:space="0" w:color="auto"/>
        <w:left w:val="none" w:sz="0" w:space="0" w:color="auto"/>
        <w:bottom w:val="none" w:sz="0" w:space="0" w:color="auto"/>
        <w:right w:val="none" w:sz="0" w:space="0" w:color="auto"/>
      </w:divBdr>
    </w:div>
    <w:div w:id="1502694076">
      <w:bodyDiv w:val="1"/>
      <w:marLeft w:val="0"/>
      <w:marRight w:val="0"/>
      <w:marTop w:val="0"/>
      <w:marBottom w:val="0"/>
      <w:divBdr>
        <w:top w:val="none" w:sz="0" w:space="0" w:color="auto"/>
        <w:left w:val="none" w:sz="0" w:space="0" w:color="auto"/>
        <w:bottom w:val="none" w:sz="0" w:space="0" w:color="auto"/>
        <w:right w:val="none" w:sz="0" w:space="0" w:color="auto"/>
      </w:divBdr>
    </w:div>
    <w:div w:id="1503623569">
      <w:bodyDiv w:val="1"/>
      <w:marLeft w:val="0"/>
      <w:marRight w:val="0"/>
      <w:marTop w:val="0"/>
      <w:marBottom w:val="0"/>
      <w:divBdr>
        <w:top w:val="none" w:sz="0" w:space="0" w:color="auto"/>
        <w:left w:val="none" w:sz="0" w:space="0" w:color="auto"/>
        <w:bottom w:val="none" w:sz="0" w:space="0" w:color="auto"/>
        <w:right w:val="none" w:sz="0" w:space="0" w:color="auto"/>
      </w:divBdr>
    </w:div>
    <w:div w:id="1505902997">
      <w:bodyDiv w:val="1"/>
      <w:marLeft w:val="0"/>
      <w:marRight w:val="0"/>
      <w:marTop w:val="0"/>
      <w:marBottom w:val="0"/>
      <w:divBdr>
        <w:top w:val="none" w:sz="0" w:space="0" w:color="auto"/>
        <w:left w:val="none" w:sz="0" w:space="0" w:color="auto"/>
        <w:bottom w:val="none" w:sz="0" w:space="0" w:color="auto"/>
        <w:right w:val="none" w:sz="0" w:space="0" w:color="auto"/>
      </w:divBdr>
    </w:div>
    <w:div w:id="1508787566">
      <w:bodyDiv w:val="1"/>
      <w:marLeft w:val="0"/>
      <w:marRight w:val="0"/>
      <w:marTop w:val="0"/>
      <w:marBottom w:val="0"/>
      <w:divBdr>
        <w:top w:val="none" w:sz="0" w:space="0" w:color="auto"/>
        <w:left w:val="none" w:sz="0" w:space="0" w:color="auto"/>
        <w:bottom w:val="none" w:sz="0" w:space="0" w:color="auto"/>
        <w:right w:val="none" w:sz="0" w:space="0" w:color="auto"/>
      </w:divBdr>
    </w:div>
    <w:div w:id="1512143698">
      <w:bodyDiv w:val="1"/>
      <w:marLeft w:val="0"/>
      <w:marRight w:val="0"/>
      <w:marTop w:val="0"/>
      <w:marBottom w:val="0"/>
      <w:divBdr>
        <w:top w:val="none" w:sz="0" w:space="0" w:color="auto"/>
        <w:left w:val="none" w:sz="0" w:space="0" w:color="auto"/>
        <w:bottom w:val="none" w:sz="0" w:space="0" w:color="auto"/>
        <w:right w:val="none" w:sz="0" w:space="0" w:color="auto"/>
      </w:divBdr>
    </w:div>
    <w:div w:id="1513495270">
      <w:bodyDiv w:val="1"/>
      <w:marLeft w:val="0"/>
      <w:marRight w:val="0"/>
      <w:marTop w:val="0"/>
      <w:marBottom w:val="0"/>
      <w:divBdr>
        <w:top w:val="none" w:sz="0" w:space="0" w:color="auto"/>
        <w:left w:val="none" w:sz="0" w:space="0" w:color="auto"/>
        <w:bottom w:val="none" w:sz="0" w:space="0" w:color="auto"/>
        <w:right w:val="none" w:sz="0" w:space="0" w:color="auto"/>
      </w:divBdr>
    </w:div>
    <w:div w:id="1513566641">
      <w:bodyDiv w:val="1"/>
      <w:marLeft w:val="0"/>
      <w:marRight w:val="0"/>
      <w:marTop w:val="0"/>
      <w:marBottom w:val="0"/>
      <w:divBdr>
        <w:top w:val="none" w:sz="0" w:space="0" w:color="auto"/>
        <w:left w:val="none" w:sz="0" w:space="0" w:color="auto"/>
        <w:bottom w:val="none" w:sz="0" w:space="0" w:color="auto"/>
        <w:right w:val="none" w:sz="0" w:space="0" w:color="auto"/>
      </w:divBdr>
    </w:div>
    <w:div w:id="1514806980">
      <w:bodyDiv w:val="1"/>
      <w:marLeft w:val="0"/>
      <w:marRight w:val="0"/>
      <w:marTop w:val="0"/>
      <w:marBottom w:val="0"/>
      <w:divBdr>
        <w:top w:val="none" w:sz="0" w:space="0" w:color="auto"/>
        <w:left w:val="none" w:sz="0" w:space="0" w:color="auto"/>
        <w:bottom w:val="none" w:sz="0" w:space="0" w:color="auto"/>
        <w:right w:val="none" w:sz="0" w:space="0" w:color="auto"/>
      </w:divBdr>
    </w:div>
    <w:div w:id="1515731037">
      <w:bodyDiv w:val="1"/>
      <w:marLeft w:val="0"/>
      <w:marRight w:val="0"/>
      <w:marTop w:val="0"/>
      <w:marBottom w:val="0"/>
      <w:divBdr>
        <w:top w:val="none" w:sz="0" w:space="0" w:color="auto"/>
        <w:left w:val="none" w:sz="0" w:space="0" w:color="auto"/>
        <w:bottom w:val="none" w:sz="0" w:space="0" w:color="auto"/>
        <w:right w:val="none" w:sz="0" w:space="0" w:color="auto"/>
      </w:divBdr>
    </w:div>
    <w:div w:id="1517115640">
      <w:bodyDiv w:val="1"/>
      <w:marLeft w:val="0"/>
      <w:marRight w:val="0"/>
      <w:marTop w:val="0"/>
      <w:marBottom w:val="0"/>
      <w:divBdr>
        <w:top w:val="none" w:sz="0" w:space="0" w:color="auto"/>
        <w:left w:val="none" w:sz="0" w:space="0" w:color="auto"/>
        <w:bottom w:val="none" w:sz="0" w:space="0" w:color="auto"/>
        <w:right w:val="none" w:sz="0" w:space="0" w:color="auto"/>
      </w:divBdr>
    </w:div>
    <w:div w:id="1523862594">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5291959">
      <w:bodyDiv w:val="1"/>
      <w:marLeft w:val="0"/>
      <w:marRight w:val="0"/>
      <w:marTop w:val="0"/>
      <w:marBottom w:val="0"/>
      <w:divBdr>
        <w:top w:val="none" w:sz="0" w:space="0" w:color="auto"/>
        <w:left w:val="none" w:sz="0" w:space="0" w:color="auto"/>
        <w:bottom w:val="none" w:sz="0" w:space="0" w:color="auto"/>
        <w:right w:val="none" w:sz="0" w:space="0" w:color="auto"/>
      </w:divBdr>
    </w:div>
    <w:div w:id="1525560144">
      <w:bodyDiv w:val="1"/>
      <w:marLeft w:val="0"/>
      <w:marRight w:val="0"/>
      <w:marTop w:val="0"/>
      <w:marBottom w:val="0"/>
      <w:divBdr>
        <w:top w:val="none" w:sz="0" w:space="0" w:color="auto"/>
        <w:left w:val="none" w:sz="0" w:space="0" w:color="auto"/>
        <w:bottom w:val="none" w:sz="0" w:space="0" w:color="auto"/>
        <w:right w:val="none" w:sz="0" w:space="0" w:color="auto"/>
      </w:divBdr>
    </w:div>
    <w:div w:id="1526093366">
      <w:bodyDiv w:val="1"/>
      <w:marLeft w:val="0"/>
      <w:marRight w:val="0"/>
      <w:marTop w:val="0"/>
      <w:marBottom w:val="0"/>
      <w:divBdr>
        <w:top w:val="none" w:sz="0" w:space="0" w:color="auto"/>
        <w:left w:val="none" w:sz="0" w:space="0" w:color="auto"/>
        <w:bottom w:val="none" w:sz="0" w:space="0" w:color="auto"/>
        <w:right w:val="none" w:sz="0" w:space="0" w:color="auto"/>
      </w:divBdr>
    </w:div>
    <w:div w:id="1527595559">
      <w:bodyDiv w:val="1"/>
      <w:marLeft w:val="0"/>
      <w:marRight w:val="0"/>
      <w:marTop w:val="0"/>
      <w:marBottom w:val="0"/>
      <w:divBdr>
        <w:top w:val="none" w:sz="0" w:space="0" w:color="auto"/>
        <w:left w:val="none" w:sz="0" w:space="0" w:color="auto"/>
        <w:bottom w:val="none" w:sz="0" w:space="0" w:color="auto"/>
        <w:right w:val="none" w:sz="0" w:space="0" w:color="auto"/>
      </w:divBdr>
    </w:div>
    <w:div w:id="1528985168">
      <w:bodyDiv w:val="1"/>
      <w:marLeft w:val="0"/>
      <w:marRight w:val="0"/>
      <w:marTop w:val="0"/>
      <w:marBottom w:val="0"/>
      <w:divBdr>
        <w:top w:val="none" w:sz="0" w:space="0" w:color="auto"/>
        <w:left w:val="none" w:sz="0" w:space="0" w:color="auto"/>
        <w:bottom w:val="none" w:sz="0" w:space="0" w:color="auto"/>
        <w:right w:val="none" w:sz="0" w:space="0" w:color="auto"/>
      </w:divBdr>
    </w:div>
    <w:div w:id="1531719399">
      <w:bodyDiv w:val="1"/>
      <w:marLeft w:val="0"/>
      <w:marRight w:val="0"/>
      <w:marTop w:val="0"/>
      <w:marBottom w:val="0"/>
      <w:divBdr>
        <w:top w:val="none" w:sz="0" w:space="0" w:color="auto"/>
        <w:left w:val="none" w:sz="0" w:space="0" w:color="auto"/>
        <w:bottom w:val="none" w:sz="0" w:space="0" w:color="auto"/>
        <w:right w:val="none" w:sz="0" w:space="0" w:color="auto"/>
      </w:divBdr>
    </w:div>
    <w:div w:id="1531996037">
      <w:bodyDiv w:val="1"/>
      <w:marLeft w:val="0"/>
      <w:marRight w:val="0"/>
      <w:marTop w:val="0"/>
      <w:marBottom w:val="0"/>
      <w:divBdr>
        <w:top w:val="none" w:sz="0" w:space="0" w:color="auto"/>
        <w:left w:val="none" w:sz="0" w:space="0" w:color="auto"/>
        <w:bottom w:val="none" w:sz="0" w:space="0" w:color="auto"/>
        <w:right w:val="none" w:sz="0" w:space="0" w:color="auto"/>
      </w:divBdr>
    </w:div>
    <w:div w:id="1533112883">
      <w:bodyDiv w:val="1"/>
      <w:marLeft w:val="0"/>
      <w:marRight w:val="0"/>
      <w:marTop w:val="0"/>
      <w:marBottom w:val="0"/>
      <w:divBdr>
        <w:top w:val="none" w:sz="0" w:space="0" w:color="auto"/>
        <w:left w:val="none" w:sz="0" w:space="0" w:color="auto"/>
        <w:bottom w:val="none" w:sz="0" w:space="0" w:color="auto"/>
        <w:right w:val="none" w:sz="0" w:space="0" w:color="auto"/>
      </w:divBdr>
    </w:div>
    <w:div w:id="1535266985">
      <w:bodyDiv w:val="1"/>
      <w:marLeft w:val="0"/>
      <w:marRight w:val="0"/>
      <w:marTop w:val="0"/>
      <w:marBottom w:val="0"/>
      <w:divBdr>
        <w:top w:val="none" w:sz="0" w:space="0" w:color="auto"/>
        <w:left w:val="none" w:sz="0" w:space="0" w:color="auto"/>
        <w:bottom w:val="none" w:sz="0" w:space="0" w:color="auto"/>
        <w:right w:val="none" w:sz="0" w:space="0" w:color="auto"/>
      </w:divBdr>
    </w:div>
    <w:div w:id="1535725113">
      <w:bodyDiv w:val="1"/>
      <w:marLeft w:val="0"/>
      <w:marRight w:val="0"/>
      <w:marTop w:val="0"/>
      <w:marBottom w:val="0"/>
      <w:divBdr>
        <w:top w:val="none" w:sz="0" w:space="0" w:color="auto"/>
        <w:left w:val="none" w:sz="0" w:space="0" w:color="auto"/>
        <w:bottom w:val="none" w:sz="0" w:space="0" w:color="auto"/>
        <w:right w:val="none" w:sz="0" w:space="0" w:color="auto"/>
      </w:divBdr>
    </w:div>
    <w:div w:id="1540581198">
      <w:bodyDiv w:val="1"/>
      <w:marLeft w:val="0"/>
      <w:marRight w:val="0"/>
      <w:marTop w:val="0"/>
      <w:marBottom w:val="0"/>
      <w:divBdr>
        <w:top w:val="none" w:sz="0" w:space="0" w:color="auto"/>
        <w:left w:val="none" w:sz="0" w:space="0" w:color="auto"/>
        <w:bottom w:val="none" w:sz="0" w:space="0" w:color="auto"/>
        <w:right w:val="none" w:sz="0" w:space="0" w:color="auto"/>
      </w:divBdr>
    </w:div>
    <w:div w:id="1541623560">
      <w:bodyDiv w:val="1"/>
      <w:marLeft w:val="0"/>
      <w:marRight w:val="0"/>
      <w:marTop w:val="0"/>
      <w:marBottom w:val="0"/>
      <w:divBdr>
        <w:top w:val="none" w:sz="0" w:space="0" w:color="auto"/>
        <w:left w:val="none" w:sz="0" w:space="0" w:color="auto"/>
        <w:bottom w:val="none" w:sz="0" w:space="0" w:color="auto"/>
        <w:right w:val="none" w:sz="0" w:space="0" w:color="auto"/>
      </w:divBdr>
    </w:div>
    <w:div w:id="1542135765">
      <w:bodyDiv w:val="1"/>
      <w:marLeft w:val="0"/>
      <w:marRight w:val="0"/>
      <w:marTop w:val="0"/>
      <w:marBottom w:val="0"/>
      <w:divBdr>
        <w:top w:val="none" w:sz="0" w:space="0" w:color="auto"/>
        <w:left w:val="none" w:sz="0" w:space="0" w:color="auto"/>
        <w:bottom w:val="none" w:sz="0" w:space="0" w:color="auto"/>
        <w:right w:val="none" w:sz="0" w:space="0" w:color="auto"/>
      </w:divBdr>
    </w:div>
    <w:div w:id="1544100797">
      <w:bodyDiv w:val="1"/>
      <w:marLeft w:val="0"/>
      <w:marRight w:val="0"/>
      <w:marTop w:val="0"/>
      <w:marBottom w:val="0"/>
      <w:divBdr>
        <w:top w:val="none" w:sz="0" w:space="0" w:color="auto"/>
        <w:left w:val="none" w:sz="0" w:space="0" w:color="auto"/>
        <w:bottom w:val="none" w:sz="0" w:space="0" w:color="auto"/>
        <w:right w:val="none" w:sz="0" w:space="0" w:color="auto"/>
      </w:divBdr>
    </w:div>
    <w:div w:id="1544903418">
      <w:bodyDiv w:val="1"/>
      <w:marLeft w:val="0"/>
      <w:marRight w:val="0"/>
      <w:marTop w:val="0"/>
      <w:marBottom w:val="0"/>
      <w:divBdr>
        <w:top w:val="none" w:sz="0" w:space="0" w:color="auto"/>
        <w:left w:val="none" w:sz="0" w:space="0" w:color="auto"/>
        <w:bottom w:val="none" w:sz="0" w:space="0" w:color="auto"/>
        <w:right w:val="none" w:sz="0" w:space="0" w:color="auto"/>
      </w:divBdr>
    </w:div>
    <w:div w:id="1545633007">
      <w:bodyDiv w:val="1"/>
      <w:marLeft w:val="0"/>
      <w:marRight w:val="0"/>
      <w:marTop w:val="0"/>
      <w:marBottom w:val="0"/>
      <w:divBdr>
        <w:top w:val="none" w:sz="0" w:space="0" w:color="auto"/>
        <w:left w:val="none" w:sz="0" w:space="0" w:color="auto"/>
        <w:bottom w:val="none" w:sz="0" w:space="0" w:color="auto"/>
        <w:right w:val="none" w:sz="0" w:space="0" w:color="auto"/>
      </w:divBdr>
    </w:div>
    <w:div w:id="1545676281">
      <w:bodyDiv w:val="1"/>
      <w:marLeft w:val="0"/>
      <w:marRight w:val="0"/>
      <w:marTop w:val="0"/>
      <w:marBottom w:val="0"/>
      <w:divBdr>
        <w:top w:val="none" w:sz="0" w:space="0" w:color="auto"/>
        <w:left w:val="none" w:sz="0" w:space="0" w:color="auto"/>
        <w:bottom w:val="none" w:sz="0" w:space="0" w:color="auto"/>
        <w:right w:val="none" w:sz="0" w:space="0" w:color="auto"/>
      </w:divBdr>
    </w:div>
    <w:div w:id="1546940077">
      <w:bodyDiv w:val="1"/>
      <w:marLeft w:val="0"/>
      <w:marRight w:val="0"/>
      <w:marTop w:val="0"/>
      <w:marBottom w:val="0"/>
      <w:divBdr>
        <w:top w:val="none" w:sz="0" w:space="0" w:color="auto"/>
        <w:left w:val="none" w:sz="0" w:space="0" w:color="auto"/>
        <w:bottom w:val="none" w:sz="0" w:space="0" w:color="auto"/>
        <w:right w:val="none" w:sz="0" w:space="0" w:color="auto"/>
      </w:divBdr>
    </w:div>
    <w:div w:id="1548299858">
      <w:bodyDiv w:val="1"/>
      <w:marLeft w:val="0"/>
      <w:marRight w:val="0"/>
      <w:marTop w:val="0"/>
      <w:marBottom w:val="0"/>
      <w:divBdr>
        <w:top w:val="none" w:sz="0" w:space="0" w:color="auto"/>
        <w:left w:val="none" w:sz="0" w:space="0" w:color="auto"/>
        <w:bottom w:val="none" w:sz="0" w:space="0" w:color="auto"/>
        <w:right w:val="none" w:sz="0" w:space="0" w:color="auto"/>
      </w:divBdr>
    </w:div>
    <w:div w:id="1548756121">
      <w:bodyDiv w:val="1"/>
      <w:marLeft w:val="0"/>
      <w:marRight w:val="0"/>
      <w:marTop w:val="0"/>
      <w:marBottom w:val="0"/>
      <w:divBdr>
        <w:top w:val="none" w:sz="0" w:space="0" w:color="auto"/>
        <w:left w:val="none" w:sz="0" w:space="0" w:color="auto"/>
        <w:bottom w:val="none" w:sz="0" w:space="0" w:color="auto"/>
        <w:right w:val="none" w:sz="0" w:space="0" w:color="auto"/>
      </w:divBdr>
    </w:div>
    <w:div w:id="1549485809">
      <w:bodyDiv w:val="1"/>
      <w:marLeft w:val="0"/>
      <w:marRight w:val="0"/>
      <w:marTop w:val="0"/>
      <w:marBottom w:val="0"/>
      <w:divBdr>
        <w:top w:val="none" w:sz="0" w:space="0" w:color="auto"/>
        <w:left w:val="none" w:sz="0" w:space="0" w:color="auto"/>
        <w:bottom w:val="none" w:sz="0" w:space="0" w:color="auto"/>
        <w:right w:val="none" w:sz="0" w:space="0" w:color="auto"/>
      </w:divBdr>
    </w:div>
    <w:div w:id="1551110064">
      <w:bodyDiv w:val="1"/>
      <w:marLeft w:val="0"/>
      <w:marRight w:val="0"/>
      <w:marTop w:val="0"/>
      <w:marBottom w:val="0"/>
      <w:divBdr>
        <w:top w:val="none" w:sz="0" w:space="0" w:color="auto"/>
        <w:left w:val="none" w:sz="0" w:space="0" w:color="auto"/>
        <w:bottom w:val="none" w:sz="0" w:space="0" w:color="auto"/>
        <w:right w:val="none" w:sz="0" w:space="0" w:color="auto"/>
      </w:divBdr>
    </w:div>
    <w:div w:id="1551183453">
      <w:bodyDiv w:val="1"/>
      <w:marLeft w:val="0"/>
      <w:marRight w:val="0"/>
      <w:marTop w:val="0"/>
      <w:marBottom w:val="0"/>
      <w:divBdr>
        <w:top w:val="none" w:sz="0" w:space="0" w:color="auto"/>
        <w:left w:val="none" w:sz="0" w:space="0" w:color="auto"/>
        <w:bottom w:val="none" w:sz="0" w:space="0" w:color="auto"/>
        <w:right w:val="none" w:sz="0" w:space="0" w:color="auto"/>
      </w:divBdr>
    </w:div>
    <w:div w:id="1552228478">
      <w:bodyDiv w:val="1"/>
      <w:marLeft w:val="0"/>
      <w:marRight w:val="0"/>
      <w:marTop w:val="0"/>
      <w:marBottom w:val="0"/>
      <w:divBdr>
        <w:top w:val="none" w:sz="0" w:space="0" w:color="auto"/>
        <w:left w:val="none" w:sz="0" w:space="0" w:color="auto"/>
        <w:bottom w:val="none" w:sz="0" w:space="0" w:color="auto"/>
        <w:right w:val="none" w:sz="0" w:space="0" w:color="auto"/>
      </w:divBdr>
    </w:div>
    <w:div w:id="1555852002">
      <w:bodyDiv w:val="1"/>
      <w:marLeft w:val="0"/>
      <w:marRight w:val="0"/>
      <w:marTop w:val="0"/>
      <w:marBottom w:val="0"/>
      <w:divBdr>
        <w:top w:val="none" w:sz="0" w:space="0" w:color="auto"/>
        <w:left w:val="none" w:sz="0" w:space="0" w:color="auto"/>
        <w:bottom w:val="none" w:sz="0" w:space="0" w:color="auto"/>
        <w:right w:val="none" w:sz="0" w:space="0" w:color="auto"/>
      </w:divBdr>
    </w:div>
    <w:div w:id="1555896645">
      <w:bodyDiv w:val="1"/>
      <w:marLeft w:val="0"/>
      <w:marRight w:val="0"/>
      <w:marTop w:val="0"/>
      <w:marBottom w:val="0"/>
      <w:divBdr>
        <w:top w:val="none" w:sz="0" w:space="0" w:color="auto"/>
        <w:left w:val="none" w:sz="0" w:space="0" w:color="auto"/>
        <w:bottom w:val="none" w:sz="0" w:space="0" w:color="auto"/>
        <w:right w:val="none" w:sz="0" w:space="0" w:color="auto"/>
      </w:divBdr>
    </w:div>
    <w:div w:id="1556315221">
      <w:bodyDiv w:val="1"/>
      <w:marLeft w:val="0"/>
      <w:marRight w:val="0"/>
      <w:marTop w:val="0"/>
      <w:marBottom w:val="0"/>
      <w:divBdr>
        <w:top w:val="none" w:sz="0" w:space="0" w:color="auto"/>
        <w:left w:val="none" w:sz="0" w:space="0" w:color="auto"/>
        <w:bottom w:val="none" w:sz="0" w:space="0" w:color="auto"/>
        <w:right w:val="none" w:sz="0" w:space="0" w:color="auto"/>
      </w:divBdr>
    </w:div>
    <w:div w:id="1557163434">
      <w:bodyDiv w:val="1"/>
      <w:marLeft w:val="0"/>
      <w:marRight w:val="0"/>
      <w:marTop w:val="0"/>
      <w:marBottom w:val="0"/>
      <w:divBdr>
        <w:top w:val="none" w:sz="0" w:space="0" w:color="auto"/>
        <w:left w:val="none" w:sz="0" w:space="0" w:color="auto"/>
        <w:bottom w:val="none" w:sz="0" w:space="0" w:color="auto"/>
        <w:right w:val="none" w:sz="0" w:space="0" w:color="auto"/>
      </w:divBdr>
    </w:div>
    <w:div w:id="1558860255">
      <w:bodyDiv w:val="1"/>
      <w:marLeft w:val="0"/>
      <w:marRight w:val="0"/>
      <w:marTop w:val="0"/>
      <w:marBottom w:val="0"/>
      <w:divBdr>
        <w:top w:val="none" w:sz="0" w:space="0" w:color="auto"/>
        <w:left w:val="none" w:sz="0" w:space="0" w:color="auto"/>
        <w:bottom w:val="none" w:sz="0" w:space="0" w:color="auto"/>
        <w:right w:val="none" w:sz="0" w:space="0" w:color="auto"/>
      </w:divBdr>
    </w:div>
    <w:div w:id="1559826599">
      <w:bodyDiv w:val="1"/>
      <w:marLeft w:val="0"/>
      <w:marRight w:val="0"/>
      <w:marTop w:val="0"/>
      <w:marBottom w:val="0"/>
      <w:divBdr>
        <w:top w:val="none" w:sz="0" w:space="0" w:color="auto"/>
        <w:left w:val="none" w:sz="0" w:space="0" w:color="auto"/>
        <w:bottom w:val="none" w:sz="0" w:space="0" w:color="auto"/>
        <w:right w:val="none" w:sz="0" w:space="0" w:color="auto"/>
      </w:divBdr>
    </w:div>
    <w:div w:id="1559902506">
      <w:bodyDiv w:val="1"/>
      <w:marLeft w:val="0"/>
      <w:marRight w:val="0"/>
      <w:marTop w:val="0"/>
      <w:marBottom w:val="0"/>
      <w:divBdr>
        <w:top w:val="none" w:sz="0" w:space="0" w:color="auto"/>
        <w:left w:val="none" w:sz="0" w:space="0" w:color="auto"/>
        <w:bottom w:val="none" w:sz="0" w:space="0" w:color="auto"/>
        <w:right w:val="none" w:sz="0" w:space="0" w:color="auto"/>
      </w:divBdr>
    </w:div>
    <w:div w:id="1560899341">
      <w:bodyDiv w:val="1"/>
      <w:marLeft w:val="0"/>
      <w:marRight w:val="0"/>
      <w:marTop w:val="0"/>
      <w:marBottom w:val="0"/>
      <w:divBdr>
        <w:top w:val="none" w:sz="0" w:space="0" w:color="auto"/>
        <w:left w:val="none" w:sz="0" w:space="0" w:color="auto"/>
        <w:bottom w:val="none" w:sz="0" w:space="0" w:color="auto"/>
        <w:right w:val="none" w:sz="0" w:space="0" w:color="auto"/>
      </w:divBdr>
    </w:div>
    <w:div w:id="1561869652">
      <w:bodyDiv w:val="1"/>
      <w:marLeft w:val="0"/>
      <w:marRight w:val="0"/>
      <w:marTop w:val="0"/>
      <w:marBottom w:val="0"/>
      <w:divBdr>
        <w:top w:val="none" w:sz="0" w:space="0" w:color="auto"/>
        <w:left w:val="none" w:sz="0" w:space="0" w:color="auto"/>
        <w:bottom w:val="none" w:sz="0" w:space="0" w:color="auto"/>
        <w:right w:val="none" w:sz="0" w:space="0" w:color="auto"/>
      </w:divBdr>
    </w:div>
    <w:div w:id="1562714369">
      <w:bodyDiv w:val="1"/>
      <w:marLeft w:val="0"/>
      <w:marRight w:val="0"/>
      <w:marTop w:val="0"/>
      <w:marBottom w:val="0"/>
      <w:divBdr>
        <w:top w:val="none" w:sz="0" w:space="0" w:color="auto"/>
        <w:left w:val="none" w:sz="0" w:space="0" w:color="auto"/>
        <w:bottom w:val="none" w:sz="0" w:space="0" w:color="auto"/>
        <w:right w:val="none" w:sz="0" w:space="0" w:color="auto"/>
      </w:divBdr>
    </w:div>
    <w:div w:id="1567715487">
      <w:bodyDiv w:val="1"/>
      <w:marLeft w:val="0"/>
      <w:marRight w:val="0"/>
      <w:marTop w:val="0"/>
      <w:marBottom w:val="0"/>
      <w:divBdr>
        <w:top w:val="none" w:sz="0" w:space="0" w:color="auto"/>
        <w:left w:val="none" w:sz="0" w:space="0" w:color="auto"/>
        <w:bottom w:val="none" w:sz="0" w:space="0" w:color="auto"/>
        <w:right w:val="none" w:sz="0" w:space="0" w:color="auto"/>
      </w:divBdr>
    </w:div>
    <w:div w:id="1568373902">
      <w:bodyDiv w:val="1"/>
      <w:marLeft w:val="0"/>
      <w:marRight w:val="0"/>
      <w:marTop w:val="0"/>
      <w:marBottom w:val="0"/>
      <w:divBdr>
        <w:top w:val="none" w:sz="0" w:space="0" w:color="auto"/>
        <w:left w:val="none" w:sz="0" w:space="0" w:color="auto"/>
        <w:bottom w:val="none" w:sz="0" w:space="0" w:color="auto"/>
        <w:right w:val="none" w:sz="0" w:space="0" w:color="auto"/>
      </w:divBdr>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0729065">
      <w:bodyDiv w:val="1"/>
      <w:marLeft w:val="0"/>
      <w:marRight w:val="0"/>
      <w:marTop w:val="0"/>
      <w:marBottom w:val="0"/>
      <w:divBdr>
        <w:top w:val="none" w:sz="0" w:space="0" w:color="auto"/>
        <w:left w:val="none" w:sz="0" w:space="0" w:color="auto"/>
        <w:bottom w:val="none" w:sz="0" w:space="0" w:color="auto"/>
        <w:right w:val="none" w:sz="0" w:space="0" w:color="auto"/>
      </w:divBdr>
    </w:div>
    <w:div w:id="1570732295">
      <w:bodyDiv w:val="1"/>
      <w:marLeft w:val="0"/>
      <w:marRight w:val="0"/>
      <w:marTop w:val="0"/>
      <w:marBottom w:val="0"/>
      <w:divBdr>
        <w:top w:val="none" w:sz="0" w:space="0" w:color="auto"/>
        <w:left w:val="none" w:sz="0" w:space="0" w:color="auto"/>
        <w:bottom w:val="none" w:sz="0" w:space="0" w:color="auto"/>
        <w:right w:val="none" w:sz="0" w:space="0" w:color="auto"/>
      </w:divBdr>
    </w:div>
    <w:div w:id="1572033327">
      <w:bodyDiv w:val="1"/>
      <w:marLeft w:val="0"/>
      <w:marRight w:val="0"/>
      <w:marTop w:val="0"/>
      <w:marBottom w:val="0"/>
      <w:divBdr>
        <w:top w:val="none" w:sz="0" w:space="0" w:color="auto"/>
        <w:left w:val="none" w:sz="0" w:space="0" w:color="auto"/>
        <w:bottom w:val="none" w:sz="0" w:space="0" w:color="auto"/>
        <w:right w:val="none" w:sz="0" w:space="0" w:color="auto"/>
      </w:divBdr>
    </w:div>
    <w:div w:id="1572160998">
      <w:bodyDiv w:val="1"/>
      <w:marLeft w:val="0"/>
      <w:marRight w:val="0"/>
      <w:marTop w:val="0"/>
      <w:marBottom w:val="0"/>
      <w:divBdr>
        <w:top w:val="none" w:sz="0" w:space="0" w:color="auto"/>
        <w:left w:val="none" w:sz="0" w:space="0" w:color="auto"/>
        <w:bottom w:val="none" w:sz="0" w:space="0" w:color="auto"/>
        <w:right w:val="none" w:sz="0" w:space="0" w:color="auto"/>
      </w:divBdr>
    </w:div>
    <w:div w:id="1574657531">
      <w:bodyDiv w:val="1"/>
      <w:marLeft w:val="0"/>
      <w:marRight w:val="0"/>
      <w:marTop w:val="0"/>
      <w:marBottom w:val="0"/>
      <w:divBdr>
        <w:top w:val="none" w:sz="0" w:space="0" w:color="auto"/>
        <w:left w:val="none" w:sz="0" w:space="0" w:color="auto"/>
        <w:bottom w:val="none" w:sz="0" w:space="0" w:color="auto"/>
        <w:right w:val="none" w:sz="0" w:space="0" w:color="auto"/>
      </w:divBdr>
    </w:div>
    <w:div w:id="1576668258">
      <w:bodyDiv w:val="1"/>
      <w:marLeft w:val="0"/>
      <w:marRight w:val="0"/>
      <w:marTop w:val="0"/>
      <w:marBottom w:val="0"/>
      <w:divBdr>
        <w:top w:val="none" w:sz="0" w:space="0" w:color="auto"/>
        <w:left w:val="none" w:sz="0" w:space="0" w:color="auto"/>
        <w:bottom w:val="none" w:sz="0" w:space="0" w:color="auto"/>
        <w:right w:val="none" w:sz="0" w:space="0" w:color="auto"/>
      </w:divBdr>
    </w:div>
    <w:div w:id="1576821143">
      <w:bodyDiv w:val="1"/>
      <w:marLeft w:val="0"/>
      <w:marRight w:val="0"/>
      <w:marTop w:val="0"/>
      <w:marBottom w:val="0"/>
      <w:divBdr>
        <w:top w:val="none" w:sz="0" w:space="0" w:color="auto"/>
        <w:left w:val="none" w:sz="0" w:space="0" w:color="auto"/>
        <w:bottom w:val="none" w:sz="0" w:space="0" w:color="auto"/>
        <w:right w:val="none" w:sz="0" w:space="0" w:color="auto"/>
      </w:divBdr>
    </w:div>
    <w:div w:id="1577781885">
      <w:bodyDiv w:val="1"/>
      <w:marLeft w:val="0"/>
      <w:marRight w:val="0"/>
      <w:marTop w:val="0"/>
      <w:marBottom w:val="0"/>
      <w:divBdr>
        <w:top w:val="none" w:sz="0" w:space="0" w:color="auto"/>
        <w:left w:val="none" w:sz="0" w:space="0" w:color="auto"/>
        <w:bottom w:val="none" w:sz="0" w:space="0" w:color="auto"/>
        <w:right w:val="none" w:sz="0" w:space="0" w:color="auto"/>
      </w:divBdr>
    </w:div>
    <w:div w:id="1578172660">
      <w:bodyDiv w:val="1"/>
      <w:marLeft w:val="0"/>
      <w:marRight w:val="0"/>
      <w:marTop w:val="0"/>
      <w:marBottom w:val="0"/>
      <w:divBdr>
        <w:top w:val="none" w:sz="0" w:space="0" w:color="auto"/>
        <w:left w:val="none" w:sz="0" w:space="0" w:color="auto"/>
        <w:bottom w:val="none" w:sz="0" w:space="0" w:color="auto"/>
        <w:right w:val="none" w:sz="0" w:space="0" w:color="auto"/>
      </w:divBdr>
    </w:div>
    <w:div w:id="1579363798">
      <w:bodyDiv w:val="1"/>
      <w:marLeft w:val="0"/>
      <w:marRight w:val="0"/>
      <w:marTop w:val="0"/>
      <w:marBottom w:val="0"/>
      <w:divBdr>
        <w:top w:val="none" w:sz="0" w:space="0" w:color="auto"/>
        <w:left w:val="none" w:sz="0" w:space="0" w:color="auto"/>
        <w:bottom w:val="none" w:sz="0" w:space="0" w:color="auto"/>
        <w:right w:val="none" w:sz="0" w:space="0" w:color="auto"/>
      </w:divBdr>
    </w:div>
    <w:div w:id="1582255532">
      <w:bodyDiv w:val="1"/>
      <w:marLeft w:val="0"/>
      <w:marRight w:val="0"/>
      <w:marTop w:val="0"/>
      <w:marBottom w:val="0"/>
      <w:divBdr>
        <w:top w:val="none" w:sz="0" w:space="0" w:color="auto"/>
        <w:left w:val="none" w:sz="0" w:space="0" w:color="auto"/>
        <w:bottom w:val="none" w:sz="0" w:space="0" w:color="auto"/>
        <w:right w:val="none" w:sz="0" w:space="0" w:color="auto"/>
      </w:divBdr>
    </w:div>
    <w:div w:id="1582448144">
      <w:bodyDiv w:val="1"/>
      <w:marLeft w:val="0"/>
      <w:marRight w:val="0"/>
      <w:marTop w:val="0"/>
      <w:marBottom w:val="0"/>
      <w:divBdr>
        <w:top w:val="none" w:sz="0" w:space="0" w:color="auto"/>
        <w:left w:val="none" w:sz="0" w:space="0" w:color="auto"/>
        <w:bottom w:val="none" w:sz="0" w:space="0" w:color="auto"/>
        <w:right w:val="none" w:sz="0" w:space="0" w:color="auto"/>
      </w:divBdr>
    </w:div>
    <w:div w:id="1582521814">
      <w:bodyDiv w:val="1"/>
      <w:marLeft w:val="0"/>
      <w:marRight w:val="0"/>
      <w:marTop w:val="0"/>
      <w:marBottom w:val="0"/>
      <w:divBdr>
        <w:top w:val="none" w:sz="0" w:space="0" w:color="auto"/>
        <w:left w:val="none" w:sz="0" w:space="0" w:color="auto"/>
        <w:bottom w:val="none" w:sz="0" w:space="0" w:color="auto"/>
        <w:right w:val="none" w:sz="0" w:space="0" w:color="auto"/>
      </w:divBdr>
    </w:div>
    <w:div w:id="1586497318">
      <w:bodyDiv w:val="1"/>
      <w:marLeft w:val="0"/>
      <w:marRight w:val="0"/>
      <w:marTop w:val="0"/>
      <w:marBottom w:val="0"/>
      <w:divBdr>
        <w:top w:val="none" w:sz="0" w:space="0" w:color="auto"/>
        <w:left w:val="none" w:sz="0" w:space="0" w:color="auto"/>
        <w:bottom w:val="none" w:sz="0" w:space="0" w:color="auto"/>
        <w:right w:val="none" w:sz="0" w:space="0" w:color="auto"/>
      </w:divBdr>
    </w:div>
    <w:div w:id="1587108233">
      <w:bodyDiv w:val="1"/>
      <w:marLeft w:val="0"/>
      <w:marRight w:val="0"/>
      <w:marTop w:val="0"/>
      <w:marBottom w:val="0"/>
      <w:divBdr>
        <w:top w:val="none" w:sz="0" w:space="0" w:color="auto"/>
        <w:left w:val="none" w:sz="0" w:space="0" w:color="auto"/>
        <w:bottom w:val="none" w:sz="0" w:space="0" w:color="auto"/>
        <w:right w:val="none" w:sz="0" w:space="0" w:color="auto"/>
      </w:divBdr>
    </w:div>
    <w:div w:id="1587350057">
      <w:bodyDiv w:val="1"/>
      <w:marLeft w:val="0"/>
      <w:marRight w:val="0"/>
      <w:marTop w:val="0"/>
      <w:marBottom w:val="0"/>
      <w:divBdr>
        <w:top w:val="none" w:sz="0" w:space="0" w:color="auto"/>
        <w:left w:val="none" w:sz="0" w:space="0" w:color="auto"/>
        <w:bottom w:val="none" w:sz="0" w:space="0" w:color="auto"/>
        <w:right w:val="none" w:sz="0" w:space="0" w:color="auto"/>
      </w:divBdr>
    </w:div>
    <w:div w:id="1587954814">
      <w:bodyDiv w:val="1"/>
      <w:marLeft w:val="0"/>
      <w:marRight w:val="0"/>
      <w:marTop w:val="0"/>
      <w:marBottom w:val="0"/>
      <w:divBdr>
        <w:top w:val="none" w:sz="0" w:space="0" w:color="auto"/>
        <w:left w:val="none" w:sz="0" w:space="0" w:color="auto"/>
        <w:bottom w:val="none" w:sz="0" w:space="0" w:color="auto"/>
        <w:right w:val="none" w:sz="0" w:space="0" w:color="auto"/>
      </w:divBdr>
    </w:div>
    <w:div w:id="1588074888">
      <w:bodyDiv w:val="1"/>
      <w:marLeft w:val="0"/>
      <w:marRight w:val="0"/>
      <w:marTop w:val="0"/>
      <w:marBottom w:val="0"/>
      <w:divBdr>
        <w:top w:val="none" w:sz="0" w:space="0" w:color="auto"/>
        <w:left w:val="none" w:sz="0" w:space="0" w:color="auto"/>
        <w:bottom w:val="none" w:sz="0" w:space="0" w:color="auto"/>
        <w:right w:val="none" w:sz="0" w:space="0" w:color="auto"/>
      </w:divBdr>
    </w:div>
    <w:div w:id="1589270385">
      <w:bodyDiv w:val="1"/>
      <w:marLeft w:val="0"/>
      <w:marRight w:val="0"/>
      <w:marTop w:val="0"/>
      <w:marBottom w:val="0"/>
      <w:divBdr>
        <w:top w:val="none" w:sz="0" w:space="0" w:color="auto"/>
        <w:left w:val="none" w:sz="0" w:space="0" w:color="auto"/>
        <w:bottom w:val="none" w:sz="0" w:space="0" w:color="auto"/>
        <w:right w:val="none" w:sz="0" w:space="0" w:color="auto"/>
      </w:divBdr>
    </w:div>
    <w:div w:id="1594704524">
      <w:bodyDiv w:val="1"/>
      <w:marLeft w:val="0"/>
      <w:marRight w:val="0"/>
      <w:marTop w:val="0"/>
      <w:marBottom w:val="0"/>
      <w:divBdr>
        <w:top w:val="none" w:sz="0" w:space="0" w:color="auto"/>
        <w:left w:val="none" w:sz="0" w:space="0" w:color="auto"/>
        <w:bottom w:val="none" w:sz="0" w:space="0" w:color="auto"/>
        <w:right w:val="none" w:sz="0" w:space="0" w:color="auto"/>
      </w:divBdr>
    </w:div>
    <w:div w:id="1598365629">
      <w:bodyDiv w:val="1"/>
      <w:marLeft w:val="0"/>
      <w:marRight w:val="0"/>
      <w:marTop w:val="0"/>
      <w:marBottom w:val="0"/>
      <w:divBdr>
        <w:top w:val="none" w:sz="0" w:space="0" w:color="auto"/>
        <w:left w:val="none" w:sz="0" w:space="0" w:color="auto"/>
        <w:bottom w:val="none" w:sz="0" w:space="0" w:color="auto"/>
        <w:right w:val="none" w:sz="0" w:space="0" w:color="auto"/>
      </w:divBdr>
    </w:div>
    <w:div w:id="1599950298">
      <w:bodyDiv w:val="1"/>
      <w:marLeft w:val="0"/>
      <w:marRight w:val="0"/>
      <w:marTop w:val="0"/>
      <w:marBottom w:val="0"/>
      <w:divBdr>
        <w:top w:val="none" w:sz="0" w:space="0" w:color="auto"/>
        <w:left w:val="none" w:sz="0" w:space="0" w:color="auto"/>
        <w:bottom w:val="none" w:sz="0" w:space="0" w:color="auto"/>
        <w:right w:val="none" w:sz="0" w:space="0" w:color="auto"/>
      </w:divBdr>
    </w:div>
    <w:div w:id="1601525929">
      <w:bodyDiv w:val="1"/>
      <w:marLeft w:val="0"/>
      <w:marRight w:val="0"/>
      <w:marTop w:val="0"/>
      <w:marBottom w:val="0"/>
      <w:divBdr>
        <w:top w:val="none" w:sz="0" w:space="0" w:color="auto"/>
        <w:left w:val="none" w:sz="0" w:space="0" w:color="auto"/>
        <w:bottom w:val="none" w:sz="0" w:space="0" w:color="auto"/>
        <w:right w:val="none" w:sz="0" w:space="0" w:color="auto"/>
      </w:divBdr>
    </w:div>
    <w:div w:id="1601795755">
      <w:bodyDiv w:val="1"/>
      <w:marLeft w:val="0"/>
      <w:marRight w:val="0"/>
      <w:marTop w:val="0"/>
      <w:marBottom w:val="0"/>
      <w:divBdr>
        <w:top w:val="none" w:sz="0" w:space="0" w:color="auto"/>
        <w:left w:val="none" w:sz="0" w:space="0" w:color="auto"/>
        <w:bottom w:val="none" w:sz="0" w:space="0" w:color="auto"/>
        <w:right w:val="none" w:sz="0" w:space="0" w:color="auto"/>
      </w:divBdr>
    </w:div>
    <w:div w:id="1602371443">
      <w:bodyDiv w:val="1"/>
      <w:marLeft w:val="0"/>
      <w:marRight w:val="0"/>
      <w:marTop w:val="0"/>
      <w:marBottom w:val="0"/>
      <w:divBdr>
        <w:top w:val="none" w:sz="0" w:space="0" w:color="auto"/>
        <w:left w:val="none" w:sz="0" w:space="0" w:color="auto"/>
        <w:bottom w:val="none" w:sz="0" w:space="0" w:color="auto"/>
        <w:right w:val="none" w:sz="0" w:space="0" w:color="auto"/>
      </w:divBdr>
    </w:div>
    <w:div w:id="1603345206">
      <w:bodyDiv w:val="1"/>
      <w:marLeft w:val="0"/>
      <w:marRight w:val="0"/>
      <w:marTop w:val="0"/>
      <w:marBottom w:val="0"/>
      <w:divBdr>
        <w:top w:val="none" w:sz="0" w:space="0" w:color="auto"/>
        <w:left w:val="none" w:sz="0" w:space="0" w:color="auto"/>
        <w:bottom w:val="none" w:sz="0" w:space="0" w:color="auto"/>
        <w:right w:val="none" w:sz="0" w:space="0" w:color="auto"/>
      </w:divBdr>
    </w:div>
    <w:div w:id="1603875952">
      <w:bodyDiv w:val="1"/>
      <w:marLeft w:val="0"/>
      <w:marRight w:val="0"/>
      <w:marTop w:val="0"/>
      <w:marBottom w:val="0"/>
      <w:divBdr>
        <w:top w:val="none" w:sz="0" w:space="0" w:color="auto"/>
        <w:left w:val="none" w:sz="0" w:space="0" w:color="auto"/>
        <w:bottom w:val="none" w:sz="0" w:space="0" w:color="auto"/>
        <w:right w:val="none" w:sz="0" w:space="0" w:color="auto"/>
      </w:divBdr>
    </w:div>
    <w:div w:id="1608271073">
      <w:bodyDiv w:val="1"/>
      <w:marLeft w:val="0"/>
      <w:marRight w:val="0"/>
      <w:marTop w:val="0"/>
      <w:marBottom w:val="0"/>
      <w:divBdr>
        <w:top w:val="none" w:sz="0" w:space="0" w:color="auto"/>
        <w:left w:val="none" w:sz="0" w:space="0" w:color="auto"/>
        <w:bottom w:val="none" w:sz="0" w:space="0" w:color="auto"/>
        <w:right w:val="none" w:sz="0" w:space="0" w:color="auto"/>
      </w:divBdr>
    </w:div>
    <w:div w:id="1610552030">
      <w:bodyDiv w:val="1"/>
      <w:marLeft w:val="0"/>
      <w:marRight w:val="0"/>
      <w:marTop w:val="0"/>
      <w:marBottom w:val="0"/>
      <w:divBdr>
        <w:top w:val="none" w:sz="0" w:space="0" w:color="auto"/>
        <w:left w:val="none" w:sz="0" w:space="0" w:color="auto"/>
        <w:bottom w:val="none" w:sz="0" w:space="0" w:color="auto"/>
        <w:right w:val="none" w:sz="0" w:space="0" w:color="auto"/>
      </w:divBdr>
    </w:div>
    <w:div w:id="1611888098">
      <w:bodyDiv w:val="1"/>
      <w:marLeft w:val="0"/>
      <w:marRight w:val="0"/>
      <w:marTop w:val="0"/>
      <w:marBottom w:val="0"/>
      <w:divBdr>
        <w:top w:val="none" w:sz="0" w:space="0" w:color="auto"/>
        <w:left w:val="none" w:sz="0" w:space="0" w:color="auto"/>
        <w:bottom w:val="none" w:sz="0" w:space="0" w:color="auto"/>
        <w:right w:val="none" w:sz="0" w:space="0" w:color="auto"/>
      </w:divBdr>
    </w:div>
    <w:div w:id="1612974921">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17525061">
      <w:bodyDiv w:val="1"/>
      <w:marLeft w:val="0"/>
      <w:marRight w:val="0"/>
      <w:marTop w:val="0"/>
      <w:marBottom w:val="0"/>
      <w:divBdr>
        <w:top w:val="none" w:sz="0" w:space="0" w:color="auto"/>
        <w:left w:val="none" w:sz="0" w:space="0" w:color="auto"/>
        <w:bottom w:val="none" w:sz="0" w:space="0" w:color="auto"/>
        <w:right w:val="none" w:sz="0" w:space="0" w:color="auto"/>
      </w:divBdr>
    </w:div>
    <w:div w:id="1619221227">
      <w:bodyDiv w:val="1"/>
      <w:marLeft w:val="0"/>
      <w:marRight w:val="0"/>
      <w:marTop w:val="0"/>
      <w:marBottom w:val="0"/>
      <w:divBdr>
        <w:top w:val="none" w:sz="0" w:space="0" w:color="auto"/>
        <w:left w:val="none" w:sz="0" w:space="0" w:color="auto"/>
        <w:bottom w:val="none" w:sz="0" w:space="0" w:color="auto"/>
        <w:right w:val="none" w:sz="0" w:space="0" w:color="auto"/>
      </w:divBdr>
    </w:div>
    <w:div w:id="1619601027">
      <w:bodyDiv w:val="1"/>
      <w:marLeft w:val="0"/>
      <w:marRight w:val="0"/>
      <w:marTop w:val="0"/>
      <w:marBottom w:val="0"/>
      <w:divBdr>
        <w:top w:val="none" w:sz="0" w:space="0" w:color="auto"/>
        <w:left w:val="none" w:sz="0" w:space="0" w:color="auto"/>
        <w:bottom w:val="none" w:sz="0" w:space="0" w:color="auto"/>
        <w:right w:val="none" w:sz="0" w:space="0" w:color="auto"/>
      </w:divBdr>
    </w:div>
    <w:div w:id="1619601747">
      <w:bodyDiv w:val="1"/>
      <w:marLeft w:val="0"/>
      <w:marRight w:val="0"/>
      <w:marTop w:val="0"/>
      <w:marBottom w:val="0"/>
      <w:divBdr>
        <w:top w:val="none" w:sz="0" w:space="0" w:color="auto"/>
        <w:left w:val="none" w:sz="0" w:space="0" w:color="auto"/>
        <w:bottom w:val="none" w:sz="0" w:space="0" w:color="auto"/>
        <w:right w:val="none" w:sz="0" w:space="0" w:color="auto"/>
      </w:divBdr>
    </w:div>
    <w:div w:id="1621568830">
      <w:bodyDiv w:val="1"/>
      <w:marLeft w:val="0"/>
      <w:marRight w:val="0"/>
      <w:marTop w:val="0"/>
      <w:marBottom w:val="0"/>
      <w:divBdr>
        <w:top w:val="none" w:sz="0" w:space="0" w:color="auto"/>
        <w:left w:val="none" w:sz="0" w:space="0" w:color="auto"/>
        <w:bottom w:val="none" w:sz="0" w:space="0" w:color="auto"/>
        <w:right w:val="none" w:sz="0" w:space="0" w:color="auto"/>
      </w:divBdr>
    </w:div>
    <w:div w:id="1623228361">
      <w:bodyDiv w:val="1"/>
      <w:marLeft w:val="0"/>
      <w:marRight w:val="0"/>
      <w:marTop w:val="0"/>
      <w:marBottom w:val="0"/>
      <w:divBdr>
        <w:top w:val="none" w:sz="0" w:space="0" w:color="auto"/>
        <w:left w:val="none" w:sz="0" w:space="0" w:color="auto"/>
        <w:bottom w:val="none" w:sz="0" w:space="0" w:color="auto"/>
        <w:right w:val="none" w:sz="0" w:space="0" w:color="auto"/>
      </w:divBdr>
    </w:div>
    <w:div w:id="1623347077">
      <w:bodyDiv w:val="1"/>
      <w:marLeft w:val="0"/>
      <w:marRight w:val="0"/>
      <w:marTop w:val="0"/>
      <w:marBottom w:val="0"/>
      <w:divBdr>
        <w:top w:val="none" w:sz="0" w:space="0" w:color="auto"/>
        <w:left w:val="none" w:sz="0" w:space="0" w:color="auto"/>
        <w:bottom w:val="none" w:sz="0" w:space="0" w:color="auto"/>
        <w:right w:val="none" w:sz="0" w:space="0" w:color="auto"/>
      </w:divBdr>
    </w:div>
    <w:div w:id="1623876969">
      <w:bodyDiv w:val="1"/>
      <w:marLeft w:val="0"/>
      <w:marRight w:val="0"/>
      <w:marTop w:val="0"/>
      <w:marBottom w:val="0"/>
      <w:divBdr>
        <w:top w:val="none" w:sz="0" w:space="0" w:color="auto"/>
        <w:left w:val="none" w:sz="0" w:space="0" w:color="auto"/>
        <w:bottom w:val="none" w:sz="0" w:space="0" w:color="auto"/>
        <w:right w:val="none" w:sz="0" w:space="0" w:color="auto"/>
      </w:divBdr>
    </w:div>
    <w:div w:id="1624461023">
      <w:bodyDiv w:val="1"/>
      <w:marLeft w:val="0"/>
      <w:marRight w:val="0"/>
      <w:marTop w:val="0"/>
      <w:marBottom w:val="0"/>
      <w:divBdr>
        <w:top w:val="none" w:sz="0" w:space="0" w:color="auto"/>
        <w:left w:val="none" w:sz="0" w:space="0" w:color="auto"/>
        <w:bottom w:val="none" w:sz="0" w:space="0" w:color="auto"/>
        <w:right w:val="none" w:sz="0" w:space="0" w:color="auto"/>
      </w:divBdr>
    </w:div>
    <w:div w:id="1624463788">
      <w:bodyDiv w:val="1"/>
      <w:marLeft w:val="0"/>
      <w:marRight w:val="0"/>
      <w:marTop w:val="0"/>
      <w:marBottom w:val="0"/>
      <w:divBdr>
        <w:top w:val="none" w:sz="0" w:space="0" w:color="auto"/>
        <w:left w:val="none" w:sz="0" w:space="0" w:color="auto"/>
        <w:bottom w:val="none" w:sz="0" w:space="0" w:color="auto"/>
        <w:right w:val="none" w:sz="0" w:space="0" w:color="auto"/>
      </w:divBdr>
    </w:div>
    <w:div w:id="1627274559">
      <w:bodyDiv w:val="1"/>
      <w:marLeft w:val="0"/>
      <w:marRight w:val="0"/>
      <w:marTop w:val="0"/>
      <w:marBottom w:val="0"/>
      <w:divBdr>
        <w:top w:val="none" w:sz="0" w:space="0" w:color="auto"/>
        <w:left w:val="none" w:sz="0" w:space="0" w:color="auto"/>
        <w:bottom w:val="none" w:sz="0" w:space="0" w:color="auto"/>
        <w:right w:val="none" w:sz="0" w:space="0" w:color="auto"/>
      </w:divBdr>
    </w:div>
    <w:div w:id="1628388963">
      <w:bodyDiv w:val="1"/>
      <w:marLeft w:val="0"/>
      <w:marRight w:val="0"/>
      <w:marTop w:val="0"/>
      <w:marBottom w:val="0"/>
      <w:divBdr>
        <w:top w:val="none" w:sz="0" w:space="0" w:color="auto"/>
        <w:left w:val="none" w:sz="0" w:space="0" w:color="auto"/>
        <w:bottom w:val="none" w:sz="0" w:space="0" w:color="auto"/>
        <w:right w:val="none" w:sz="0" w:space="0" w:color="auto"/>
      </w:divBdr>
    </w:div>
    <w:div w:id="1630741266">
      <w:bodyDiv w:val="1"/>
      <w:marLeft w:val="0"/>
      <w:marRight w:val="0"/>
      <w:marTop w:val="0"/>
      <w:marBottom w:val="0"/>
      <w:divBdr>
        <w:top w:val="none" w:sz="0" w:space="0" w:color="auto"/>
        <w:left w:val="none" w:sz="0" w:space="0" w:color="auto"/>
        <w:bottom w:val="none" w:sz="0" w:space="0" w:color="auto"/>
        <w:right w:val="none" w:sz="0" w:space="0" w:color="auto"/>
      </w:divBdr>
    </w:div>
    <w:div w:id="1630864208">
      <w:bodyDiv w:val="1"/>
      <w:marLeft w:val="0"/>
      <w:marRight w:val="0"/>
      <w:marTop w:val="0"/>
      <w:marBottom w:val="0"/>
      <w:divBdr>
        <w:top w:val="none" w:sz="0" w:space="0" w:color="auto"/>
        <w:left w:val="none" w:sz="0" w:space="0" w:color="auto"/>
        <w:bottom w:val="none" w:sz="0" w:space="0" w:color="auto"/>
        <w:right w:val="none" w:sz="0" w:space="0" w:color="auto"/>
      </w:divBdr>
    </w:div>
    <w:div w:id="1634092400">
      <w:bodyDiv w:val="1"/>
      <w:marLeft w:val="0"/>
      <w:marRight w:val="0"/>
      <w:marTop w:val="0"/>
      <w:marBottom w:val="0"/>
      <w:divBdr>
        <w:top w:val="none" w:sz="0" w:space="0" w:color="auto"/>
        <w:left w:val="none" w:sz="0" w:space="0" w:color="auto"/>
        <w:bottom w:val="none" w:sz="0" w:space="0" w:color="auto"/>
        <w:right w:val="none" w:sz="0" w:space="0" w:color="auto"/>
      </w:divBdr>
    </w:div>
    <w:div w:id="1634558441">
      <w:bodyDiv w:val="1"/>
      <w:marLeft w:val="0"/>
      <w:marRight w:val="0"/>
      <w:marTop w:val="0"/>
      <w:marBottom w:val="0"/>
      <w:divBdr>
        <w:top w:val="none" w:sz="0" w:space="0" w:color="auto"/>
        <w:left w:val="none" w:sz="0" w:space="0" w:color="auto"/>
        <w:bottom w:val="none" w:sz="0" w:space="0" w:color="auto"/>
        <w:right w:val="none" w:sz="0" w:space="0" w:color="auto"/>
      </w:divBdr>
    </w:div>
    <w:div w:id="1636374539">
      <w:bodyDiv w:val="1"/>
      <w:marLeft w:val="0"/>
      <w:marRight w:val="0"/>
      <w:marTop w:val="0"/>
      <w:marBottom w:val="0"/>
      <w:divBdr>
        <w:top w:val="none" w:sz="0" w:space="0" w:color="auto"/>
        <w:left w:val="none" w:sz="0" w:space="0" w:color="auto"/>
        <w:bottom w:val="none" w:sz="0" w:space="0" w:color="auto"/>
        <w:right w:val="none" w:sz="0" w:space="0" w:color="auto"/>
      </w:divBdr>
    </w:div>
    <w:div w:id="1639677261">
      <w:bodyDiv w:val="1"/>
      <w:marLeft w:val="0"/>
      <w:marRight w:val="0"/>
      <w:marTop w:val="0"/>
      <w:marBottom w:val="0"/>
      <w:divBdr>
        <w:top w:val="none" w:sz="0" w:space="0" w:color="auto"/>
        <w:left w:val="none" w:sz="0" w:space="0" w:color="auto"/>
        <w:bottom w:val="none" w:sz="0" w:space="0" w:color="auto"/>
        <w:right w:val="none" w:sz="0" w:space="0" w:color="auto"/>
      </w:divBdr>
    </w:div>
    <w:div w:id="1640647261">
      <w:bodyDiv w:val="1"/>
      <w:marLeft w:val="0"/>
      <w:marRight w:val="0"/>
      <w:marTop w:val="0"/>
      <w:marBottom w:val="0"/>
      <w:divBdr>
        <w:top w:val="none" w:sz="0" w:space="0" w:color="auto"/>
        <w:left w:val="none" w:sz="0" w:space="0" w:color="auto"/>
        <w:bottom w:val="none" w:sz="0" w:space="0" w:color="auto"/>
        <w:right w:val="none" w:sz="0" w:space="0" w:color="auto"/>
      </w:divBdr>
    </w:div>
    <w:div w:id="1640726368">
      <w:bodyDiv w:val="1"/>
      <w:marLeft w:val="0"/>
      <w:marRight w:val="0"/>
      <w:marTop w:val="0"/>
      <w:marBottom w:val="0"/>
      <w:divBdr>
        <w:top w:val="none" w:sz="0" w:space="0" w:color="auto"/>
        <w:left w:val="none" w:sz="0" w:space="0" w:color="auto"/>
        <w:bottom w:val="none" w:sz="0" w:space="0" w:color="auto"/>
        <w:right w:val="none" w:sz="0" w:space="0" w:color="auto"/>
      </w:divBdr>
    </w:div>
    <w:div w:id="1640763067">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44460438">
      <w:bodyDiv w:val="1"/>
      <w:marLeft w:val="0"/>
      <w:marRight w:val="0"/>
      <w:marTop w:val="0"/>
      <w:marBottom w:val="0"/>
      <w:divBdr>
        <w:top w:val="none" w:sz="0" w:space="0" w:color="auto"/>
        <w:left w:val="none" w:sz="0" w:space="0" w:color="auto"/>
        <w:bottom w:val="none" w:sz="0" w:space="0" w:color="auto"/>
        <w:right w:val="none" w:sz="0" w:space="0" w:color="auto"/>
      </w:divBdr>
    </w:div>
    <w:div w:id="1644505423">
      <w:bodyDiv w:val="1"/>
      <w:marLeft w:val="0"/>
      <w:marRight w:val="0"/>
      <w:marTop w:val="0"/>
      <w:marBottom w:val="0"/>
      <w:divBdr>
        <w:top w:val="none" w:sz="0" w:space="0" w:color="auto"/>
        <w:left w:val="none" w:sz="0" w:space="0" w:color="auto"/>
        <w:bottom w:val="none" w:sz="0" w:space="0" w:color="auto"/>
        <w:right w:val="none" w:sz="0" w:space="0" w:color="auto"/>
      </w:divBdr>
    </w:div>
    <w:div w:id="1647318813">
      <w:bodyDiv w:val="1"/>
      <w:marLeft w:val="0"/>
      <w:marRight w:val="0"/>
      <w:marTop w:val="0"/>
      <w:marBottom w:val="0"/>
      <w:divBdr>
        <w:top w:val="none" w:sz="0" w:space="0" w:color="auto"/>
        <w:left w:val="none" w:sz="0" w:space="0" w:color="auto"/>
        <w:bottom w:val="none" w:sz="0" w:space="0" w:color="auto"/>
        <w:right w:val="none" w:sz="0" w:space="0" w:color="auto"/>
      </w:divBdr>
    </w:div>
    <w:div w:id="1648783803">
      <w:bodyDiv w:val="1"/>
      <w:marLeft w:val="0"/>
      <w:marRight w:val="0"/>
      <w:marTop w:val="0"/>
      <w:marBottom w:val="0"/>
      <w:divBdr>
        <w:top w:val="none" w:sz="0" w:space="0" w:color="auto"/>
        <w:left w:val="none" w:sz="0" w:space="0" w:color="auto"/>
        <w:bottom w:val="none" w:sz="0" w:space="0" w:color="auto"/>
        <w:right w:val="none" w:sz="0" w:space="0" w:color="auto"/>
      </w:divBdr>
    </w:div>
    <w:div w:id="1650281805">
      <w:bodyDiv w:val="1"/>
      <w:marLeft w:val="0"/>
      <w:marRight w:val="0"/>
      <w:marTop w:val="0"/>
      <w:marBottom w:val="0"/>
      <w:divBdr>
        <w:top w:val="none" w:sz="0" w:space="0" w:color="auto"/>
        <w:left w:val="none" w:sz="0" w:space="0" w:color="auto"/>
        <w:bottom w:val="none" w:sz="0" w:space="0" w:color="auto"/>
        <w:right w:val="none" w:sz="0" w:space="0" w:color="auto"/>
      </w:divBdr>
    </w:div>
    <w:div w:id="1650399016">
      <w:bodyDiv w:val="1"/>
      <w:marLeft w:val="0"/>
      <w:marRight w:val="0"/>
      <w:marTop w:val="0"/>
      <w:marBottom w:val="0"/>
      <w:divBdr>
        <w:top w:val="none" w:sz="0" w:space="0" w:color="auto"/>
        <w:left w:val="none" w:sz="0" w:space="0" w:color="auto"/>
        <w:bottom w:val="none" w:sz="0" w:space="0" w:color="auto"/>
        <w:right w:val="none" w:sz="0" w:space="0" w:color="auto"/>
      </w:divBdr>
    </w:div>
    <w:div w:id="1650481838">
      <w:bodyDiv w:val="1"/>
      <w:marLeft w:val="0"/>
      <w:marRight w:val="0"/>
      <w:marTop w:val="0"/>
      <w:marBottom w:val="0"/>
      <w:divBdr>
        <w:top w:val="none" w:sz="0" w:space="0" w:color="auto"/>
        <w:left w:val="none" w:sz="0" w:space="0" w:color="auto"/>
        <w:bottom w:val="none" w:sz="0" w:space="0" w:color="auto"/>
        <w:right w:val="none" w:sz="0" w:space="0" w:color="auto"/>
      </w:divBdr>
    </w:div>
    <w:div w:id="1652057263">
      <w:bodyDiv w:val="1"/>
      <w:marLeft w:val="0"/>
      <w:marRight w:val="0"/>
      <w:marTop w:val="0"/>
      <w:marBottom w:val="0"/>
      <w:divBdr>
        <w:top w:val="none" w:sz="0" w:space="0" w:color="auto"/>
        <w:left w:val="none" w:sz="0" w:space="0" w:color="auto"/>
        <w:bottom w:val="none" w:sz="0" w:space="0" w:color="auto"/>
        <w:right w:val="none" w:sz="0" w:space="0" w:color="auto"/>
      </w:divBdr>
    </w:div>
    <w:div w:id="1653440481">
      <w:bodyDiv w:val="1"/>
      <w:marLeft w:val="0"/>
      <w:marRight w:val="0"/>
      <w:marTop w:val="0"/>
      <w:marBottom w:val="0"/>
      <w:divBdr>
        <w:top w:val="none" w:sz="0" w:space="0" w:color="auto"/>
        <w:left w:val="none" w:sz="0" w:space="0" w:color="auto"/>
        <w:bottom w:val="none" w:sz="0" w:space="0" w:color="auto"/>
        <w:right w:val="none" w:sz="0" w:space="0" w:color="auto"/>
      </w:divBdr>
    </w:div>
    <w:div w:id="1654675495">
      <w:bodyDiv w:val="1"/>
      <w:marLeft w:val="0"/>
      <w:marRight w:val="0"/>
      <w:marTop w:val="0"/>
      <w:marBottom w:val="0"/>
      <w:divBdr>
        <w:top w:val="none" w:sz="0" w:space="0" w:color="auto"/>
        <w:left w:val="none" w:sz="0" w:space="0" w:color="auto"/>
        <w:bottom w:val="none" w:sz="0" w:space="0" w:color="auto"/>
        <w:right w:val="none" w:sz="0" w:space="0" w:color="auto"/>
      </w:divBdr>
    </w:div>
    <w:div w:id="1655523726">
      <w:bodyDiv w:val="1"/>
      <w:marLeft w:val="0"/>
      <w:marRight w:val="0"/>
      <w:marTop w:val="0"/>
      <w:marBottom w:val="0"/>
      <w:divBdr>
        <w:top w:val="none" w:sz="0" w:space="0" w:color="auto"/>
        <w:left w:val="none" w:sz="0" w:space="0" w:color="auto"/>
        <w:bottom w:val="none" w:sz="0" w:space="0" w:color="auto"/>
        <w:right w:val="none" w:sz="0" w:space="0" w:color="auto"/>
      </w:divBdr>
    </w:div>
    <w:div w:id="1657807932">
      <w:bodyDiv w:val="1"/>
      <w:marLeft w:val="0"/>
      <w:marRight w:val="0"/>
      <w:marTop w:val="0"/>
      <w:marBottom w:val="0"/>
      <w:divBdr>
        <w:top w:val="none" w:sz="0" w:space="0" w:color="auto"/>
        <w:left w:val="none" w:sz="0" w:space="0" w:color="auto"/>
        <w:bottom w:val="none" w:sz="0" w:space="0" w:color="auto"/>
        <w:right w:val="none" w:sz="0" w:space="0" w:color="auto"/>
      </w:divBdr>
    </w:div>
    <w:div w:id="1659261588">
      <w:bodyDiv w:val="1"/>
      <w:marLeft w:val="0"/>
      <w:marRight w:val="0"/>
      <w:marTop w:val="0"/>
      <w:marBottom w:val="0"/>
      <w:divBdr>
        <w:top w:val="none" w:sz="0" w:space="0" w:color="auto"/>
        <w:left w:val="none" w:sz="0" w:space="0" w:color="auto"/>
        <w:bottom w:val="none" w:sz="0" w:space="0" w:color="auto"/>
        <w:right w:val="none" w:sz="0" w:space="0" w:color="auto"/>
      </w:divBdr>
    </w:div>
    <w:div w:id="1661076075">
      <w:bodyDiv w:val="1"/>
      <w:marLeft w:val="0"/>
      <w:marRight w:val="0"/>
      <w:marTop w:val="0"/>
      <w:marBottom w:val="0"/>
      <w:divBdr>
        <w:top w:val="none" w:sz="0" w:space="0" w:color="auto"/>
        <w:left w:val="none" w:sz="0" w:space="0" w:color="auto"/>
        <w:bottom w:val="none" w:sz="0" w:space="0" w:color="auto"/>
        <w:right w:val="none" w:sz="0" w:space="0" w:color="auto"/>
      </w:divBdr>
    </w:div>
    <w:div w:id="1661956008">
      <w:bodyDiv w:val="1"/>
      <w:marLeft w:val="0"/>
      <w:marRight w:val="0"/>
      <w:marTop w:val="0"/>
      <w:marBottom w:val="0"/>
      <w:divBdr>
        <w:top w:val="none" w:sz="0" w:space="0" w:color="auto"/>
        <w:left w:val="none" w:sz="0" w:space="0" w:color="auto"/>
        <w:bottom w:val="none" w:sz="0" w:space="0" w:color="auto"/>
        <w:right w:val="none" w:sz="0" w:space="0" w:color="auto"/>
      </w:divBdr>
    </w:div>
    <w:div w:id="1662544961">
      <w:bodyDiv w:val="1"/>
      <w:marLeft w:val="0"/>
      <w:marRight w:val="0"/>
      <w:marTop w:val="0"/>
      <w:marBottom w:val="0"/>
      <w:divBdr>
        <w:top w:val="none" w:sz="0" w:space="0" w:color="auto"/>
        <w:left w:val="none" w:sz="0" w:space="0" w:color="auto"/>
        <w:bottom w:val="none" w:sz="0" w:space="0" w:color="auto"/>
        <w:right w:val="none" w:sz="0" w:space="0" w:color="auto"/>
      </w:divBdr>
    </w:div>
    <w:div w:id="1662931948">
      <w:bodyDiv w:val="1"/>
      <w:marLeft w:val="0"/>
      <w:marRight w:val="0"/>
      <w:marTop w:val="0"/>
      <w:marBottom w:val="0"/>
      <w:divBdr>
        <w:top w:val="none" w:sz="0" w:space="0" w:color="auto"/>
        <w:left w:val="none" w:sz="0" w:space="0" w:color="auto"/>
        <w:bottom w:val="none" w:sz="0" w:space="0" w:color="auto"/>
        <w:right w:val="none" w:sz="0" w:space="0" w:color="auto"/>
      </w:divBdr>
    </w:div>
    <w:div w:id="1664044255">
      <w:bodyDiv w:val="1"/>
      <w:marLeft w:val="0"/>
      <w:marRight w:val="0"/>
      <w:marTop w:val="0"/>
      <w:marBottom w:val="0"/>
      <w:divBdr>
        <w:top w:val="none" w:sz="0" w:space="0" w:color="auto"/>
        <w:left w:val="none" w:sz="0" w:space="0" w:color="auto"/>
        <w:bottom w:val="none" w:sz="0" w:space="0" w:color="auto"/>
        <w:right w:val="none" w:sz="0" w:space="0" w:color="auto"/>
      </w:divBdr>
    </w:div>
    <w:div w:id="1664817810">
      <w:bodyDiv w:val="1"/>
      <w:marLeft w:val="0"/>
      <w:marRight w:val="0"/>
      <w:marTop w:val="0"/>
      <w:marBottom w:val="0"/>
      <w:divBdr>
        <w:top w:val="none" w:sz="0" w:space="0" w:color="auto"/>
        <w:left w:val="none" w:sz="0" w:space="0" w:color="auto"/>
        <w:bottom w:val="none" w:sz="0" w:space="0" w:color="auto"/>
        <w:right w:val="none" w:sz="0" w:space="0" w:color="auto"/>
      </w:divBdr>
    </w:div>
    <w:div w:id="1665089959">
      <w:bodyDiv w:val="1"/>
      <w:marLeft w:val="0"/>
      <w:marRight w:val="0"/>
      <w:marTop w:val="0"/>
      <w:marBottom w:val="0"/>
      <w:divBdr>
        <w:top w:val="none" w:sz="0" w:space="0" w:color="auto"/>
        <w:left w:val="none" w:sz="0" w:space="0" w:color="auto"/>
        <w:bottom w:val="none" w:sz="0" w:space="0" w:color="auto"/>
        <w:right w:val="none" w:sz="0" w:space="0" w:color="auto"/>
      </w:divBdr>
    </w:div>
    <w:div w:id="1667586405">
      <w:bodyDiv w:val="1"/>
      <w:marLeft w:val="0"/>
      <w:marRight w:val="0"/>
      <w:marTop w:val="0"/>
      <w:marBottom w:val="0"/>
      <w:divBdr>
        <w:top w:val="none" w:sz="0" w:space="0" w:color="auto"/>
        <w:left w:val="none" w:sz="0" w:space="0" w:color="auto"/>
        <w:bottom w:val="none" w:sz="0" w:space="0" w:color="auto"/>
        <w:right w:val="none" w:sz="0" w:space="0" w:color="auto"/>
      </w:divBdr>
    </w:div>
    <w:div w:id="1668367419">
      <w:bodyDiv w:val="1"/>
      <w:marLeft w:val="0"/>
      <w:marRight w:val="0"/>
      <w:marTop w:val="0"/>
      <w:marBottom w:val="0"/>
      <w:divBdr>
        <w:top w:val="none" w:sz="0" w:space="0" w:color="auto"/>
        <w:left w:val="none" w:sz="0" w:space="0" w:color="auto"/>
        <w:bottom w:val="none" w:sz="0" w:space="0" w:color="auto"/>
        <w:right w:val="none" w:sz="0" w:space="0" w:color="auto"/>
      </w:divBdr>
    </w:div>
    <w:div w:id="1669018081">
      <w:bodyDiv w:val="1"/>
      <w:marLeft w:val="0"/>
      <w:marRight w:val="0"/>
      <w:marTop w:val="0"/>
      <w:marBottom w:val="0"/>
      <w:divBdr>
        <w:top w:val="none" w:sz="0" w:space="0" w:color="auto"/>
        <w:left w:val="none" w:sz="0" w:space="0" w:color="auto"/>
        <w:bottom w:val="none" w:sz="0" w:space="0" w:color="auto"/>
        <w:right w:val="none" w:sz="0" w:space="0" w:color="auto"/>
      </w:divBdr>
    </w:div>
    <w:div w:id="1669871437">
      <w:bodyDiv w:val="1"/>
      <w:marLeft w:val="0"/>
      <w:marRight w:val="0"/>
      <w:marTop w:val="0"/>
      <w:marBottom w:val="0"/>
      <w:divBdr>
        <w:top w:val="none" w:sz="0" w:space="0" w:color="auto"/>
        <w:left w:val="none" w:sz="0" w:space="0" w:color="auto"/>
        <w:bottom w:val="none" w:sz="0" w:space="0" w:color="auto"/>
        <w:right w:val="none" w:sz="0" w:space="0" w:color="auto"/>
      </w:divBdr>
    </w:div>
    <w:div w:id="1673802253">
      <w:bodyDiv w:val="1"/>
      <w:marLeft w:val="0"/>
      <w:marRight w:val="0"/>
      <w:marTop w:val="0"/>
      <w:marBottom w:val="0"/>
      <w:divBdr>
        <w:top w:val="none" w:sz="0" w:space="0" w:color="auto"/>
        <w:left w:val="none" w:sz="0" w:space="0" w:color="auto"/>
        <w:bottom w:val="none" w:sz="0" w:space="0" w:color="auto"/>
        <w:right w:val="none" w:sz="0" w:space="0" w:color="auto"/>
      </w:divBdr>
    </w:div>
    <w:div w:id="1674869253">
      <w:bodyDiv w:val="1"/>
      <w:marLeft w:val="0"/>
      <w:marRight w:val="0"/>
      <w:marTop w:val="0"/>
      <w:marBottom w:val="0"/>
      <w:divBdr>
        <w:top w:val="none" w:sz="0" w:space="0" w:color="auto"/>
        <w:left w:val="none" w:sz="0" w:space="0" w:color="auto"/>
        <w:bottom w:val="none" w:sz="0" w:space="0" w:color="auto"/>
        <w:right w:val="none" w:sz="0" w:space="0" w:color="auto"/>
      </w:divBdr>
    </w:div>
    <w:div w:id="1679965413">
      <w:bodyDiv w:val="1"/>
      <w:marLeft w:val="0"/>
      <w:marRight w:val="0"/>
      <w:marTop w:val="0"/>
      <w:marBottom w:val="0"/>
      <w:divBdr>
        <w:top w:val="none" w:sz="0" w:space="0" w:color="auto"/>
        <w:left w:val="none" w:sz="0" w:space="0" w:color="auto"/>
        <w:bottom w:val="none" w:sz="0" w:space="0" w:color="auto"/>
        <w:right w:val="none" w:sz="0" w:space="0" w:color="auto"/>
      </w:divBdr>
    </w:div>
    <w:div w:id="1680737539">
      <w:bodyDiv w:val="1"/>
      <w:marLeft w:val="0"/>
      <w:marRight w:val="0"/>
      <w:marTop w:val="0"/>
      <w:marBottom w:val="0"/>
      <w:divBdr>
        <w:top w:val="none" w:sz="0" w:space="0" w:color="auto"/>
        <w:left w:val="none" w:sz="0" w:space="0" w:color="auto"/>
        <w:bottom w:val="none" w:sz="0" w:space="0" w:color="auto"/>
        <w:right w:val="none" w:sz="0" w:space="0" w:color="auto"/>
      </w:divBdr>
    </w:div>
    <w:div w:id="1681463567">
      <w:bodyDiv w:val="1"/>
      <w:marLeft w:val="0"/>
      <w:marRight w:val="0"/>
      <w:marTop w:val="0"/>
      <w:marBottom w:val="0"/>
      <w:divBdr>
        <w:top w:val="none" w:sz="0" w:space="0" w:color="auto"/>
        <w:left w:val="none" w:sz="0" w:space="0" w:color="auto"/>
        <w:bottom w:val="none" w:sz="0" w:space="0" w:color="auto"/>
        <w:right w:val="none" w:sz="0" w:space="0" w:color="auto"/>
      </w:divBdr>
    </w:div>
    <w:div w:id="1682124394">
      <w:bodyDiv w:val="1"/>
      <w:marLeft w:val="0"/>
      <w:marRight w:val="0"/>
      <w:marTop w:val="0"/>
      <w:marBottom w:val="0"/>
      <w:divBdr>
        <w:top w:val="none" w:sz="0" w:space="0" w:color="auto"/>
        <w:left w:val="none" w:sz="0" w:space="0" w:color="auto"/>
        <w:bottom w:val="none" w:sz="0" w:space="0" w:color="auto"/>
        <w:right w:val="none" w:sz="0" w:space="0" w:color="auto"/>
      </w:divBdr>
    </w:div>
    <w:div w:id="1684627379">
      <w:bodyDiv w:val="1"/>
      <w:marLeft w:val="0"/>
      <w:marRight w:val="0"/>
      <w:marTop w:val="0"/>
      <w:marBottom w:val="0"/>
      <w:divBdr>
        <w:top w:val="none" w:sz="0" w:space="0" w:color="auto"/>
        <w:left w:val="none" w:sz="0" w:space="0" w:color="auto"/>
        <w:bottom w:val="none" w:sz="0" w:space="0" w:color="auto"/>
        <w:right w:val="none" w:sz="0" w:space="0" w:color="auto"/>
      </w:divBdr>
    </w:div>
    <w:div w:id="1684817618">
      <w:bodyDiv w:val="1"/>
      <w:marLeft w:val="0"/>
      <w:marRight w:val="0"/>
      <w:marTop w:val="0"/>
      <w:marBottom w:val="0"/>
      <w:divBdr>
        <w:top w:val="none" w:sz="0" w:space="0" w:color="auto"/>
        <w:left w:val="none" w:sz="0" w:space="0" w:color="auto"/>
        <w:bottom w:val="none" w:sz="0" w:space="0" w:color="auto"/>
        <w:right w:val="none" w:sz="0" w:space="0" w:color="auto"/>
      </w:divBdr>
    </w:div>
    <w:div w:id="1687711870">
      <w:bodyDiv w:val="1"/>
      <w:marLeft w:val="0"/>
      <w:marRight w:val="0"/>
      <w:marTop w:val="0"/>
      <w:marBottom w:val="0"/>
      <w:divBdr>
        <w:top w:val="none" w:sz="0" w:space="0" w:color="auto"/>
        <w:left w:val="none" w:sz="0" w:space="0" w:color="auto"/>
        <w:bottom w:val="none" w:sz="0" w:space="0" w:color="auto"/>
        <w:right w:val="none" w:sz="0" w:space="0" w:color="auto"/>
      </w:divBdr>
    </w:div>
    <w:div w:id="1687780061">
      <w:bodyDiv w:val="1"/>
      <w:marLeft w:val="0"/>
      <w:marRight w:val="0"/>
      <w:marTop w:val="0"/>
      <w:marBottom w:val="0"/>
      <w:divBdr>
        <w:top w:val="none" w:sz="0" w:space="0" w:color="auto"/>
        <w:left w:val="none" w:sz="0" w:space="0" w:color="auto"/>
        <w:bottom w:val="none" w:sz="0" w:space="0" w:color="auto"/>
        <w:right w:val="none" w:sz="0" w:space="0" w:color="auto"/>
      </w:divBdr>
    </w:div>
    <w:div w:id="1688216024">
      <w:bodyDiv w:val="1"/>
      <w:marLeft w:val="0"/>
      <w:marRight w:val="0"/>
      <w:marTop w:val="0"/>
      <w:marBottom w:val="0"/>
      <w:divBdr>
        <w:top w:val="none" w:sz="0" w:space="0" w:color="auto"/>
        <w:left w:val="none" w:sz="0" w:space="0" w:color="auto"/>
        <w:bottom w:val="none" w:sz="0" w:space="0" w:color="auto"/>
        <w:right w:val="none" w:sz="0" w:space="0" w:color="auto"/>
      </w:divBdr>
    </w:div>
    <w:div w:id="1688479365">
      <w:bodyDiv w:val="1"/>
      <w:marLeft w:val="0"/>
      <w:marRight w:val="0"/>
      <w:marTop w:val="0"/>
      <w:marBottom w:val="0"/>
      <w:divBdr>
        <w:top w:val="none" w:sz="0" w:space="0" w:color="auto"/>
        <w:left w:val="none" w:sz="0" w:space="0" w:color="auto"/>
        <w:bottom w:val="none" w:sz="0" w:space="0" w:color="auto"/>
        <w:right w:val="none" w:sz="0" w:space="0" w:color="auto"/>
      </w:divBdr>
    </w:div>
    <w:div w:id="1690137544">
      <w:bodyDiv w:val="1"/>
      <w:marLeft w:val="0"/>
      <w:marRight w:val="0"/>
      <w:marTop w:val="0"/>
      <w:marBottom w:val="0"/>
      <w:divBdr>
        <w:top w:val="none" w:sz="0" w:space="0" w:color="auto"/>
        <w:left w:val="none" w:sz="0" w:space="0" w:color="auto"/>
        <w:bottom w:val="none" w:sz="0" w:space="0" w:color="auto"/>
        <w:right w:val="none" w:sz="0" w:space="0" w:color="auto"/>
      </w:divBdr>
    </w:div>
    <w:div w:id="1692144717">
      <w:bodyDiv w:val="1"/>
      <w:marLeft w:val="0"/>
      <w:marRight w:val="0"/>
      <w:marTop w:val="0"/>
      <w:marBottom w:val="0"/>
      <w:divBdr>
        <w:top w:val="none" w:sz="0" w:space="0" w:color="auto"/>
        <w:left w:val="none" w:sz="0" w:space="0" w:color="auto"/>
        <w:bottom w:val="none" w:sz="0" w:space="0" w:color="auto"/>
        <w:right w:val="none" w:sz="0" w:space="0" w:color="auto"/>
      </w:divBdr>
    </w:div>
    <w:div w:id="1692413074">
      <w:bodyDiv w:val="1"/>
      <w:marLeft w:val="0"/>
      <w:marRight w:val="0"/>
      <w:marTop w:val="0"/>
      <w:marBottom w:val="0"/>
      <w:divBdr>
        <w:top w:val="none" w:sz="0" w:space="0" w:color="auto"/>
        <w:left w:val="none" w:sz="0" w:space="0" w:color="auto"/>
        <w:bottom w:val="none" w:sz="0" w:space="0" w:color="auto"/>
        <w:right w:val="none" w:sz="0" w:space="0" w:color="auto"/>
      </w:divBdr>
    </w:div>
    <w:div w:id="1692491593">
      <w:bodyDiv w:val="1"/>
      <w:marLeft w:val="0"/>
      <w:marRight w:val="0"/>
      <w:marTop w:val="0"/>
      <w:marBottom w:val="0"/>
      <w:divBdr>
        <w:top w:val="none" w:sz="0" w:space="0" w:color="auto"/>
        <w:left w:val="none" w:sz="0" w:space="0" w:color="auto"/>
        <w:bottom w:val="none" w:sz="0" w:space="0" w:color="auto"/>
        <w:right w:val="none" w:sz="0" w:space="0" w:color="auto"/>
      </w:divBdr>
    </w:div>
    <w:div w:id="1693603478">
      <w:bodyDiv w:val="1"/>
      <w:marLeft w:val="0"/>
      <w:marRight w:val="0"/>
      <w:marTop w:val="0"/>
      <w:marBottom w:val="0"/>
      <w:divBdr>
        <w:top w:val="none" w:sz="0" w:space="0" w:color="auto"/>
        <w:left w:val="none" w:sz="0" w:space="0" w:color="auto"/>
        <w:bottom w:val="none" w:sz="0" w:space="0" w:color="auto"/>
        <w:right w:val="none" w:sz="0" w:space="0" w:color="auto"/>
      </w:divBdr>
    </w:div>
    <w:div w:id="1693844421">
      <w:bodyDiv w:val="1"/>
      <w:marLeft w:val="0"/>
      <w:marRight w:val="0"/>
      <w:marTop w:val="0"/>
      <w:marBottom w:val="0"/>
      <w:divBdr>
        <w:top w:val="none" w:sz="0" w:space="0" w:color="auto"/>
        <w:left w:val="none" w:sz="0" w:space="0" w:color="auto"/>
        <w:bottom w:val="none" w:sz="0" w:space="0" w:color="auto"/>
        <w:right w:val="none" w:sz="0" w:space="0" w:color="auto"/>
      </w:divBdr>
    </w:div>
    <w:div w:id="1696081463">
      <w:bodyDiv w:val="1"/>
      <w:marLeft w:val="0"/>
      <w:marRight w:val="0"/>
      <w:marTop w:val="0"/>
      <w:marBottom w:val="0"/>
      <w:divBdr>
        <w:top w:val="none" w:sz="0" w:space="0" w:color="auto"/>
        <w:left w:val="none" w:sz="0" w:space="0" w:color="auto"/>
        <w:bottom w:val="none" w:sz="0" w:space="0" w:color="auto"/>
        <w:right w:val="none" w:sz="0" w:space="0" w:color="auto"/>
      </w:divBdr>
    </w:div>
    <w:div w:id="1698431478">
      <w:bodyDiv w:val="1"/>
      <w:marLeft w:val="0"/>
      <w:marRight w:val="0"/>
      <w:marTop w:val="0"/>
      <w:marBottom w:val="0"/>
      <w:divBdr>
        <w:top w:val="none" w:sz="0" w:space="0" w:color="auto"/>
        <w:left w:val="none" w:sz="0" w:space="0" w:color="auto"/>
        <w:bottom w:val="none" w:sz="0" w:space="0" w:color="auto"/>
        <w:right w:val="none" w:sz="0" w:space="0" w:color="auto"/>
      </w:divBdr>
    </w:div>
    <w:div w:id="1698653630">
      <w:bodyDiv w:val="1"/>
      <w:marLeft w:val="0"/>
      <w:marRight w:val="0"/>
      <w:marTop w:val="0"/>
      <w:marBottom w:val="0"/>
      <w:divBdr>
        <w:top w:val="none" w:sz="0" w:space="0" w:color="auto"/>
        <w:left w:val="none" w:sz="0" w:space="0" w:color="auto"/>
        <w:bottom w:val="none" w:sz="0" w:space="0" w:color="auto"/>
        <w:right w:val="none" w:sz="0" w:space="0" w:color="auto"/>
      </w:divBdr>
    </w:div>
    <w:div w:id="1699235190">
      <w:bodyDiv w:val="1"/>
      <w:marLeft w:val="0"/>
      <w:marRight w:val="0"/>
      <w:marTop w:val="0"/>
      <w:marBottom w:val="0"/>
      <w:divBdr>
        <w:top w:val="none" w:sz="0" w:space="0" w:color="auto"/>
        <w:left w:val="none" w:sz="0" w:space="0" w:color="auto"/>
        <w:bottom w:val="none" w:sz="0" w:space="0" w:color="auto"/>
        <w:right w:val="none" w:sz="0" w:space="0" w:color="auto"/>
      </w:divBdr>
    </w:div>
    <w:div w:id="1699352804">
      <w:bodyDiv w:val="1"/>
      <w:marLeft w:val="0"/>
      <w:marRight w:val="0"/>
      <w:marTop w:val="0"/>
      <w:marBottom w:val="0"/>
      <w:divBdr>
        <w:top w:val="none" w:sz="0" w:space="0" w:color="auto"/>
        <w:left w:val="none" w:sz="0" w:space="0" w:color="auto"/>
        <w:bottom w:val="none" w:sz="0" w:space="0" w:color="auto"/>
        <w:right w:val="none" w:sz="0" w:space="0" w:color="auto"/>
      </w:divBdr>
    </w:div>
    <w:div w:id="1699894807">
      <w:bodyDiv w:val="1"/>
      <w:marLeft w:val="0"/>
      <w:marRight w:val="0"/>
      <w:marTop w:val="0"/>
      <w:marBottom w:val="0"/>
      <w:divBdr>
        <w:top w:val="none" w:sz="0" w:space="0" w:color="auto"/>
        <w:left w:val="none" w:sz="0" w:space="0" w:color="auto"/>
        <w:bottom w:val="none" w:sz="0" w:space="0" w:color="auto"/>
        <w:right w:val="none" w:sz="0" w:space="0" w:color="auto"/>
      </w:divBdr>
    </w:div>
    <w:div w:id="1700353404">
      <w:bodyDiv w:val="1"/>
      <w:marLeft w:val="0"/>
      <w:marRight w:val="0"/>
      <w:marTop w:val="0"/>
      <w:marBottom w:val="0"/>
      <w:divBdr>
        <w:top w:val="none" w:sz="0" w:space="0" w:color="auto"/>
        <w:left w:val="none" w:sz="0" w:space="0" w:color="auto"/>
        <w:bottom w:val="none" w:sz="0" w:space="0" w:color="auto"/>
        <w:right w:val="none" w:sz="0" w:space="0" w:color="auto"/>
      </w:divBdr>
    </w:div>
    <w:div w:id="1701121444">
      <w:bodyDiv w:val="1"/>
      <w:marLeft w:val="0"/>
      <w:marRight w:val="0"/>
      <w:marTop w:val="0"/>
      <w:marBottom w:val="0"/>
      <w:divBdr>
        <w:top w:val="none" w:sz="0" w:space="0" w:color="auto"/>
        <w:left w:val="none" w:sz="0" w:space="0" w:color="auto"/>
        <w:bottom w:val="none" w:sz="0" w:space="0" w:color="auto"/>
        <w:right w:val="none" w:sz="0" w:space="0" w:color="auto"/>
      </w:divBdr>
    </w:div>
    <w:div w:id="1704591778">
      <w:bodyDiv w:val="1"/>
      <w:marLeft w:val="0"/>
      <w:marRight w:val="0"/>
      <w:marTop w:val="0"/>
      <w:marBottom w:val="0"/>
      <w:divBdr>
        <w:top w:val="none" w:sz="0" w:space="0" w:color="auto"/>
        <w:left w:val="none" w:sz="0" w:space="0" w:color="auto"/>
        <w:bottom w:val="none" w:sz="0" w:space="0" w:color="auto"/>
        <w:right w:val="none" w:sz="0" w:space="0" w:color="auto"/>
      </w:divBdr>
    </w:div>
    <w:div w:id="1704748528">
      <w:bodyDiv w:val="1"/>
      <w:marLeft w:val="0"/>
      <w:marRight w:val="0"/>
      <w:marTop w:val="0"/>
      <w:marBottom w:val="0"/>
      <w:divBdr>
        <w:top w:val="none" w:sz="0" w:space="0" w:color="auto"/>
        <w:left w:val="none" w:sz="0" w:space="0" w:color="auto"/>
        <w:bottom w:val="none" w:sz="0" w:space="0" w:color="auto"/>
        <w:right w:val="none" w:sz="0" w:space="0" w:color="auto"/>
      </w:divBdr>
    </w:div>
    <w:div w:id="1707288949">
      <w:bodyDiv w:val="1"/>
      <w:marLeft w:val="0"/>
      <w:marRight w:val="0"/>
      <w:marTop w:val="0"/>
      <w:marBottom w:val="0"/>
      <w:divBdr>
        <w:top w:val="none" w:sz="0" w:space="0" w:color="auto"/>
        <w:left w:val="none" w:sz="0" w:space="0" w:color="auto"/>
        <w:bottom w:val="none" w:sz="0" w:space="0" w:color="auto"/>
        <w:right w:val="none" w:sz="0" w:space="0" w:color="auto"/>
      </w:divBdr>
    </w:div>
    <w:div w:id="1708333455">
      <w:bodyDiv w:val="1"/>
      <w:marLeft w:val="0"/>
      <w:marRight w:val="0"/>
      <w:marTop w:val="0"/>
      <w:marBottom w:val="0"/>
      <w:divBdr>
        <w:top w:val="none" w:sz="0" w:space="0" w:color="auto"/>
        <w:left w:val="none" w:sz="0" w:space="0" w:color="auto"/>
        <w:bottom w:val="none" w:sz="0" w:space="0" w:color="auto"/>
        <w:right w:val="none" w:sz="0" w:space="0" w:color="auto"/>
      </w:divBdr>
    </w:div>
    <w:div w:id="1709834344">
      <w:bodyDiv w:val="1"/>
      <w:marLeft w:val="0"/>
      <w:marRight w:val="0"/>
      <w:marTop w:val="0"/>
      <w:marBottom w:val="0"/>
      <w:divBdr>
        <w:top w:val="none" w:sz="0" w:space="0" w:color="auto"/>
        <w:left w:val="none" w:sz="0" w:space="0" w:color="auto"/>
        <w:bottom w:val="none" w:sz="0" w:space="0" w:color="auto"/>
        <w:right w:val="none" w:sz="0" w:space="0" w:color="auto"/>
      </w:divBdr>
    </w:div>
    <w:div w:id="1711296916">
      <w:bodyDiv w:val="1"/>
      <w:marLeft w:val="0"/>
      <w:marRight w:val="0"/>
      <w:marTop w:val="0"/>
      <w:marBottom w:val="0"/>
      <w:divBdr>
        <w:top w:val="none" w:sz="0" w:space="0" w:color="auto"/>
        <w:left w:val="none" w:sz="0" w:space="0" w:color="auto"/>
        <w:bottom w:val="none" w:sz="0" w:space="0" w:color="auto"/>
        <w:right w:val="none" w:sz="0" w:space="0" w:color="auto"/>
      </w:divBdr>
    </w:div>
    <w:div w:id="1712920762">
      <w:bodyDiv w:val="1"/>
      <w:marLeft w:val="0"/>
      <w:marRight w:val="0"/>
      <w:marTop w:val="0"/>
      <w:marBottom w:val="0"/>
      <w:divBdr>
        <w:top w:val="none" w:sz="0" w:space="0" w:color="auto"/>
        <w:left w:val="none" w:sz="0" w:space="0" w:color="auto"/>
        <w:bottom w:val="none" w:sz="0" w:space="0" w:color="auto"/>
        <w:right w:val="none" w:sz="0" w:space="0" w:color="auto"/>
      </w:divBdr>
    </w:div>
    <w:div w:id="1716269679">
      <w:bodyDiv w:val="1"/>
      <w:marLeft w:val="0"/>
      <w:marRight w:val="0"/>
      <w:marTop w:val="0"/>
      <w:marBottom w:val="0"/>
      <w:divBdr>
        <w:top w:val="none" w:sz="0" w:space="0" w:color="auto"/>
        <w:left w:val="none" w:sz="0" w:space="0" w:color="auto"/>
        <w:bottom w:val="none" w:sz="0" w:space="0" w:color="auto"/>
        <w:right w:val="none" w:sz="0" w:space="0" w:color="auto"/>
      </w:divBdr>
    </w:div>
    <w:div w:id="1717193689">
      <w:bodyDiv w:val="1"/>
      <w:marLeft w:val="0"/>
      <w:marRight w:val="0"/>
      <w:marTop w:val="0"/>
      <w:marBottom w:val="0"/>
      <w:divBdr>
        <w:top w:val="none" w:sz="0" w:space="0" w:color="auto"/>
        <w:left w:val="none" w:sz="0" w:space="0" w:color="auto"/>
        <w:bottom w:val="none" w:sz="0" w:space="0" w:color="auto"/>
        <w:right w:val="none" w:sz="0" w:space="0" w:color="auto"/>
      </w:divBdr>
    </w:div>
    <w:div w:id="1718820878">
      <w:bodyDiv w:val="1"/>
      <w:marLeft w:val="0"/>
      <w:marRight w:val="0"/>
      <w:marTop w:val="0"/>
      <w:marBottom w:val="0"/>
      <w:divBdr>
        <w:top w:val="none" w:sz="0" w:space="0" w:color="auto"/>
        <w:left w:val="none" w:sz="0" w:space="0" w:color="auto"/>
        <w:bottom w:val="none" w:sz="0" w:space="0" w:color="auto"/>
        <w:right w:val="none" w:sz="0" w:space="0" w:color="auto"/>
      </w:divBdr>
    </w:div>
    <w:div w:id="1721200315">
      <w:bodyDiv w:val="1"/>
      <w:marLeft w:val="0"/>
      <w:marRight w:val="0"/>
      <w:marTop w:val="0"/>
      <w:marBottom w:val="0"/>
      <w:divBdr>
        <w:top w:val="none" w:sz="0" w:space="0" w:color="auto"/>
        <w:left w:val="none" w:sz="0" w:space="0" w:color="auto"/>
        <w:bottom w:val="none" w:sz="0" w:space="0" w:color="auto"/>
        <w:right w:val="none" w:sz="0" w:space="0" w:color="auto"/>
      </w:divBdr>
    </w:div>
    <w:div w:id="1722292685">
      <w:bodyDiv w:val="1"/>
      <w:marLeft w:val="0"/>
      <w:marRight w:val="0"/>
      <w:marTop w:val="0"/>
      <w:marBottom w:val="0"/>
      <w:divBdr>
        <w:top w:val="none" w:sz="0" w:space="0" w:color="auto"/>
        <w:left w:val="none" w:sz="0" w:space="0" w:color="auto"/>
        <w:bottom w:val="none" w:sz="0" w:space="0" w:color="auto"/>
        <w:right w:val="none" w:sz="0" w:space="0" w:color="auto"/>
      </w:divBdr>
    </w:div>
    <w:div w:id="1722829248">
      <w:bodyDiv w:val="1"/>
      <w:marLeft w:val="0"/>
      <w:marRight w:val="0"/>
      <w:marTop w:val="0"/>
      <w:marBottom w:val="0"/>
      <w:divBdr>
        <w:top w:val="none" w:sz="0" w:space="0" w:color="auto"/>
        <w:left w:val="none" w:sz="0" w:space="0" w:color="auto"/>
        <w:bottom w:val="none" w:sz="0" w:space="0" w:color="auto"/>
        <w:right w:val="none" w:sz="0" w:space="0" w:color="auto"/>
      </w:divBdr>
    </w:div>
    <w:div w:id="1723407419">
      <w:bodyDiv w:val="1"/>
      <w:marLeft w:val="0"/>
      <w:marRight w:val="0"/>
      <w:marTop w:val="0"/>
      <w:marBottom w:val="0"/>
      <w:divBdr>
        <w:top w:val="none" w:sz="0" w:space="0" w:color="auto"/>
        <w:left w:val="none" w:sz="0" w:space="0" w:color="auto"/>
        <w:bottom w:val="none" w:sz="0" w:space="0" w:color="auto"/>
        <w:right w:val="none" w:sz="0" w:space="0" w:color="auto"/>
      </w:divBdr>
    </w:div>
    <w:div w:id="1723863294">
      <w:bodyDiv w:val="1"/>
      <w:marLeft w:val="0"/>
      <w:marRight w:val="0"/>
      <w:marTop w:val="0"/>
      <w:marBottom w:val="0"/>
      <w:divBdr>
        <w:top w:val="none" w:sz="0" w:space="0" w:color="auto"/>
        <w:left w:val="none" w:sz="0" w:space="0" w:color="auto"/>
        <w:bottom w:val="none" w:sz="0" w:space="0" w:color="auto"/>
        <w:right w:val="none" w:sz="0" w:space="0" w:color="auto"/>
      </w:divBdr>
    </w:div>
    <w:div w:id="1723871801">
      <w:bodyDiv w:val="1"/>
      <w:marLeft w:val="0"/>
      <w:marRight w:val="0"/>
      <w:marTop w:val="0"/>
      <w:marBottom w:val="0"/>
      <w:divBdr>
        <w:top w:val="none" w:sz="0" w:space="0" w:color="auto"/>
        <w:left w:val="none" w:sz="0" w:space="0" w:color="auto"/>
        <w:bottom w:val="none" w:sz="0" w:space="0" w:color="auto"/>
        <w:right w:val="none" w:sz="0" w:space="0" w:color="auto"/>
      </w:divBdr>
    </w:div>
    <w:div w:id="1725252885">
      <w:bodyDiv w:val="1"/>
      <w:marLeft w:val="0"/>
      <w:marRight w:val="0"/>
      <w:marTop w:val="0"/>
      <w:marBottom w:val="0"/>
      <w:divBdr>
        <w:top w:val="none" w:sz="0" w:space="0" w:color="auto"/>
        <w:left w:val="none" w:sz="0" w:space="0" w:color="auto"/>
        <w:bottom w:val="none" w:sz="0" w:space="0" w:color="auto"/>
        <w:right w:val="none" w:sz="0" w:space="0" w:color="auto"/>
      </w:divBdr>
    </w:div>
    <w:div w:id="1726488604">
      <w:bodyDiv w:val="1"/>
      <w:marLeft w:val="0"/>
      <w:marRight w:val="0"/>
      <w:marTop w:val="0"/>
      <w:marBottom w:val="0"/>
      <w:divBdr>
        <w:top w:val="none" w:sz="0" w:space="0" w:color="auto"/>
        <w:left w:val="none" w:sz="0" w:space="0" w:color="auto"/>
        <w:bottom w:val="none" w:sz="0" w:space="0" w:color="auto"/>
        <w:right w:val="none" w:sz="0" w:space="0" w:color="auto"/>
      </w:divBdr>
    </w:div>
    <w:div w:id="1727800968">
      <w:bodyDiv w:val="1"/>
      <w:marLeft w:val="0"/>
      <w:marRight w:val="0"/>
      <w:marTop w:val="0"/>
      <w:marBottom w:val="0"/>
      <w:divBdr>
        <w:top w:val="none" w:sz="0" w:space="0" w:color="auto"/>
        <w:left w:val="none" w:sz="0" w:space="0" w:color="auto"/>
        <w:bottom w:val="none" w:sz="0" w:space="0" w:color="auto"/>
        <w:right w:val="none" w:sz="0" w:space="0" w:color="auto"/>
      </w:divBdr>
    </w:div>
    <w:div w:id="1732384971">
      <w:bodyDiv w:val="1"/>
      <w:marLeft w:val="0"/>
      <w:marRight w:val="0"/>
      <w:marTop w:val="0"/>
      <w:marBottom w:val="0"/>
      <w:divBdr>
        <w:top w:val="none" w:sz="0" w:space="0" w:color="auto"/>
        <w:left w:val="none" w:sz="0" w:space="0" w:color="auto"/>
        <w:bottom w:val="none" w:sz="0" w:space="0" w:color="auto"/>
        <w:right w:val="none" w:sz="0" w:space="0" w:color="auto"/>
      </w:divBdr>
    </w:div>
    <w:div w:id="1733430886">
      <w:bodyDiv w:val="1"/>
      <w:marLeft w:val="0"/>
      <w:marRight w:val="0"/>
      <w:marTop w:val="0"/>
      <w:marBottom w:val="0"/>
      <w:divBdr>
        <w:top w:val="none" w:sz="0" w:space="0" w:color="auto"/>
        <w:left w:val="none" w:sz="0" w:space="0" w:color="auto"/>
        <w:bottom w:val="none" w:sz="0" w:space="0" w:color="auto"/>
        <w:right w:val="none" w:sz="0" w:space="0" w:color="auto"/>
      </w:divBdr>
    </w:div>
    <w:div w:id="1733698564">
      <w:bodyDiv w:val="1"/>
      <w:marLeft w:val="0"/>
      <w:marRight w:val="0"/>
      <w:marTop w:val="0"/>
      <w:marBottom w:val="0"/>
      <w:divBdr>
        <w:top w:val="none" w:sz="0" w:space="0" w:color="auto"/>
        <w:left w:val="none" w:sz="0" w:space="0" w:color="auto"/>
        <w:bottom w:val="none" w:sz="0" w:space="0" w:color="auto"/>
        <w:right w:val="none" w:sz="0" w:space="0" w:color="auto"/>
      </w:divBdr>
    </w:div>
    <w:div w:id="1735276078">
      <w:bodyDiv w:val="1"/>
      <w:marLeft w:val="0"/>
      <w:marRight w:val="0"/>
      <w:marTop w:val="0"/>
      <w:marBottom w:val="0"/>
      <w:divBdr>
        <w:top w:val="none" w:sz="0" w:space="0" w:color="auto"/>
        <w:left w:val="none" w:sz="0" w:space="0" w:color="auto"/>
        <w:bottom w:val="none" w:sz="0" w:space="0" w:color="auto"/>
        <w:right w:val="none" w:sz="0" w:space="0" w:color="auto"/>
      </w:divBdr>
    </w:div>
    <w:div w:id="1737821530">
      <w:bodyDiv w:val="1"/>
      <w:marLeft w:val="0"/>
      <w:marRight w:val="0"/>
      <w:marTop w:val="0"/>
      <w:marBottom w:val="0"/>
      <w:divBdr>
        <w:top w:val="none" w:sz="0" w:space="0" w:color="auto"/>
        <w:left w:val="none" w:sz="0" w:space="0" w:color="auto"/>
        <w:bottom w:val="none" w:sz="0" w:space="0" w:color="auto"/>
        <w:right w:val="none" w:sz="0" w:space="0" w:color="auto"/>
      </w:divBdr>
    </w:div>
    <w:div w:id="1738086638">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43404274">
      <w:bodyDiv w:val="1"/>
      <w:marLeft w:val="0"/>
      <w:marRight w:val="0"/>
      <w:marTop w:val="0"/>
      <w:marBottom w:val="0"/>
      <w:divBdr>
        <w:top w:val="none" w:sz="0" w:space="0" w:color="auto"/>
        <w:left w:val="none" w:sz="0" w:space="0" w:color="auto"/>
        <w:bottom w:val="none" w:sz="0" w:space="0" w:color="auto"/>
        <w:right w:val="none" w:sz="0" w:space="0" w:color="auto"/>
      </w:divBdr>
    </w:div>
    <w:div w:id="1743866523">
      <w:bodyDiv w:val="1"/>
      <w:marLeft w:val="0"/>
      <w:marRight w:val="0"/>
      <w:marTop w:val="0"/>
      <w:marBottom w:val="0"/>
      <w:divBdr>
        <w:top w:val="none" w:sz="0" w:space="0" w:color="auto"/>
        <w:left w:val="none" w:sz="0" w:space="0" w:color="auto"/>
        <w:bottom w:val="none" w:sz="0" w:space="0" w:color="auto"/>
        <w:right w:val="none" w:sz="0" w:space="0" w:color="auto"/>
      </w:divBdr>
    </w:div>
    <w:div w:id="1744527102">
      <w:bodyDiv w:val="1"/>
      <w:marLeft w:val="0"/>
      <w:marRight w:val="0"/>
      <w:marTop w:val="0"/>
      <w:marBottom w:val="0"/>
      <w:divBdr>
        <w:top w:val="none" w:sz="0" w:space="0" w:color="auto"/>
        <w:left w:val="none" w:sz="0" w:space="0" w:color="auto"/>
        <w:bottom w:val="none" w:sz="0" w:space="0" w:color="auto"/>
        <w:right w:val="none" w:sz="0" w:space="0" w:color="auto"/>
      </w:divBdr>
    </w:div>
    <w:div w:id="1745101477">
      <w:bodyDiv w:val="1"/>
      <w:marLeft w:val="0"/>
      <w:marRight w:val="0"/>
      <w:marTop w:val="0"/>
      <w:marBottom w:val="0"/>
      <w:divBdr>
        <w:top w:val="none" w:sz="0" w:space="0" w:color="auto"/>
        <w:left w:val="none" w:sz="0" w:space="0" w:color="auto"/>
        <w:bottom w:val="none" w:sz="0" w:space="0" w:color="auto"/>
        <w:right w:val="none" w:sz="0" w:space="0" w:color="auto"/>
      </w:divBdr>
    </w:div>
    <w:div w:id="1745952096">
      <w:bodyDiv w:val="1"/>
      <w:marLeft w:val="0"/>
      <w:marRight w:val="0"/>
      <w:marTop w:val="0"/>
      <w:marBottom w:val="0"/>
      <w:divBdr>
        <w:top w:val="none" w:sz="0" w:space="0" w:color="auto"/>
        <w:left w:val="none" w:sz="0" w:space="0" w:color="auto"/>
        <w:bottom w:val="none" w:sz="0" w:space="0" w:color="auto"/>
        <w:right w:val="none" w:sz="0" w:space="0" w:color="auto"/>
      </w:divBdr>
    </w:div>
    <w:div w:id="1748115291">
      <w:bodyDiv w:val="1"/>
      <w:marLeft w:val="0"/>
      <w:marRight w:val="0"/>
      <w:marTop w:val="0"/>
      <w:marBottom w:val="0"/>
      <w:divBdr>
        <w:top w:val="none" w:sz="0" w:space="0" w:color="auto"/>
        <w:left w:val="none" w:sz="0" w:space="0" w:color="auto"/>
        <w:bottom w:val="none" w:sz="0" w:space="0" w:color="auto"/>
        <w:right w:val="none" w:sz="0" w:space="0" w:color="auto"/>
      </w:divBdr>
    </w:div>
    <w:div w:id="1749309645">
      <w:bodyDiv w:val="1"/>
      <w:marLeft w:val="0"/>
      <w:marRight w:val="0"/>
      <w:marTop w:val="0"/>
      <w:marBottom w:val="0"/>
      <w:divBdr>
        <w:top w:val="none" w:sz="0" w:space="0" w:color="auto"/>
        <w:left w:val="none" w:sz="0" w:space="0" w:color="auto"/>
        <w:bottom w:val="none" w:sz="0" w:space="0" w:color="auto"/>
        <w:right w:val="none" w:sz="0" w:space="0" w:color="auto"/>
      </w:divBdr>
    </w:div>
    <w:div w:id="1749958839">
      <w:bodyDiv w:val="1"/>
      <w:marLeft w:val="0"/>
      <w:marRight w:val="0"/>
      <w:marTop w:val="0"/>
      <w:marBottom w:val="0"/>
      <w:divBdr>
        <w:top w:val="none" w:sz="0" w:space="0" w:color="auto"/>
        <w:left w:val="none" w:sz="0" w:space="0" w:color="auto"/>
        <w:bottom w:val="none" w:sz="0" w:space="0" w:color="auto"/>
        <w:right w:val="none" w:sz="0" w:space="0" w:color="auto"/>
      </w:divBdr>
    </w:div>
    <w:div w:id="1750345419">
      <w:bodyDiv w:val="1"/>
      <w:marLeft w:val="0"/>
      <w:marRight w:val="0"/>
      <w:marTop w:val="0"/>
      <w:marBottom w:val="0"/>
      <w:divBdr>
        <w:top w:val="none" w:sz="0" w:space="0" w:color="auto"/>
        <w:left w:val="none" w:sz="0" w:space="0" w:color="auto"/>
        <w:bottom w:val="none" w:sz="0" w:space="0" w:color="auto"/>
        <w:right w:val="none" w:sz="0" w:space="0" w:color="auto"/>
      </w:divBdr>
    </w:div>
    <w:div w:id="1751736574">
      <w:bodyDiv w:val="1"/>
      <w:marLeft w:val="0"/>
      <w:marRight w:val="0"/>
      <w:marTop w:val="0"/>
      <w:marBottom w:val="0"/>
      <w:divBdr>
        <w:top w:val="none" w:sz="0" w:space="0" w:color="auto"/>
        <w:left w:val="none" w:sz="0" w:space="0" w:color="auto"/>
        <w:bottom w:val="none" w:sz="0" w:space="0" w:color="auto"/>
        <w:right w:val="none" w:sz="0" w:space="0" w:color="auto"/>
      </w:divBdr>
    </w:div>
    <w:div w:id="1753157278">
      <w:bodyDiv w:val="1"/>
      <w:marLeft w:val="0"/>
      <w:marRight w:val="0"/>
      <w:marTop w:val="0"/>
      <w:marBottom w:val="0"/>
      <w:divBdr>
        <w:top w:val="none" w:sz="0" w:space="0" w:color="auto"/>
        <w:left w:val="none" w:sz="0" w:space="0" w:color="auto"/>
        <w:bottom w:val="none" w:sz="0" w:space="0" w:color="auto"/>
        <w:right w:val="none" w:sz="0" w:space="0" w:color="auto"/>
      </w:divBdr>
    </w:div>
    <w:div w:id="1753308324">
      <w:bodyDiv w:val="1"/>
      <w:marLeft w:val="0"/>
      <w:marRight w:val="0"/>
      <w:marTop w:val="0"/>
      <w:marBottom w:val="0"/>
      <w:divBdr>
        <w:top w:val="none" w:sz="0" w:space="0" w:color="auto"/>
        <w:left w:val="none" w:sz="0" w:space="0" w:color="auto"/>
        <w:bottom w:val="none" w:sz="0" w:space="0" w:color="auto"/>
        <w:right w:val="none" w:sz="0" w:space="0" w:color="auto"/>
      </w:divBdr>
    </w:div>
    <w:div w:id="1753968321">
      <w:bodyDiv w:val="1"/>
      <w:marLeft w:val="0"/>
      <w:marRight w:val="0"/>
      <w:marTop w:val="0"/>
      <w:marBottom w:val="0"/>
      <w:divBdr>
        <w:top w:val="none" w:sz="0" w:space="0" w:color="auto"/>
        <w:left w:val="none" w:sz="0" w:space="0" w:color="auto"/>
        <w:bottom w:val="none" w:sz="0" w:space="0" w:color="auto"/>
        <w:right w:val="none" w:sz="0" w:space="0" w:color="auto"/>
      </w:divBdr>
    </w:div>
    <w:div w:id="1754088950">
      <w:bodyDiv w:val="1"/>
      <w:marLeft w:val="0"/>
      <w:marRight w:val="0"/>
      <w:marTop w:val="0"/>
      <w:marBottom w:val="0"/>
      <w:divBdr>
        <w:top w:val="none" w:sz="0" w:space="0" w:color="auto"/>
        <w:left w:val="none" w:sz="0" w:space="0" w:color="auto"/>
        <w:bottom w:val="none" w:sz="0" w:space="0" w:color="auto"/>
        <w:right w:val="none" w:sz="0" w:space="0" w:color="auto"/>
      </w:divBdr>
    </w:div>
    <w:div w:id="1756782354">
      <w:bodyDiv w:val="1"/>
      <w:marLeft w:val="0"/>
      <w:marRight w:val="0"/>
      <w:marTop w:val="0"/>
      <w:marBottom w:val="0"/>
      <w:divBdr>
        <w:top w:val="none" w:sz="0" w:space="0" w:color="auto"/>
        <w:left w:val="none" w:sz="0" w:space="0" w:color="auto"/>
        <w:bottom w:val="none" w:sz="0" w:space="0" w:color="auto"/>
        <w:right w:val="none" w:sz="0" w:space="0" w:color="auto"/>
      </w:divBdr>
    </w:div>
    <w:div w:id="1756894739">
      <w:bodyDiv w:val="1"/>
      <w:marLeft w:val="0"/>
      <w:marRight w:val="0"/>
      <w:marTop w:val="0"/>
      <w:marBottom w:val="0"/>
      <w:divBdr>
        <w:top w:val="none" w:sz="0" w:space="0" w:color="auto"/>
        <w:left w:val="none" w:sz="0" w:space="0" w:color="auto"/>
        <w:bottom w:val="none" w:sz="0" w:space="0" w:color="auto"/>
        <w:right w:val="none" w:sz="0" w:space="0" w:color="auto"/>
      </w:divBdr>
    </w:div>
    <w:div w:id="1758553607">
      <w:bodyDiv w:val="1"/>
      <w:marLeft w:val="0"/>
      <w:marRight w:val="0"/>
      <w:marTop w:val="0"/>
      <w:marBottom w:val="0"/>
      <w:divBdr>
        <w:top w:val="none" w:sz="0" w:space="0" w:color="auto"/>
        <w:left w:val="none" w:sz="0" w:space="0" w:color="auto"/>
        <w:bottom w:val="none" w:sz="0" w:space="0" w:color="auto"/>
        <w:right w:val="none" w:sz="0" w:space="0" w:color="auto"/>
      </w:divBdr>
    </w:div>
    <w:div w:id="1758599620">
      <w:bodyDiv w:val="1"/>
      <w:marLeft w:val="0"/>
      <w:marRight w:val="0"/>
      <w:marTop w:val="0"/>
      <w:marBottom w:val="0"/>
      <w:divBdr>
        <w:top w:val="none" w:sz="0" w:space="0" w:color="auto"/>
        <w:left w:val="none" w:sz="0" w:space="0" w:color="auto"/>
        <w:bottom w:val="none" w:sz="0" w:space="0" w:color="auto"/>
        <w:right w:val="none" w:sz="0" w:space="0" w:color="auto"/>
      </w:divBdr>
    </w:div>
    <w:div w:id="1760439681">
      <w:bodyDiv w:val="1"/>
      <w:marLeft w:val="0"/>
      <w:marRight w:val="0"/>
      <w:marTop w:val="0"/>
      <w:marBottom w:val="0"/>
      <w:divBdr>
        <w:top w:val="none" w:sz="0" w:space="0" w:color="auto"/>
        <w:left w:val="none" w:sz="0" w:space="0" w:color="auto"/>
        <w:bottom w:val="none" w:sz="0" w:space="0" w:color="auto"/>
        <w:right w:val="none" w:sz="0" w:space="0" w:color="auto"/>
      </w:divBdr>
    </w:div>
    <w:div w:id="1761488827">
      <w:bodyDiv w:val="1"/>
      <w:marLeft w:val="0"/>
      <w:marRight w:val="0"/>
      <w:marTop w:val="0"/>
      <w:marBottom w:val="0"/>
      <w:divBdr>
        <w:top w:val="none" w:sz="0" w:space="0" w:color="auto"/>
        <w:left w:val="none" w:sz="0" w:space="0" w:color="auto"/>
        <w:bottom w:val="none" w:sz="0" w:space="0" w:color="auto"/>
        <w:right w:val="none" w:sz="0" w:space="0" w:color="auto"/>
      </w:divBdr>
    </w:div>
    <w:div w:id="1762094288">
      <w:bodyDiv w:val="1"/>
      <w:marLeft w:val="0"/>
      <w:marRight w:val="0"/>
      <w:marTop w:val="0"/>
      <w:marBottom w:val="0"/>
      <w:divBdr>
        <w:top w:val="none" w:sz="0" w:space="0" w:color="auto"/>
        <w:left w:val="none" w:sz="0" w:space="0" w:color="auto"/>
        <w:bottom w:val="none" w:sz="0" w:space="0" w:color="auto"/>
        <w:right w:val="none" w:sz="0" w:space="0" w:color="auto"/>
      </w:divBdr>
    </w:div>
    <w:div w:id="1762801749">
      <w:bodyDiv w:val="1"/>
      <w:marLeft w:val="0"/>
      <w:marRight w:val="0"/>
      <w:marTop w:val="0"/>
      <w:marBottom w:val="0"/>
      <w:divBdr>
        <w:top w:val="none" w:sz="0" w:space="0" w:color="auto"/>
        <w:left w:val="none" w:sz="0" w:space="0" w:color="auto"/>
        <w:bottom w:val="none" w:sz="0" w:space="0" w:color="auto"/>
        <w:right w:val="none" w:sz="0" w:space="0" w:color="auto"/>
      </w:divBdr>
    </w:div>
    <w:div w:id="1766685379">
      <w:bodyDiv w:val="1"/>
      <w:marLeft w:val="0"/>
      <w:marRight w:val="0"/>
      <w:marTop w:val="0"/>
      <w:marBottom w:val="0"/>
      <w:divBdr>
        <w:top w:val="none" w:sz="0" w:space="0" w:color="auto"/>
        <w:left w:val="none" w:sz="0" w:space="0" w:color="auto"/>
        <w:bottom w:val="none" w:sz="0" w:space="0" w:color="auto"/>
        <w:right w:val="none" w:sz="0" w:space="0" w:color="auto"/>
      </w:divBdr>
    </w:div>
    <w:div w:id="1767194244">
      <w:bodyDiv w:val="1"/>
      <w:marLeft w:val="0"/>
      <w:marRight w:val="0"/>
      <w:marTop w:val="0"/>
      <w:marBottom w:val="0"/>
      <w:divBdr>
        <w:top w:val="none" w:sz="0" w:space="0" w:color="auto"/>
        <w:left w:val="none" w:sz="0" w:space="0" w:color="auto"/>
        <w:bottom w:val="none" w:sz="0" w:space="0" w:color="auto"/>
        <w:right w:val="none" w:sz="0" w:space="0" w:color="auto"/>
      </w:divBdr>
    </w:div>
    <w:div w:id="1769085228">
      <w:bodyDiv w:val="1"/>
      <w:marLeft w:val="0"/>
      <w:marRight w:val="0"/>
      <w:marTop w:val="0"/>
      <w:marBottom w:val="0"/>
      <w:divBdr>
        <w:top w:val="none" w:sz="0" w:space="0" w:color="auto"/>
        <w:left w:val="none" w:sz="0" w:space="0" w:color="auto"/>
        <w:bottom w:val="none" w:sz="0" w:space="0" w:color="auto"/>
        <w:right w:val="none" w:sz="0" w:space="0" w:color="auto"/>
      </w:divBdr>
    </w:div>
    <w:div w:id="1769151951">
      <w:bodyDiv w:val="1"/>
      <w:marLeft w:val="0"/>
      <w:marRight w:val="0"/>
      <w:marTop w:val="0"/>
      <w:marBottom w:val="0"/>
      <w:divBdr>
        <w:top w:val="none" w:sz="0" w:space="0" w:color="auto"/>
        <w:left w:val="none" w:sz="0" w:space="0" w:color="auto"/>
        <w:bottom w:val="none" w:sz="0" w:space="0" w:color="auto"/>
        <w:right w:val="none" w:sz="0" w:space="0" w:color="auto"/>
      </w:divBdr>
    </w:div>
    <w:div w:id="1770277704">
      <w:bodyDiv w:val="1"/>
      <w:marLeft w:val="0"/>
      <w:marRight w:val="0"/>
      <w:marTop w:val="0"/>
      <w:marBottom w:val="0"/>
      <w:divBdr>
        <w:top w:val="none" w:sz="0" w:space="0" w:color="auto"/>
        <w:left w:val="none" w:sz="0" w:space="0" w:color="auto"/>
        <w:bottom w:val="none" w:sz="0" w:space="0" w:color="auto"/>
        <w:right w:val="none" w:sz="0" w:space="0" w:color="auto"/>
      </w:divBdr>
    </w:div>
    <w:div w:id="1771046301">
      <w:bodyDiv w:val="1"/>
      <w:marLeft w:val="0"/>
      <w:marRight w:val="0"/>
      <w:marTop w:val="0"/>
      <w:marBottom w:val="0"/>
      <w:divBdr>
        <w:top w:val="none" w:sz="0" w:space="0" w:color="auto"/>
        <w:left w:val="none" w:sz="0" w:space="0" w:color="auto"/>
        <w:bottom w:val="none" w:sz="0" w:space="0" w:color="auto"/>
        <w:right w:val="none" w:sz="0" w:space="0" w:color="auto"/>
      </w:divBdr>
    </w:div>
    <w:div w:id="1776636449">
      <w:bodyDiv w:val="1"/>
      <w:marLeft w:val="0"/>
      <w:marRight w:val="0"/>
      <w:marTop w:val="0"/>
      <w:marBottom w:val="0"/>
      <w:divBdr>
        <w:top w:val="none" w:sz="0" w:space="0" w:color="auto"/>
        <w:left w:val="none" w:sz="0" w:space="0" w:color="auto"/>
        <w:bottom w:val="none" w:sz="0" w:space="0" w:color="auto"/>
        <w:right w:val="none" w:sz="0" w:space="0" w:color="auto"/>
      </w:divBdr>
    </w:div>
    <w:div w:id="1777018715">
      <w:bodyDiv w:val="1"/>
      <w:marLeft w:val="0"/>
      <w:marRight w:val="0"/>
      <w:marTop w:val="0"/>
      <w:marBottom w:val="0"/>
      <w:divBdr>
        <w:top w:val="none" w:sz="0" w:space="0" w:color="auto"/>
        <w:left w:val="none" w:sz="0" w:space="0" w:color="auto"/>
        <w:bottom w:val="none" w:sz="0" w:space="0" w:color="auto"/>
        <w:right w:val="none" w:sz="0" w:space="0" w:color="auto"/>
      </w:divBdr>
    </w:div>
    <w:div w:id="1777560321">
      <w:bodyDiv w:val="1"/>
      <w:marLeft w:val="0"/>
      <w:marRight w:val="0"/>
      <w:marTop w:val="0"/>
      <w:marBottom w:val="0"/>
      <w:divBdr>
        <w:top w:val="none" w:sz="0" w:space="0" w:color="auto"/>
        <w:left w:val="none" w:sz="0" w:space="0" w:color="auto"/>
        <w:bottom w:val="none" w:sz="0" w:space="0" w:color="auto"/>
        <w:right w:val="none" w:sz="0" w:space="0" w:color="auto"/>
      </w:divBdr>
    </w:div>
    <w:div w:id="1781030239">
      <w:bodyDiv w:val="1"/>
      <w:marLeft w:val="0"/>
      <w:marRight w:val="0"/>
      <w:marTop w:val="0"/>
      <w:marBottom w:val="0"/>
      <w:divBdr>
        <w:top w:val="none" w:sz="0" w:space="0" w:color="auto"/>
        <w:left w:val="none" w:sz="0" w:space="0" w:color="auto"/>
        <w:bottom w:val="none" w:sz="0" w:space="0" w:color="auto"/>
        <w:right w:val="none" w:sz="0" w:space="0" w:color="auto"/>
      </w:divBdr>
    </w:div>
    <w:div w:id="1781685230">
      <w:bodyDiv w:val="1"/>
      <w:marLeft w:val="0"/>
      <w:marRight w:val="0"/>
      <w:marTop w:val="0"/>
      <w:marBottom w:val="0"/>
      <w:divBdr>
        <w:top w:val="none" w:sz="0" w:space="0" w:color="auto"/>
        <w:left w:val="none" w:sz="0" w:space="0" w:color="auto"/>
        <w:bottom w:val="none" w:sz="0" w:space="0" w:color="auto"/>
        <w:right w:val="none" w:sz="0" w:space="0" w:color="auto"/>
      </w:divBdr>
    </w:div>
    <w:div w:id="1782718998">
      <w:bodyDiv w:val="1"/>
      <w:marLeft w:val="0"/>
      <w:marRight w:val="0"/>
      <w:marTop w:val="0"/>
      <w:marBottom w:val="0"/>
      <w:divBdr>
        <w:top w:val="none" w:sz="0" w:space="0" w:color="auto"/>
        <w:left w:val="none" w:sz="0" w:space="0" w:color="auto"/>
        <w:bottom w:val="none" w:sz="0" w:space="0" w:color="auto"/>
        <w:right w:val="none" w:sz="0" w:space="0" w:color="auto"/>
      </w:divBdr>
    </w:div>
    <w:div w:id="1783065218">
      <w:bodyDiv w:val="1"/>
      <w:marLeft w:val="0"/>
      <w:marRight w:val="0"/>
      <w:marTop w:val="0"/>
      <w:marBottom w:val="0"/>
      <w:divBdr>
        <w:top w:val="none" w:sz="0" w:space="0" w:color="auto"/>
        <w:left w:val="none" w:sz="0" w:space="0" w:color="auto"/>
        <w:bottom w:val="none" w:sz="0" w:space="0" w:color="auto"/>
        <w:right w:val="none" w:sz="0" w:space="0" w:color="auto"/>
      </w:divBdr>
    </w:div>
    <w:div w:id="1783106377">
      <w:bodyDiv w:val="1"/>
      <w:marLeft w:val="0"/>
      <w:marRight w:val="0"/>
      <w:marTop w:val="0"/>
      <w:marBottom w:val="0"/>
      <w:divBdr>
        <w:top w:val="none" w:sz="0" w:space="0" w:color="auto"/>
        <w:left w:val="none" w:sz="0" w:space="0" w:color="auto"/>
        <w:bottom w:val="none" w:sz="0" w:space="0" w:color="auto"/>
        <w:right w:val="none" w:sz="0" w:space="0" w:color="auto"/>
      </w:divBdr>
    </w:div>
    <w:div w:id="1783719676">
      <w:bodyDiv w:val="1"/>
      <w:marLeft w:val="0"/>
      <w:marRight w:val="0"/>
      <w:marTop w:val="0"/>
      <w:marBottom w:val="0"/>
      <w:divBdr>
        <w:top w:val="none" w:sz="0" w:space="0" w:color="auto"/>
        <w:left w:val="none" w:sz="0" w:space="0" w:color="auto"/>
        <w:bottom w:val="none" w:sz="0" w:space="0" w:color="auto"/>
        <w:right w:val="none" w:sz="0" w:space="0" w:color="auto"/>
      </w:divBdr>
    </w:div>
    <w:div w:id="1786970566">
      <w:bodyDiv w:val="1"/>
      <w:marLeft w:val="0"/>
      <w:marRight w:val="0"/>
      <w:marTop w:val="0"/>
      <w:marBottom w:val="0"/>
      <w:divBdr>
        <w:top w:val="none" w:sz="0" w:space="0" w:color="auto"/>
        <w:left w:val="none" w:sz="0" w:space="0" w:color="auto"/>
        <w:bottom w:val="none" w:sz="0" w:space="0" w:color="auto"/>
        <w:right w:val="none" w:sz="0" w:space="0" w:color="auto"/>
      </w:divBdr>
    </w:div>
    <w:div w:id="1789004047">
      <w:bodyDiv w:val="1"/>
      <w:marLeft w:val="0"/>
      <w:marRight w:val="0"/>
      <w:marTop w:val="0"/>
      <w:marBottom w:val="0"/>
      <w:divBdr>
        <w:top w:val="none" w:sz="0" w:space="0" w:color="auto"/>
        <w:left w:val="none" w:sz="0" w:space="0" w:color="auto"/>
        <w:bottom w:val="none" w:sz="0" w:space="0" w:color="auto"/>
        <w:right w:val="none" w:sz="0" w:space="0" w:color="auto"/>
      </w:divBdr>
    </w:div>
    <w:div w:id="1789354166">
      <w:bodyDiv w:val="1"/>
      <w:marLeft w:val="0"/>
      <w:marRight w:val="0"/>
      <w:marTop w:val="0"/>
      <w:marBottom w:val="0"/>
      <w:divBdr>
        <w:top w:val="none" w:sz="0" w:space="0" w:color="auto"/>
        <w:left w:val="none" w:sz="0" w:space="0" w:color="auto"/>
        <w:bottom w:val="none" w:sz="0" w:space="0" w:color="auto"/>
        <w:right w:val="none" w:sz="0" w:space="0" w:color="auto"/>
      </w:divBdr>
    </w:div>
    <w:div w:id="1793162847">
      <w:bodyDiv w:val="1"/>
      <w:marLeft w:val="0"/>
      <w:marRight w:val="0"/>
      <w:marTop w:val="0"/>
      <w:marBottom w:val="0"/>
      <w:divBdr>
        <w:top w:val="none" w:sz="0" w:space="0" w:color="auto"/>
        <w:left w:val="none" w:sz="0" w:space="0" w:color="auto"/>
        <w:bottom w:val="none" w:sz="0" w:space="0" w:color="auto"/>
        <w:right w:val="none" w:sz="0" w:space="0" w:color="auto"/>
      </w:divBdr>
    </w:div>
    <w:div w:id="1793860372">
      <w:bodyDiv w:val="1"/>
      <w:marLeft w:val="0"/>
      <w:marRight w:val="0"/>
      <w:marTop w:val="0"/>
      <w:marBottom w:val="0"/>
      <w:divBdr>
        <w:top w:val="none" w:sz="0" w:space="0" w:color="auto"/>
        <w:left w:val="none" w:sz="0" w:space="0" w:color="auto"/>
        <w:bottom w:val="none" w:sz="0" w:space="0" w:color="auto"/>
        <w:right w:val="none" w:sz="0" w:space="0" w:color="auto"/>
      </w:divBdr>
    </w:div>
    <w:div w:id="1796289180">
      <w:bodyDiv w:val="1"/>
      <w:marLeft w:val="0"/>
      <w:marRight w:val="0"/>
      <w:marTop w:val="0"/>
      <w:marBottom w:val="0"/>
      <w:divBdr>
        <w:top w:val="none" w:sz="0" w:space="0" w:color="auto"/>
        <w:left w:val="none" w:sz="0" w:space="0" w:color="auto"/>
        <w:bottom w:val="none" w:sz="0" w:space="0" w:color="auto"/>
        <w:right w:val="none" w:sz="0" w:space="0" w:color="auto"/>
      </w:divBdr>
    </w:div>
    <w:div w:id="1796947232">
      <w:bodyDiv w:val="1"/>
      <w:marLeft w:val="0"/>
      <w:marRight w:val="0"/>
      <w:marTop w:val="0"/>
      <w:marBottom w:val="0"/>
      <w:divBdr>
        <w:top w:val="none" w:sz="0" w:space="0" w:color="auto"/>
        <w:left w:val="none" w:sz="0" w:space="0" w:color="auto"/>
        <w:bottom w:val="none" w:sz="0" w:space="0" w:color="auto"/>
        <w:right w:val="none" w:sz="0" w:space="0" w:color="auto"/>
      </w:divBdr>
    </w:div>
    <w:div w:id="1797064353">
      <w:bodyDiv w:val="1"/>
      <w:marLeft w:val="0"/>
      <w:marRight w:val="0"/>
      <w:marTop w:val="0"/>
      <w:marBottom w:val="0"/>
      <w:divBdr>
        <w:top w:val="none" w:sz="0" w:space="0" w:color="auto"/>
        <w:left w:val="none" w:sz="0" w:space="0" w:color="auto"/>
        <w:bottom w:val="none" w:sz="0" w:space="0" w:color="auto"/>
        <w:right w:val="none" w:sz="0" w:space="0" w:color="auto"/>
      </w:divBdr>
    </w:div>
    <w:div w:id="1797335085">
      <w:bodyDiv w:val="1"/>
      <w:marLeft w:val="0"/>
      <w:marRight w:val="0"/>
      <w:marTop w:val="0"/>
      <w:marBottom w:val="0"/>
      <w:divBdr>
        <w:top w:val="none" w:sz="0" w:space="0" w:color="auto"/>
        <w:left w:val="none" w:sz="0" w:space="0" w:color="auto"/>
        <w:bottom w:val="none" w:sz="0" w:space="0" w:color="auto"/>
        <w:right w:val="none" w:sz="0" w:space="0" w:color="auto"/>
      </w:divBdr>
    </w:div>
    <w:div w:id="1799764231">
      <w:bodyDiv w:val="1"/>
      <w:marLeft w:val="0"/>
      <w:marRight w:val="0"/>
      <w:marTop w:val="0"/>
      <w:marBottom w:val="0"/>
      <w:divBdr>
        <w:top w:val="none" w:sz="0" w:space="0" w:color="auto"/>
        <w:left w:val="none" w:sz="0" w:space="0" w:color="auto"/>
        <w:bottom w:val="none" w:sz="0" w:space="0" w:color="auto"/>
        <w:right w:val="none" w:sz="0" w:space="0" w:color="auto"/>
      </w:divBdr>
    </w:div>
    <w:div w:id="1802379602">
      <w:bodyDiv w:val="1"/>
      <w:marLeft w:val="0"/>
      <w:marRight w:val="0"/>
      <w:marTop w:val="0"/>
      <w:marBottom w:val="0"/>
      <w:divBdr>
        <w:top w:val="none" w:sz="0" w:space="0" w:color="auto"/>
        <w:left w:val="none" w:sz="0" w:space="0" w:color="auto"/>
        <w:bottom w:val="none" w:sz="0" w:space="0" w:color="auto"/>
        <w:right w:val="none" w:sz="0" w:space="0" w:color="auto"/>
      </w:divBdr>
    </w:div>
    <w:div w:id="1804614244">
      <w:bodyDiv w:val="1"/>
      <w:marLeft w:val="0"/>
      <w:marRight w:val="0"/>
      <w:marTop w:val="0"/>
      <w:marBottom w:val="0"/>
      <w:divBdr>
        <w:top w:val="none" w:sz="0" w:space="0" w:color="auto"/>
        <w:left w:val="none" w:sz="0" w:space="0" w:color="auto"/>
        <w:bottom w:val="none" w:sz="0" w:space="0" w:color="auto"/>
        <w:right w:val="none" w:sz="0" w:space="0" w:color="auto"/>
      </w:divBdr>
    </w:div>
    <w:div w:id="1809473891">
      <w:bodyDiv w:val="1"/>
      <w:marLeft w:val="0"/>
      <w:marRight w:val="0"/>
      <w:marTop w:val="0"/>
      <w:marBottom w:val="0"/>
      <w:divBdr>
        <w:top w:val="none" w:sz="0" w:space="0" w:color="auto"/>
        <w:left w:val="none" w:sz="0" w:space="0" w:color="auto"/>
        <w:bottom w:val="none" w:sz="0" w:space="0" w:color="auto"/>
        <w:right w:val="none" w:sz="0" w:space="0" w:color="auto"/>
      </w:divBdr>
    </w:div>
    <w:div w:id="1810172661">
      <w:bodyDiv w:val="1"/>
      <w:marLeft w:val="0"/>
      <w:marRight w:val="0"/>
      <w:marTop w:val="0"/>
      <w:marBottom w:val="0"/>
      <w:divBdr>
        <w:top w:val="none" w:sz="0" w:space="0" w:color="auto"/>
        <w:left w:val="none" w:sz="0" w:space="0" w:color="auto"/>
        <w:bottom w:val="none" w:sz="0" w:space="0" w:color="auto"/>
        <w:right w:val="none" w:sz="0" w:space="0" w:color="auto"/>
      </w:divBdr>
    </w:div>
    <w:div w:id="1810778864">
      <w:bodyDiv w:val="1"/>
      <w:marLeft w:val="0"/>
      <w:marRight w:val="0"/>
      <w:marTop w:val="0"/>
      <w:marBottom w:val="0"/>
      <w:divBdr>
        <w:top w:val="none" w:sz="0" w:space="0" w:color="auto"/>
        <w:left w:val="none" w:sz="0" w:space="0" w:color="auto"/>
        <w:bottom w:val="none" w:sz="0" w:space="0" w:color="auto"/>
        <w:right w:val="none" w:sz="0" w:space="0" w:color="auto"/>
      </w:divBdr>
    </w:div>
    <w:div w:id="1812281842">
      <w:bodyDiv w:val="1"/>
      <w:marLeft w:val="0"/>
      <w:marRight w:val="0"/>
      <w:marTop w:val="0"/>
      <w:marBottom w:val="0"/>
      <w:divBdr>
        <w:top w:val="none" w:sz="0" w:space="0" w:color="auto"/>
        <w:left w:val="none" w:sz="0" w:space="0" w:color="auto"/>
        <w:bottom w:val="none" w:sz="0" w:space="0" w:color="auto"/>
        <w:right w:val="none" w:sz="0" w:space="0" w:color="auto"/>
      </w:divBdr>
    </w:div>
    <w:div w:id="1817064839">
      <w:bodyDiv w:val="1"/>
      <w:marLeft w:val="0"/>
      <w:marRight w:val="0"/>
      <w:marTop w:val="0"/>
      <w:marBottom w:val="0"/>
      <w:divBdr>
        <w:top w:val="none" w:sz="0" w:space="0" w:color="auto"/>
        <w:left w:val="none" w:sz="0" w:space="0" w:color="auto"/>
        <w:bottom w:val="none" w:sz="0" w:space="0" w:color="auto"/>
        <w:right w:val="none" w:sz="0" w:space="0" w:color="auto"/>
      </w:divBdr>
    </w:div>
    <w:div w:id="1817795251">
      <w:bodyDiv w:val="1"/>
      <w:marLeft w:val="0"/>
      <w:marRight w:val="0"/>
      <w:marTop w:val="0"/>
      <w:marBottom w:val="0"/>
      <w:divBdr>
        <w:top w:val="none" w:sz="0" w:space="0" w:color="auto"/>
        <w:left w:val="none" w:sz="0" w:space="0" w:color="auto"/>
        <w:bottom w:val="none" w:sz="0" w:space="0" w:color="auto"/>
        <w:right w:val="none" w:sz="0" w:space="0" w:color="auto"/>
      </w:divBdr>
    </w:div>
    <w:div w:id="1818381562">
      <w:bodyDiv w:val="1"/>
      <w:marLeft w:val="0"/>
      <w:marRight w:val="0"/>
      <w:marTop w:val="0"/>
      <w:marBottom w:val="0"/>
      <w:divBdr>
        <w:top w:val="none" w:sz="0" w:space="0" w:color="auto"/>
        <w:left w:val="none" w:sz="0" w:space="0" w:color="auto"/>
        <w:bottom w:val="none" w:sz="0" w:space="0" w:color="auto"/>
        <w:right w:val="none" w:sz="0" w:space="0" w:color="auto"/>
      </w:divBdr>
    </w:div>
    <w:div w:id="1821145394">
      <w:bodyDiv w:val="1"/>
      <w:marLeft w:val="0"/>
      <w:marRight w:val="0"/>
      <w:marTop w:val="0"/>
      <w:marBottom w:val="0"/>
      <w:divBdr>
        <w:top w:val="none" w:sz="0" w:space="0" w:color="auto"/>
        <w:left w:val="none" w:sz="0" w:space="0" w:color="auto"/>
        <w:bottom w:val="none" w:sz="0" w:space="0" w:color="auto"/>
        <w:right w:val="none" w:sz="0" w:space="0" w:color="auto"/>
      </w:divBdr>
    </w:div>
    <w:div w:id="1821312964">
      <w:bodyDiv w:val="1"/>
      <w:marLeft w:val="0"/>
      <w:marRight w:val="0"/>
      <w:marTop w:val="0"/>
      <w:marBottom w:val="0"/>
      <w:divBdr>
        <w:top w:val="none" w:sz="0" w:space="0" w:color="auto"/>
        <w:left w:val="none" w:sz="0" w:space="0" w:color="auto"/>
        <w:bottom w:val="none" w:sz="0" w:space="0" w:color="auto"/>
        <w:right w:val="none" w:sz="0" w:space="0" w:color="auto"/>
      </w:divBdr>
    </w:div>
    <w:div w:id="1823618648">
      <w:bodyDiv w:val="1"/>
      <w:marLeft w:val="0"/>
      <w:marRight w:val="0"/>
      <w:marTop w:val="0"/>
      <w:marBottom w:val="0"/>
      <w:divBdr>
        <w:top w:val="none" w:sz="0" w:space="0" w:color="auto"/>
        <w:left w:val="none" w:sz="0" w:space="0" w:color="auto"/>
        <w:bottom w:val="none" w:sz="0" w:space="0" w:color="auto"/>
        <w:right w:val="none" w:sz="0" w:space="0" w:color="auto"/>
      </w:divBdr>
    </w:div>
    <w:div w:id="1825319244">
      <w:bodyDiv w:val="1"/>
      <w:marLeft w:val="0"/>
      <w:marRight w:val="0"/>
      <w:marTop w:val="0"/>
      <w:marBottom w:val="0"/>
      <w:divBdr>
        <w:top w:val="none" w:sz="0" w:space="0" w:color="auto"/>
        <w:left w:val="none" w:sz="0" w:space="0" w:color="auto"/>
        <w:bottom w:val="none" w:sz="0" w:space="0" w:color="auto"/>
        <w:right w:val="none" w:sz="0" w:space="0" w:color="auto"/>
      </w:divBdr>
    </w:div>
    <w:div w:id="1825506973">
      <w:bodyDiv w:val="1"/>
      <w:marLeft w:val="0"/>
      <w:marRight w:val="0"/>
      <w:marTop w:val="0"/>
      <w:marBottom w:val="0"/>
      <w:divBdr>
        <w:top w:val="none" w:sz="0" w:space="0" w:color="auto"/>
        <w:left w:val="none" w:sz="0" w:space="0" w:color="auto"/>
        <w:bottom w:val="none" w:sz="0" w:space="0" w:color="auto"/>
        <w:right w:val="none" w:sz="0" w:space="0" w:color="auto"/>
      </w:divBdr>
    </w:div>
    <w:div w:id="1826044383">
      <w:bodyDiv w:val="1"/>
      <w:marLeft w:val="0"/>
      <w:marRight w:val="0"/>
      <w:marTop w:val="0"/>
      <w:marBottom w:val="0"/>
      <w:divBdr>
        <w:top w:val="none" w:sz="0" w:space="0" w:color="auto"/>
        <w:left w:val="none" w:sz="0" w:space="0" w:color="auto"/>
        <w:bottom w:val="none" w:sz="0" w:space="0" w:color="auto"/>
        <w:right w:val="none" w:sz="0" w:space="0" w:color="auto"/>
      </w:divBdr>
    </w:div>
    <w:div w:id="1829899268">
      <w:bodyDiv w:val="1"/>
      <w:marLeft w:val="0"/>
      <w:marRight w:val="0"/>
      <w:marTop w:val="0"/>
      <w:marBottom w:val="0"/>
      <w:divBdr>
        <w:top w:val="none" w:sz="0" w:space="0" w:color="auto"/>
        <w:left w:val="none" w:sz="0" w:space="0" w:color="auto"/>
        <w:bottom w:val="none" w:sz="0" w:space="0" w:color="auto"/>
        <w:right w:val="none" w:sz="0" w:space="0" w:color="auto"/>
      </w:divBdr>
    </w:div>
    <w:div w:id="1832912143">
      <w:bodyDiv w:val="1"/>
      <w:marLeft w:val="0"/>
      <w:marRight w:val="0"/>
      <w:marTop w:val="0"/>
      <w:marBottom w:val="0"/>
      <w:divBdr>
        <w:top w:val="none" w:sz="0" w:space="0" w:color="auto"/>
        <w:left w:val="none" w:sz="0" w:space="0" w:color="auto"/>
        <w:bottom w:val="none" w:sz="0" w:space="0" w:color="auto"/>
        <w:right w:val="none" w:sz="0" w:space="0" w:color="auto"/>
      </w:divBdr>
    </w:div>
    <w:div w:id="1833984089">
      <w:bodyDiv w:val="1"/>
      <w:marLeft w:val="0"/>
      <w:marRight w:val="0"/>
      <w:marTop w:val="0"/>
      <w:marBottom w:val="0"/>
      <w:divBdr>
        <w:top w:val="none" w:sz="0" w:space="0" w:color="auto"/>
        <w:left w:val="none" w:sz="0" w:space="0" w:color="auto"/>
        <w:bottom w:val="none" w:sz="0" w:space="0" w:color="auto"/>
        <w:right w:val="none" w:sz="0" w:space="0" w:color="auto"/>
      </w:divBdr>
    </w:div>
    <w:div w:id="1834756641">
      <w:bodyDiv w:val="1"/>
      <w:marLeft w:val="0"/>
      <w:marRight w:val="0"/>
      <w:marTop w:val="0"/>
      <w:marBottom w:val="0"/>
      <w:divBdr>
        <w:top w:val="none" w:sz="0" w:space="0" w:color="auto"/>
        <w:left w:val="none" w:sz="0" w:space="0" w:color="auto"/>
        <w:bottom w:val="none" w:sz="0" w:space="0" w:color="auto"/>
        <w:right w:val="none" w:sz="0" w:space="0" w:color="auto"/>
      </w:divBdr>
    </w:div>
    <w:div w:id="1836677496">
      <w:bodyDiv w:val="1"/>
      <w:marLeft w:val="0"/>
      <w:marRight w:val="0"/>
      <w:marTop w:val="0"/>
      <w:marBottom w:val="0"/>
      <w:divBdr>
        <w:top w:val="none" w:sz="0" w:space="0" w:color="auto"/>
        <w:left w:val="none" w:sz="0" w:space="0" w:color="auto"/>
        <w:bottom w:val="none" w:sz="0" w:space="0" w:color="auto"/>
        <w:right w:val="none" w:sz="0" w:space="0" w:color="auto"/>
      </w:divBdr>
    </w:div>
    <w:div w:id="1838692448">
      <w:bodyDiv w:val="1"/>
      <w:marLeft w:val="0"/>
      <w:marRight w:val="0"/>
      <w:marTop w:val="0"/>
      <w:marBottom w:val="0"/>
      <w:divBdr>
        <w:top w:val="none" w:sz="0" w:space="0" w:color="auto"/>
        <w:left w:val="none" w:sz="0" w:space="0" w:color="auto"/>
        <w:bottom w:val="none" w:sz="0" w:space="0" w:color="auto"/>
        <w:right w:val="none" w:sz="0" w:space="0" w:color="auto"/>
      </w:divBdr>
    </w:div>
    <w:div w:id="1840583516">
      <w:bodyDiv w:val="1"/>
      <w:marLeft w:val="0"/>
      <w:marRight w:val="0"/>
      <w:marTop w:val="0"/>
      <w:marBottom w:val="0"/>
      <w:divBdr>
        <w:top w:val="none" w:sz="0" w:space="0" w:color="auto"/>
        <w:left w:val="none" w:sz="0" w:space="0" w:color="auto"/>
        <w:bottom w:val="none" w:sz="0" w:space="0" w:color="auto"/>
        <w:right w:val="none" w:sz="0" w:space="0" w:color="auto"/>
      </w:divBdr>
    </w:div>
    <w:div w:id="1844859388">
      <w:bodyDiv w:val="1"/>
      <w:marLeft w:val="0"/>
      <w:marRight w:val="0"/>
      <w:marTop w:val="0"/>
      <w:marBottom w:val="0"/>
      <w:divBdr>
        <w:top w:val="none" w:sz="0" w:space="0" w:color="auto"/>
        <w:left w:val="none" w:sz="0" w:space="0" w:color="auto"/>
        <w:bottom w:val="none" w:sz="0" w:space="0" w:color="auto"/>
        <w:right w:val="none" w:sz="0" w:space="0" w:color="auto"/>
      </w:divBdr>
    </w:div>
    <w:div w:id="1845045472">
      <w:bodyDiv w:val="1"/>
      <w:marLeft w:val="0"/>
      <w:marRight w:val="0"/>
      <w:marTop w:val="0"/>
      <w:marBottom w:val="0"/>
      <w:divBdr>
        <w:top w:val="none" w:sz="0" w:space="0" w:color="auto"/>
        <w:left w:val="none" w:sz="0" w:space="0" w:color="auto"/>
        <w:bottom w:val="none" w:sz="0" w:space="0" w:color="auto"/>
        <w:right w:val="none" w:sz="0" w:space="0" w:color="auto"/>
      </w:divBdr>
    </w:div>
    <w:div w:id="1846284940">
      <w:bodyDiv w:val="1"/>
      <w:marLeft w:val="0"/>
      <w:marRight w:val="0"/>
      <w:marTop w:val="0"/>
      <w:marBottom w:val="0"/>
      <w:divBdr>
        <w:top w:val="none" w:sz="0" w:space="0" w:color="auto"/>
        <w:left w:val="none" w:sz="0" w:space="0" w:color="auto"/>
        <w:bottom w:val="none" w:sz="0" w:space="0" w:color="auto"/>
        <w:right w:val="none" w:sz="0" w:space="0" w:color="auto"/>
      </w:divBdr>
    </w:div>
    <w:div w:id="1848595704">
      <w:bodyDiv w:val="1"/>
      <w:marLeft w:val="0"/>
      <w:marRight w:val="0"/>
      <w:marTop w:val="0"/>
      <w:marBottom w:val="0"/>
      <w:divBdr>
        <w:top w:val="none" w:sz="0" w:space="0" w:color="auto"/>
        <w:left w:val="none" w:sz="0" w:space="0" w:color="auto"/>
        <w:bottom w:val="none" w:sz="0" w:space="0" w:color="auto"/>
        <w:right w:val="none" w:sz="0" w:space="0" w:color="auto"/>
      </w:divBdr>
    </w:div>
    <w:div w:id="1850366836">
      <w:bodyDiv w:val="1"/>
      <w:marLeft w:val="0"/>
      <w:marRight w:val="0"/>
      <w:marTop w:val="0"/>
      <w:marBottom w:val="0"/>
      <w:divBdr>
        <w:top w:val="none" w:sz="0" w:space="0" w:color="auto"/>
        <w:left w:val="none" w:sz="0" w:space="0" w:color="auto"/>
        <w:bottom w:val="none" w:sz="0" w:space="0" w:color="auto"/>
        <w:right w:val="none" w:sz="0" w:space="0" w:color="auto"/>
      </w:divBdr>
    </w:div>
    <w:div w:id="1851019189">
      <w:bodyDiv w:val="1"/>
      <w:marLeft w:val="0"/>
      <w:marRight w:val="0"/>
      <w:marTop w:val="0"/>
      <w:marBottom w:val="0"/>
      <w:divBdr>
        <w:top w:val="none" w:sz="0" w:space="0" w:color="auto"/>
        <w:left w:val="none" w:sz="0" w:space="0" w:color="auto"/>
        <w:bottom w:val="none" w:sz="0" w:space="0" w:color="auto"/>
        <w:right w:val="none" w:sz="0" w:space="0" w:color="auto"/>
      </w:divBdr>
    </w:div>
    <w:div w:id="1851336810">
      <w:bodyDiv w:val="1"/>
      <w:marLeft w:val="0"/>
      <w:marRight w:val="0"/>
      <w:marTop w:val="0"/>
      <w:marBottom w:val="0"/>
      <w:divBdr>
        <w:top w:val="none" w:sz="0" w:space="0" w:color="auto"/>
        <w:left w:val="none" w:sz="0" w:space="0" w:color="auto"/>
        <w:bottom w:val="none" w:sz="0" w:space="0" w:color="auto"/>
        <w:right w:val="none" w:sz="0" w:space="0" w:color="auto"/>
      </w:divBdr>
    </w:div>
    <w:div w:id="1852866240">
      <w:bodyDiv w:val="1"/>
      <w:marLeft w:val="0"/>
      <w:marRight w:val="0"/>
      <w:marTop w:val="0"/>
      <w:marBottom w:val="0"/>
      <w:divBdr>
        <w:top w:val="none" w:sz="0" w:space="0" w:color="auto"/>
        <w:left w:val="none" w:sz="0" w:space="0" w:color="auto"/>
        <w:bottom w:val="none" w:sz="0" w:space="0" w:color="auto"/>
        <w:right w:val="none" w:sz="0" w:space="0" w:color="auto"/>
      </w:divBdr>
    </w:div>
    <w:div w:id="1853227516">
      <w:bodyDiv w:val="1"/>
      <w:marLeft w:val="0"/>
      <w:marRight w:val="0"/>
      <w:marTop w:val="0"/>
      <w:marBottom w:val="0"/>
      <w:divBdr>
        <w:top w:val="none" w:sz="0" w:space="0" w:color="auto"/>
        <w:left w:val="none" w:sz="0" w:space="0" w:color="auto"/>
        <w:bottom w:val="none" w:sz="0" w:space="0" w:color="auto"/>
        <w:right w:val="none" w:sz="0" w:space="0" w:color="auto"/>
      </w:divBdr>
    </w:div>
    <w:div w:id="1854294332">
      <w:bodyDiv w:val="1"/>
      <w:marLeft w:val="0"/>
      <w:marRight w:val="0"/>
      <w:marTop w:val="0"/>
      <w:marBottom w:val="0"/>
      <w:divBdr>
        <w:top w:val="none" w:sz="0" w:space="0" w:color="auto"/>
        <w:left w:val="none" w:sz="0" w:space="0" w:color="auto"/>
        <w:bottom w:val="none" w:sz="0" w:space="0" w:color="auto"/>
        <w:right w:val="none" w:sz="0" w:space="0" w:color="auto"/>
      </w:divBdr>
    </w:div>
    <w:div w:id="1856379143">
      <w:bodyDiv w:val="1"/>
      <w:marLeft w:val="0"/>
      <w:marRight w:val="0"/>
      <w:marTop w:val="0"/>
      <w:marBottom w:val="0"/>
      <w:divBdr>
        <w:top w:val="none" w:sz="0" w:space="0" w:color="auto"/>
        <w:left w:val="none" w:sz="0" w:space="0" w:color="auto"/>
        <w:bottom w:val="none" w:sz="0" w:space="0" w:color="auto"/>
        <w:right w:val="none" w:sz="0" w:space="0" w:color="auto"/>
      </w:divBdr>
    </w:div>
    <w:div w:id="1856531396">
      <w:bodyDiv w:val="1"/>
      <w:marLeft w:val="0"/>
      <w:marRight w:val="0"/>
      <w:marTop w:val="0"/>
      <w:marBottom w:val="0"/>
      <w:divBdr>
        <w:top w:val="none" w:sz="0" w:space="0" w:color="auto"/>
        <w:left w:val="none" w:sz="0" w:space="0" w:color="auto"/>
        <w:bottom w:val="none" w:sz="0" w:space="0" w:color="auto"/>
        <w:right w:val="none" w:sz="0" w:space="0" w:color="auto"/>
      </w:divBdr>
    </w:div>
    <w:div w:id="1859587798">
      <w:bodyDiv w:val="1"/>
      <w:marLeft w:val="0"/>
      <w:marRight w:val="0"/>
      <w:marTop w:val="0"/>
      <w:marBottom w:val="0"/>
      <w:divBdr>
        <w:top w:val="none" w:sz="0" w:space="0" w:color="auto"/>
        <w:left w:val="none" w:sz="0" w:space="0" w:color="auto"/>
        <w:bottom w:val="none" w:sz="0" w:space="0" w:color="auto"/>
        <w:right w:val="none" w:sz="0" w:space="0" w:color="auto"/>
      </w:divBdr>
    </w:div>
    <w:div w:id="1860653438">
      <w:bodyDiv w:val="1"/>
      <w:marLeft w:val="0"/>
      <w:marRight w:val="0"/>
      <w:marTop w:val="0"/>
      <w:marBottom w:val="0"/>
      <w:divBdr>
        <w:top w:val="none" w:sz="0" w:space="0" w:color="auto"/>
        <w:left w:val="none" w:sz="0" w:space="0" w:color="auto"/>
        <w:bottom w:val="none" w:sz="0" w:space="0" w:color="auto"/>
        <w:right w:val="none" w:sz="0" w:space="0" w:color="auto"/>
      </w:divBdr>
    </w:div>
    <w:div w:id="1861047490">
      <w:bodyDiv w:val="1"/>
      <w:marLeft w:val="0"/>
      <w:marRight w:val="0"/>
      <w:marTop w:val="0"/>
      <w:marBottom w:val="0"/>
      <w:divBdr>
        <w:top w:val="none" w:sz="0" w:space="0" w:color="auto"/>
        <w:left w:val="none" w:sz="0" w:space="0" w:color="auto"/>
        <w:bottom w:val="none" w:sz="0" w:space="0" w:color="auto"/>
        <w:right w:val="none" w:sz="0" w:space="0" w:color="auto"/>
      </w:divBdr>
    </w:div>
    <w:div w:id="1861237985">
      <w:bodyDiv w:val="1"/>
      <w:marLeft w:val="0"/>
      <w:marRight w:val="0"/>
      <w:marTop w:val="0"/>
      <w:marBottom w:val="0"/>
      <w:divBdr>
        <w:top w:val="none" w:sz="0" w:space="0" w:color="auto"/>
        <w:left w:val="none" w:sz="0" w:space="0" w:color="auto"/>
        <w:bottom w:val="none" w:sz="0" w:space="0" w:color="auto"/>
        <w:right w:val="none" w:sz="0" w:space="0" w:color="auto"/>
      </w:divBdr>
    </w:div>
    <w:div w:id="1862429818">
      <w:bodyDiv w:val="1"/>
      <w:marLeft w:val="0"/>
      <w:marRight w:val="0"/>
      <w:marTop w:val="0"/>
      <w:marBottom w:val="0"/>
      <w:divBdr>
        <w:top w:val="none" w:sz="0" w:space="0" w:color="auto"/>
        <w:left w:val="none" w:sz="0" w:space="0" w:color="auto"/>
        <w:bottom w:val="none" w:sz="0" w:space="0" w:color="auto"/>
        <w:right w:val="none" w:sz="0" w:space="0" w:color="auto"/>
      </w:divBdr>
    </w:div>
    <w:div w:id="1862933934">
      <w:bodyDiv w:val="1"/>
      <w:marLeft w:val="0"/>
      <w:marRight w:val="0"/>
      <w:marTop w:val="0"/>
      <w:marBottom w:val="0"/>
      <w:divBdr>
        <w:top w:val="none" w:sz="0" w:space="0" w:color="auto"/>
        <w:left w:val="none" w:sz="0" w:space="0" w:color="auto"/>
        <w:bottom w:val="none" w:sz="0" w:space="0" w:color="auto"/>
        <w:right w:val="none" w:sz="0" w:space="0" w:color="auto"/>
      </w:divBdr>
    </w:div>
    <w:div w:id="1866215692">
      <w:bodyDiv w:val="1"/>
      <w:marLeft w:val="0"/>
      <w:marRight w:val="0"/>
      <w:marTop w:val="0"/>
      <w:marBottom w:val="0"/>
      <w:divBdr>
        <w:top w:val="none" w:sz="0" w:space="0" w:color="auto"/>
        <w:left w:val="none" w:sz="0" w:space="0" w:color="auto"/>
        <w:bottom w:val="none" w:sz="0" w:space="0" w:color="auto"/>
        <w:right w:val="none" w:sz="0" w:space="0" w:color="auto"/>
      </w:divBdr>
    </w:div>
    <w:div w:id="1867787490">
      <w:bodyDiv w:val="1"/>
      <w:marLeft w:val="0"/>
      <w:marRight w:val="0"/>
      <w:marTop w:val="0"/>
      <w:marBottom w:val="0"/>
      <w:divBdr>
        <w:top w:val="none" w:sz="0" w:space="0" w:color="auto"/>
        <w:left w:val="none" w:sz="0" w:space="0" w:color="auto"/>
        <w:bottom w:val="none" w:sz="0" w:space="0" w:color="auto"/>
        <w:right w:val="none" w:sz="0" w:space="0" w:color="auto"/>
      </w:divBdr>
    </w:div>
    <w:div w:id="1870561204">
      <w:bodyDiv w:val="1"/>
      <w:marLeft w:val="0"/>
      <w:marRight w:val="0"/>
      <w:marTop w:val="0"/>
      <w:marBottom w:val="0"/>
      <w:divBdr>
        <w:top w:val="none" w:sz="0" w:space="0" w:color="auto"/>
        <w:left w:val="none" w:sz="0" w:space="0" w:color="auto"/>
        <w:bottom w:val="none" w:sz="0" w:space="0" w:color="auto"/>
        <w:right w:val="none" w:sz="0" w:space="0" w:color="auto"/>
      </w:divBdr>
    </w:div>
    <w:div w:id="1871993362">
      <w:bodyDiv w:val="1"/>
      <w:marLeft w:val="0"/>
      <w:marRight w:val="0"/>
      <w:marTop w:val="0"/>
      <w:marBottom w:val="0"/>
      <w:divBdr>
        <w:top w:val="none" w:sz="0" w:space="0" w:color="auto"/>
        <w:left w:val="none" w:sz="0" w:space="0" w:color="auto"/>
        <w:bottom w:val="none" w:sz="0" w:space="0" w:color="auto"/>
        <w:right w:val="none" w:sz="0" w:space="0" w:color="auto"/>
      </w:divBdr>
    </w:div>
    <w:div w:id="1874034002">
      <w:bodyDiv w:val="1"/>
      <w:marLeft w:val="0"/>
      <w:marRight w:val="0"/>
      <w:marTop w:val="0"/>
      <w:marBottom w:val="0"/>
      <w:divBdr>
        <w:top w:val="none" w:sz="0" w:space="0" w:color="auto"/>
        <w:left w:val="none" w:sz="0" w:space="0" w:color="auto"/>
        <w:bottom w:val="none" w:sz="0" w:space="0" w:color="auto"/>
        <w:right w:val="none" w:sz="0" w:space="0" w:color="auto"/>
      </w:divBdr>
    </w:div>
    <w:div w:id="1874269405">
      <w:bodyDiv w:val="1"/>
      <w:marLeft w:val="0"/>
      <w:marRight w:val="0"/>
      <w:marTop w:val="0"/>
      <w:marBottom w:val="0"/>
      <w:divBdr>
        <w:top w:val="none" w:sz="0" w:space="0" w:color="auto"/>
        <w:left w:val="none" w:sz="0" w:space="0" w:color="auto"/>
        <w:bottom w:val="none" w:sz="0" w:space="0" w:color="auto"/>
        <w:right w:val="none" w:sz="0" w:space="0" w:color="auto"/>
      </w:divBdr>
    </w:div>
    <w:div w:id="1874922020">
      <w:bodyDiv w:val="1"/>
      <w:marLeft w:val="0"/>
      <w:marRight w:val="0"/>
      <w:marTop w:val="0"/>
      <w:marBottom w:val="0"/>
      <w:divBdr>
        <w:top w:val="none" w:sz="0" w:space="0" w:color="auto"/>
        <w:left w:val="none" w:sz="0" w:space="0" w:color="auto"/>
        <w:bottom w:val="none" w:sz="0" w:space="0" w:color="auto"/>
        <w:right w:val="none" w:sz="0" w:space="0" w:color="auto"/>
      </w:divBdr>
    </w:div>
    <w:div w:id="1875581309">
      <w:bodyDiv w:val="1"/>
      <w:marLeft w:val="0"/>
      <w:marRight w:val="0"/>
      <w:marTop w:val="0"/>
      <w:marBottom w:val="0"/>
      <w:divBdr>
        <w:top w:val="none" w:sz="0" w:space="0" w:color="auto"/>
        <w:left w:val="none" w:sz="0" w:space="0" w:color="auto"/>
        <w:bottom w:val="none" w:sz="0" w:space="0" w:color="auto"/>
        <w:right w:val="none" w:sz="0" w:space="0" w:color="auto"/>
      </w:divBdr>
    </w:div>
    <w:div w:id="1876192388">
      <w:bodyDiv w:val="1"/>
      <w:marLeft w:val="0"/>
      <w:marRight w:val="0"/>
      <w:marTop w:val="0"/>
      <w:marBottom w:val="0"/>
      <w:divBdr>
        <w:top w:val="none" w:sz="0" w:space="0" w:color="auto"/>
        <w:left w:val="none" w:sz="0" w:space="0" w:color="auto"/>
        <w:bottom w:val="none" w:sz="0" w:space="0" w:color="auto"/>
        <w:right w:val="none" w:sz="0" w:space="0" w:color="auto"/>
      </w:divBdr>
    </w:div>
    <w:div w:id="1876386782">
      <w:bodyDiv w:val="1"/>
      <w:marLeft w:val="0"/>
      <w:marRight w:val="0"/>
      <w:marTop w:val="0"/>
      <w:marBottom w:val="0"/>
      <w:divBdr>
        <w:top w:val="none" w:sz="0" w:space="0" w:color="auto"/>
        <w:left w:val="none" w:sz="0" w:space="0" w:color="auto"/>
        <w:bottom w:val="none" w:sz="0" w:space="0" w:color="auto"/>
        <w:right w:val="none" w:sz="0" w:space="0" w:color="auto"/>
      </w:divBdr>
    </w:div>
    <w:div w:id="1878663099">
      <w:bodyDiv w:val="1"/>
      <w:marLeft w:val="0"/>
      <w:marRight w:val="0"/>
      <w:marTop w:val="0"/>
      <w:marBottom w:val="0"/>
      <w:divBdr>
        <w:top w:val="none" w:sz="0" w:space="0" w:color="auto"/>
        <w:left w:val="none" w:sz="0" w:space="0" w:color="auto"/>
        <w:bottom w:val="none" w:sz="0" w:space="0" w:color="auto"/>
        <w:right w:val="none" w:sz="0" w:space="0" w:color="auto"/>
      </w:divBdr>
    </w:div>
    <w:div w:id="1879733102">
      <w:bodyDiv w:val="1"/>
      <w:marLeft w:val="0"/>
      <w:marRight w:val="0"/>
      <w:marTop w:val="0"/>
      <w:marBottom w:val="0"/>
      <w:divBdr>
        <w:top w:val="none" w:sz="0" w:space="0" w:color="auto"/>
        <w:left w:val="none" w:sz="0" w:space="0" w:color="auto"/>
        <w:bottom w:val="none" w:sz="0" w:space="0" w:color="auto"/>
        <w:right w:val="none" w:sz="0" w:space="0" w:color="auto"/>
      </w:divBdr>
    </w:div>
    <w:div w:id="1880775280">
      <w:bodyDiv w:val="1"/>
      <w:marLeft w:val="0"/>
      <w:marRight w:val="0"/>
      <w:marTop w:val="0"/>
      <w:marBottom w:val="0"/>
      <w:divBdr>
        <w:top w:val="none" w:sz="0" w:space="0" w:color="auto"/>
        <w:left w:val="none" w:sz="0" w:space="0" w:color="auto"/>
        <w:bottom w:val="none" w:sz="0" w:space="0" w:color="auto"/>
        <w:right w:val="none" w:sz="0" w:space="0" w:color="auto"/>
      </w:divBdr>
    </w:div>
    <w:div w:id="1885099748">
      <w:bodyDiv w:val="1"/>
      <w:marLeft w:val="0"/>
      <w:marRight w:val="0"/>
      <w:marTop w:val="0"/>
      <w:marBottom w:val="0"/>
      <w:divBdr>
        <w:top w:val="none" w:sz="0" w:space="0" w:color="auto"/>
        <w:left w:val="none" w:sz="0" w:space="0" w:color="auto"/>
        <w:bottom w:val="none" w:sz="0" w:space="0" w:color="auto"/>
        <w:right w:val="none" w:sz="0" w:space="0" w:color="auto"/>
      </w:divBdr>
    </w:div>
    <w:div w:id="1885603677">
      <w:bodyDiv w:val="1"/>
      <w:marLeft w:val="0"/>
      <w:marRight w:val="0"/>
      <w:marTop w:val="0"/>
      <w:marBottom w:val="0"/>
      <w:divBdr>
        <w:top w:val="none" w:sz="0" w:space="0" w:color="auto"/>
        <w:left w:val="none" w:sz="0" w:space="0" w:color="auto"/>
        <w:bottom w:val="none" w:sz="0" w:space="0" w:color="auto"/>
        <w:right w:val="none" w:sz="0" w:space="0" w:color="auto"/>
      </w:divBdr>
    </w:div>
    <w:div w:id="1886216615">
      <w:bodyDiv w:val="1"/>
      <w:marLeft w:val="0"/>
      <w:marRight w:val="0"/>
      <w:marTop w:val="0"/>
      <w:marBottom w:val="0"/>
      <w:divBdr>
        <w:top w:val="none" w:sz="0" w:space="0" w:color="auto"/>
        <w:left w:val="none" w:sz="0" w:space="0" w:color="auto"/>
        <w:bottom w:val="none" w:sz="0" w:space="0" w:color="auto"/>
        <w:right w:val="none" w:sz="0" w:space="0" w:color="auto"/>
      </w:divBdr>
    </w:div>
    <w:div w:id="188672060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890218333">
      <w:bodyDiv w:val="1"/>
      <w:marLeft w:val="0"/>
      <w:marRight w:val="0"/>
      <w:marTop w:val="0"/>
      <w:marBottom w:val="0"/>
      <w:divBdr>
        <w:top w:val="none" w:sz="0" w:space="0" w:color="auto"/>
        <w:left w:val="none" w:sz="0" w:space="0" w:color="auto"/>
        <w:bottom w:val="none" w:sz="0" w:space="0" w:color="auto"/>
        <w:right w:val="none" w:sz="0" w:space="0" w:color="auto"/>
      </w:divBdr>
    </w:div>
    <w:div w:id="1890260226">
      <w:bodyDiv w:val="1"/>
      <w:marLeft w:val="0"/>
      <w:marRight w:val="0"/>
      <w:marTop w:val="0"/>
      <w:marBottom w:val="0"/>
      <w:divBdr>
        <w:top w:val="none" w:sz="0" w:space="0" w:color="auto"/>
        <w:left w:val="none" w:sz="0" w:space="0" w:color="auto"/>
        <w:bottom w:val="none" w:sz="0" w:space="0" w:color="auto"/>
        <w:right w:val="none" w:sz="0" w:space="0" w:color="auto"/>
      </w:divBdr>
    </w:div>
    <w:div w:id="1891726134">
      <w:bodyDiv w:val="1"/>
      <w:marLeft w:val="0"/>
      <w:marRight w:val="0"/>
      <w:marTop w:val="0"/>
      <w:marBottom w:val="0"/>
      <w:divBdr>
        <w:top w:val="none" w:sz="0" w:space="0" w:color="auto"/>
        <w:left w:val="none" w:sz="0" w:space="0" w:color="auto"/>
        <w:bottom w:val="none" w:sz="0" w:space="0" w:color="auto"/>
        <w:right w:val="none" w:sz="0" w:space="0" w:color="auto"/>
      </w:divBdr>
    </w:div>
    <w:div w:id="1892577073">
      <w:bodyDiv w:val="1"/>
      <w:marLeft w:val="0"/>
      <w:marRight w:val="0"/>
      <w:marTop w:val="0"/>
      <w:marBottom w:val="0"/>
      <w:divBdr>
        <w:top w:val="none" w:sz="0" w:space="0" w:color="auto"/>
        <w:left w:val="none" w:sz="0" w:space="0" w:color="auto"/>
        <w:bottom w:val="none" w:sz="0" w:space="0" w:color="auto"/>
        <w:right w:val="none" w:sz="0" w:space="0" w:color="auto"/>
      </w:divBdr>
    </w:div>
    <w:div w:id="1898122884">
      <w:bodyDiv w:val="1"/>
      <w:marLeft w:val="0"/>
      <w:marRight w:val="0"/>
      <w:marTop w:val="0"/>
      <w:marBottom w:val="0"/>
      <w:divBdr>
        <w:top w:val="none" w:sz="0" w:space="0" w:color="auto"/>
        <w:left w:val="none" w:sz="0" w:space="0" w:color="auto"/>
        <w:bottom w:val="none" w:sz="0" w:space="0" w:color="auto"/>
        <w:right w:val="none" w:sz="0" w:space="0" w:color="auto"/>
      </w:divBdr>
    </w:div>
    <w:div w:id="1898659034">
      <w:bodyDiv w:val="1"/>
      <w:marLeft w:val="0"/>
      <w:marRight w:val="0"/>
      <w:marTop w:val="0"/>
      <w:marBottom w:val="0"/>
      <w:divBdr>
        <w:top w:val="none" w:sz="0" w:space="0" w:color="auto"/>
        <w:left w:val="none" w:sz="0" w:space="0" w:color="auto"/>
        <w:bottom w:val="none" w:sz="0" w:space="0" w:color="auto"/>
        <w:right w:val="none" w:sz="0" w:space="0" w:color="auto"/>
      </w:divBdr>
    </w:div>
    <w:div w:id="1898665571">
      <w:bodyDiv w:val="1"/>
      <w:marLeft w:val="0"/>
      <w:marRight w:val="0"/>
      <w:marTop w:val="0"/>
      <w:marBottom w:val="0"/>
      <w:divBdr>
        <w:top w:val="none" w:sz="0" w:space="0" w:color="auto"/>
        <w:left w:val="none" w:sz="0" w:space="0" w:color="auto"/>
        <w:bottom w:val="none" w:sz="0" w:space="0" w:color="auto"/>
        <w:right w:val="none" w:sz="0" w:space="0" w:color="auto"/>
      </w:divBdr>
    </w:div>
    <w:div w:id="1898734808">
      <w:bodyDiv w:val="1"/>
      <w:marLeft w:val="0"/>
      <w:marRight w:val="0"/>
      <w:marTop w:val="0"/>
      <w:marBottom w:val="0"/>
      <w:divBdr>
        <w:top w:val="none" w:sz="0" w:space="0" w:color="auto"/>
        <w:left w:val="none" w:sz="0" w:space="0" w:color="auto"/>
        <w:bottom w:val="none" w:sz="0" w:space="0" w:color="auto"/>
        <w:right w:val="none" w:sz="0" w:space="0" w:color="auto"/>
      </w:divBdr>
    </w:div>
    <w:div w:id="1900314066">
      <w:bodyDiv w:val="1"/>
      <w:marLeft w:val="0"/>
      <w:marRight w:val="0"/>
      <w:marTop w:val="0"/>
      <w:marBottom w:val="0"/>
      <w:divBdr>
        <w:top w:val="none" w:sz="0" w:space="0" w:color="auto"/>
        <w:left w:val="none" w:sz="0" w:space="0" w:color="auto"/>
        <w:bottom w:val="none" w:sz="0" w:space="0" w:color="auto"/>
        <w:right w:val="none" w:sz="0" w:space="0" w:color="auto"/>
      </w:divBdr>
    </w:div>
    <w:div w:id="1902398352">
      <w:bodyDiv w:val="1"/>
      <w:marLeft w:val="0"/>
      <w:marRight w:val="0"/>
      <w:marTop w:val="0"/>
      <w:marBottom w:val="0"/>
      <w:divBdr>
        <w:top w:val="none" w:sz="0" w:space="0" w:color="auto"/>
        <w:left w:val="none" w:sz="0" w:space="0" w:color="auto"/>
        <w:bottom w:val="none" w:sz="0" w:space="0" w:color="auto"/>
        <w:right w:val="none" w:sz="0" w:space="0" w:color="auto"/>
      </w:divBdr>
    </w:div>
    <w:div w:id="1902475049">
      <w:bodyDiv w:val="1"/>
      <w:marLeft w:val="0"/>
      <w:marRight w:val="0"/>
      <w:marTop w:val="0"/>
      <w:marBottom w:val="0"/>
      <w:divBdr>
        <w:top w:val="none" w:sz="0" w:space="0" w:color="auto"/>
        <w:left w:val="none" w:sz="0" w:space="0" w:color="auto"/>
        <w:bottom w:val="none" w:sz="0" w:space="0" w:color="auto"/>
        <w:right w:val="none" w:sz="0" w:space="0" w:color="auto"/>
      </w:divBdr>
    </w:div>
    <w:div w:id="1903101776">
      <w:bodyDiv w:val="1"/>
      <w:marLeft w:val="0"/>
      <w:marRight w:val="0"/>
      <w:marTop w:val="0"/>
      <w:marBottom w:val="0"/>
      <w:divBdr>
        <w:top w:val="none" w:sz="0" w:space="0" w:color="auto"/>
        <w:left w:val="none" w:sz="0" w:space="0" w:color="auto"/>
        <w:bottom w:val="none" w:sz="0" w:space="0" w:color="auto"/>
        <w:right w:val="none" w:sz="0" w:space="0" w:color="auto"/>
      </w:divBdr>
    </w:div>
    <w:div w:id="1904024181">
      <w:bodyDiv w:val="1"/>
      <w:marLeft w:val="0"/>
      <w:marRight w:val="0"/>
      <w:marTop w:val="0"/>
      <w:marBottom w:val="0"/>
      <w:divBdr>
        <w:top w:val="none" w:sz="0" w:space="0" w:color="auto"/>
        <w:left w:val="none" w:sz="0" w:space="0" w:color="auto"/>
        <w:bottom w:val="none" w:sz="0" w:space="0" w:color="auto"/>
        <w:right w:val="none" w:sz="0" w:space="0" w:color="auto"/>
      </w:divBdr>
    </w:div>
    <w:div w:id="1904681134">
      <w:bodyDiv w:val="1"/>
      <w:marLeft w:val="0"/>
      <w:marRight w:val="0"/>
      <w:marTop w:val="0"/>
      <w:marBottom w:val="0"/>
      <w:divBdr>
        <w:top w:val="none" w:sz="0" w:space="0" w:color="auto"/>
        <w:left w:val="none" w:sz="0" w:space="0" w:color="auto"/>
        <w:bottom w:val="none" w:sz="0" w:space="0" w:color="auto"/>
        <w:right w:val="none" w:sz="0" w:space="0" w:color="auto"/>
      </w:divBdr>
    </w:div>
    <w:div w:id="1908956642">
      <w:bodyDiv w:val="1"/>
      <w:marLeft w:val="0"/>
      <w:marRight w:val="0"/>
      <w:marTop w:val="0"/>
      <w:marBottom w:val="0"/>
      <w:divBdr>
        <w:top w:val="none" w:sz="0" w:space="0" w:color="auto"/>
        <w:left w:val="none" w:sz="0" w:space="0" w:color="auto"/>
        <w:bottom w:val="none" w:sz="0" w:space="0" w:color="auto"/>
        <w:right w:val="none" w:sz="0" w:space="0" w:color="auto"/>
      </w:divBdr>
    </w:div>
    <w:div w:id="1910992284">
      <w:bodyDiv w:val="1"/>
      <w:marLeft w:val="0"/>
      <w:marRight w:val="0"/>
      <w:marTop w:val="0"/>
      <w:marBottom w:val="0"/>
      <w:divBdr>
        <w:top w:val="none" w:sz="0" w:space="0" w:color="auto"/>
        <w:left w:val="none" w:sz="0" w:space="0" w:color="auto"/>
        <w:bottom w:val="none" w:sz="0" w:space="0" w:color="auto"/>
        <w:right w:val="none" w:sz="0" w:space="0" w:color="auto"/>
      </w:divBdr>
    </w:div>
    <w:div w:id="1913545875">
      <w:bodyDiv w:val="1"/>
      <w:marLeft w:val="0"/>
      <w:marRight w:val="0"/>
      <w:marTop w:val="0"/>
      <w:marBottom w:val="0"/>
      <w:divBdr>
        <w:top w:val="none" w:sz="0" w:space="0" w:color="auto"/>
        <w:left w:val="none" w:sz="0" w:space="0" w:color="auto"/>
        <w:bottom w:val="none" w:sz="0" w:space="0" w:color="auto"/>
        <w:right w:val="none" w:sz="0" w:space="0" w:color="auto"/>
      </w:divBdr>
    </w:div>
    <w:div w:id="1917007894">
      <w:bodyDiv w:val="1"/>
      <w:marLeft w:val="0"/>
      <w:marRight w:val="0"/>
      <w:marTop w:val="0"/>
      <w:marBottom w:val="0"/>
      <w:divBdr>
        <w:top w:val="none" w:sz="0" w:space="0" w:color="auto"/>
        <w:left w:val="none" w:sz="0" w:space="0" w:color="auto"/>
        <w:bottom w:val="none" w:sz="0" w:space="0" w:color="auto"/>
        <w:right w:val="none" w:sz="0" w:space="0" w:color="auto"/>
      </w:divBdr>
    </w:div>
    <w:div w:id="1925726625">
      <w:bodyDiv w:val="1"/>
      <w:marLeft w:val="0"/>
      <w:marRight w:val="0"/>
      <w:marTop w:val="0"/>
      <w:marBottom w:val="0"/>
      <w:divBdr>
        <w:top w:val="none" w:sz="0" w:space="0" w:color="auto"/>
        <w:left w:val="none" w:sz="0" w:space="0" w:color="auto"/>
        <w:bottom w:val="none" w:sz="0" w:space="0" w:color="auto"/>
        <w:right w:val="none" w:sz="0" w:space="0" w:color="auto"/>
      </w:divBdr>
    </w:div>
    <w:div w:id="1927424167">
      <w:bodyDiv w:val="1"/>
      <w:marLeft w:val="0"/>
      <w:marRight w:val="0"/>
      <w:marTop w:val="0"/>
      <w:marBottom w:val="0"/>
      <w:divBdr>
        <w:top w:val="none" w:sz="0" w:space="0" w:color="auto"/>
        <w:left w:val="none" w:sz="0" w:space="0" w:color="auto"/>
        <w:bottom w:val="none" w:sz="0" w:space="0" w:color="auto"/>
        <w:right w:val="none" w:sz="0" w:space="0" w:color="auto"/>
      </w:divBdr>
    </w:div>
    <w:div w:id="1930305065">
      <w:bodyDiv w:val="1"/>
      <w:marLeft w:val="0"/>
      <w:marRight w:val="0"/>
      <w:marTop w:val="0"/>
      <w:marBottom w:val="0"/>
      <w:divBdr>
        <w:top w:val="none" w:sz="0" w:space="0" w:color="auto"/>
        <w:left w:val="none" w:sz="0" w:space="0" w:color="auto"/>
        <w:bottom w:val="none" w:sz="0" w:space="0" w:color="auto"/>
        <w:right w:val="none" w:sz="0" w:space="0" w:color="auto"/>
      </w:divBdr>
    </w:div>
    <w:div w:id="1931307490">
      <w:bodyDiv w:val="1"/>
      <w:marLeft w:val="0"/>
      <w:marRight w:val="0"/>
      <w:marTop w:val="0"/>
      <w:marBottom w:val="0"/>
      <w:divBdr>
        <w:top w:val="none" w:sz="0" w:space="0" w:color="auto"/>
        <w:left w:val="none" w:sz="0" w:space="0" w:color="auto"/>
        <w:bottom w:val="none" w:sz="0" w:space="0" w:color="auto"/>
        <w:right w:val="none" w:sz="0" w:space="0" w:color="auto"/>
      </w:divBdr>
    </w:div>
    <w:div w:id="1932007464">
      <w:bodyDiv w:val="1"/>
      <w:marLeft w:val="0"/>
      <w:marRight w:val="0"/>
      <w:marTop w:val="0"/>
      <w:marBottom w:val="0"/>
      <w:divBdr>
        <w:top w:val="none" w:sz="0" w:space="0" w:color="auto"/>
        <w:left w:val="none" w:sz="0" w:space="0" w:color="auto"/>
        <w:bottom w:val="none" w:sz="0" w:space="0" w:color="auto"/>
        <w:right w:val="none" w:sz="0" w:space="0" w:color="auto"/>
      </w:divBdr>
    </w:div>
    <w:div w:id="1935085735">
      <w:bodyDiv w:val="1"/>
      <w:marLeft w:val="0"/>
      <w:marRight w:val="0"/>
      <w:marTop w:val="0"/>
      <w:marBottom w:val="0"/>
      <w:divBdr>
        <w:top w:val="none" w:sz="0" w:space="0" w:color="auto"/>
        <w:left w:val="none" w:sz="0" w:space="0" w:color="auto"/>
        <w:bottom w:val="none" w:sz="0" w:space="0" w:color="auto"/>
        <w:right w:val="none" w:sz="0" w:space="0" w:color="auto"/>
      </w:divBdr>
    </w:div>
    <w:div w:id="1935359952">
      <w:bodyDiv w:val="1"/>
      <w:marLeft w:val="0"/>
      <w:marRight w:val="0"/>
      <w:marTop w:val="0"/>
      <w:marBottom w:val="0"/>
      <w:divBdr>
        <w:top w:val="none" w:sz="0" w:space="0" w:color="auto"/>
        <w:left w:val="none" w:sz="0" w:space="0" w:color="auto"/>
        <w:bottom w:val="none" w:sz="0" w:space="0" w:color="auto"/>
        <w:right w:val="none" w:sz="0" w:space="0" w:color="auto"/>
      </w:divBdr>
    </w:div>
    <w:div w:id="1936982516">
      <w:bodyDiv w:val="1"/>
      <w:marLeft w:val="0"/>
      <w:marRight w:val="0"/>
      <w:marTop w:val="0"/>
      <w:marBottom w:val="0"/>
      <w:divBdr>
        <w:top w:val="none" w:sz="0" w:space="0" w:color="auto"/>
        <w:left w:val="none" w:sz="0" w:space="0" w:color="auto"/>
        <w:bottom w:val="none" w:sz="0" w:space="0" w:color="auto"/>
        <w:right w:val="none" w:sz="0" w:space="0" w:color="auto"/>
      </w:divBdr>
    </w:div>
    <w:div w:id="1937401360">
      <w:bodyDiv w:val="1"/>
      <w:marLeft w:val="0"/>
      <w:marRight w:val="0"/>
      <w:marTop w:val="0"/>
      <w:marBottom w:val="0"/>
      <w:divBdr>
        <w:top w:val="none" w:sz="0" w:space="0" w:color="auto"/>
        <w:left w:val="none" w:sz="0" w:space="0" w:color="auto"/>
        <w:bottom w:val="none" w:sz="0" w:space="0" w:color="auto"/>
        <w:right w:val="none" w:sz="0" w:space="0" w:color="auto"/>
      </w:divBdr>
    </w:div>
    <w:div w:id="1938170193">
      <w:bodyDiv w:val="1"/>
      <w:marLeft w:val="0"/>
      <w:marRight w:val="0"/>
      <w:marTop w:val="0"/>
      <w:marBottom w:val="0"/>
      <w:divBdr>
        <w:top w:val="none" w:sz="0" w:space="0" w:color="auto"/>
        <w:left w:val="none" w:sz="0" w:space="0" w:color="auto"/>
        <w:bottom w:val="none" w:sz="0" w:space="0" w:color="auto"/>
        <w:right w:val="none" w:sz="0" w:space="0" w:color="auto"/>
      </w:divBdr>
    </w:div>
    <w:div w:id="1939944805">
      <w:bodyDiv w:val="1"/>
      <w:marLeft w:val="0"/>
      <w:marRight w:val="0"/>
      <w:marTop w:val="0"/>
      <w:marBottom w:val="0"/>
      <w:divBdr>
        <w:top w:val="none" w:sz="0" w:space="0" w:color="auto"/>
        <w:left w:val="none" w:sz="0" w:space="0" w:color="auto"/>
        <w:bottom w:val="none" w:sz="0" w:space="0" w:color="auto"/>
        <w:right w:val="none" w:sz="0" w:space="0" w:color="auto"/>
      </w:divBdr>
    </w:div>
    <w:div w:id="1940528425">
      <w:bodyDiv w:val="1"/>
      <w:marLeft w:val="0"/>
      <w:marRight w:val="0"/>
      <w:marTop w:val="0"/>
      <w:marBottom w:val="0"/>
      <w:divBdr>
        <w:top w:val="none" w:sz="0" w:space="0" w:color="auto"/>
        <w:left w:val="none" w:sz="0" w:space="0" w:color="auto"/>
        <w:bottom w:val="none" w:sz="0" w:space="0" w:color="auto"/>
        <w:right w:val="none" w:sz="0" w:space="0" w:color="auto"/>
      </w:divBdr>
    </w:div>
    <w:div w:id="1941790049">
      <w:bodyDiv w:val="1"/>
      <w:marLeft w:val="0"/>
      <w:marRight w:val="0"/>
      <w:marTop w:val="0"/>
      <w:marBottom w:val="0"/>
      <w:divBdr>
        <w:top w:val="none" w:sz="0" w:space="0" w:color="auto"/>
        <w:left w:val="none" w:sz="0" w:space="0" w:color="auto"/>
        <w:bottom w:val="none" w:sz="0" w:space="0" w:color="auto"/>
        <w:right w:val="none" w:sz="0" w:space="0" w:color="auto"/>
      </w:divBdr>
    </w:div>
    <w:div w:id="1941912930">
      <w:bodyDiv w:val="1"/>
      <w:marLeft w:val="0"/>
      <w:marRight w:val="0"/>
      <w:marTop w:val="0"/>
      <w:marBottom w:val="0"/>
      <w:divBdr>
        <w:top w:val="none" w:sz="0" w:space="0" w:color="auto"/>
        <w:left w:val="none" w:sz="0" w:space="0" w:color="auto"/>
        <w:bottom w:val="none" w:sz="0" w:space="0" w:color="auto"/>
        <w:right w:val="none" w:sz="0" w:space="0" w:color="auto"/>
      </w:divBdr>
    </w:div>
    <w:div w:id="1942689008">
      <w:bodyDiv w:val="1"/>
      <w:marLeft w:val="0"/>
      <w:marRight w:val="0"/>
      <w:marTop w:val="0"/>
      <w:marBottom w:val="0"/>
      <w:divBdr>
        <w:top w:val="none" w:sz="0" w:space="0" w:color="auto"/>
        <w:left w:val="none" w:sz="0" w:space="0" w:color="auto"/>
        <w:bottom w:val="none" w:sz="0" w:space="0" w:color="auto"/>
        <w:right w:val="none" w:sz="0" w:space="0" w:color="auto"/>
      </w:divBdr>
    </w:div>
    <w:div w:id="1943759337">
      <w:bodyDiv w:val="1"/>
      <w:marLeft w:val="0"/>
      <w:marRight w:val="0"/>
      <w:marTop w:val="0"/>
      <w:marBottom w:val="0"/>
      <w:divBdr>
        <w:top w:val="none" w:sz="0" w:space="0" w:color="auto"/>
        <w:left w:val="none" w:sz="0" w:space="0" w:color="auto"/>
        <w:bottom w:val="none" w:sz="0" w:space="0" w:color="auto"/>
        <w:right w:val="none" w:sz="0" w:space="0" w:color="auto"/>
      </w:divBdr>
    </w:div>
    <w:div w:id="1947695151">
      <w:bodyDiv w:val="1"/>
      <w:marLeft w:val="0"/>
      <w:marRight w:val="0"/>
      <w:marTop w:val="0"/>
      <w:marBottom w:val="0"/>
      <w:divBdr>
        <w:top w:val="none" w:sz="0" w:space="0" w:color="auto"/>
        <w:left w:val="none" w:sz="0" w:space="0" w:color="auto"/>
        <w:bottom w:val="none" w:sz="0" w:space="0" w:color="auto"/>
        <w:right w:val="none" w:sz="0" w:space="0" w:color="auto"/>
      </w:divBdr>
    </w:div>
    <w:div w:id="1949968693">
      <w:bodyDiv w:val="1"/>
      <w:marLeft w:val="0"/>
      <w:marRight w:val="0"/>
      <w:marTop w:val="0"/>
      <w:marBottom w:val="0"/>
      <w:divBdr>
        <w:top w:val="none" w:sz="0" w:space="0" w:color="auto"/>
        <w:left w:val="none" w:sz="0" w:space="0" w:color="auto"/>
        <w:bottom w:val="none" w:sz="0" w:space="0" w:color="auto"/>
        <w:right w:val="none" w:sz="0" w:space="0" w:color="auto"/>
      </w:divBdr>
    </w:div>
    <w:div w:id="1950964580">
      <w:bodyDiv w:val="1"/>
      <w:marLeft w:val="0"/>
      <w:marRight w:val="0"/>
      <w:marTop w:val="0"/>
      <w:marBottom w:val="0"/>
      <w:divBdr>
        <w:top w:val="none" w:sz="0" w:space="0" w:color="auto"/>
        <w:left w:val="none" w:sz="0" w:space="0" w:color="auto"/>
        <w:bottom w:val="none" w:sz="0" w:space="0" w:color="auto"/>
        <w:right w:val="none" w:sz="0" w:space="0" w:color="auto"/>
      </w:divBdr>
    </w:div>
    <w:div w:id="1952007692">
      <w:bodyDiv w:val="1"/>
      <w:marLeft w:val="0"/>
      <w:marRight w:val="0"/>
      <w:marTop w:val="0"/>
      <w:marBottom w:val="0"/>
      <w:divBdr>
        <w:top w:val="none" w:sz="0" w:space="0" w:color="auto"/>
        <w:left w:val="none" w:sz="0" w:space="0" w:color="auto"/>
        <w:bottom w:val="none" w:sz="0" w:space="0" w:color="auto"/>
        <w:right w:val="none" w:sz="0" w:space="0" w:color="auto"/>
      </w:divBdr>
    </w:div>
    <w:div w:id="1956406164">
      <w:bodyDiv w:val="1"/>
      <w:marLeft w:val="0"/>
      <w:marRight w:val="0"/>
      <w:marTop w:val="0"/>
      <w:marBottom w:val="0"/>
      <w:divBdr>
        <w:top w:val="none" w:sz="0" w:space="0" w:color="auto"/>
        <w:left w:val="none" w:sz="0" w:space="0" w:color="auto"/>
        <w:bottom w:val="none" w:sz="0" w:space="0" w:color="auto"/>
        <w:right w:val="none" w:sz="0" w:space="0" w:color="auto"/>
      </w:divBdr>
    </w:div>
    <w:div w:id="1959607255">
      <w:bodyDiv w:val="1"/>
      <w:marLeft w:val="0"/>
      <w:marRight w:val="0"/>
      <w:marTop w:val="0"/>
      <w:marBottom w:val="0"/>
      <w:divBdr>
        <w:top w:val="none" w:sz="0" w:space="0" w:color="auto"/>
        <w:left w:val="none" w:sz="0" w:space="0" w:color="auto"/>
        <w:bottom w:val="none" w:sz="0" w:space="0" w:color="auto"/>
        <w:right w:val="none" w:sz="0" w:space="0" w:color="auto"/>
      </w:divBdr>
    </w:div>
    <w:div w:id="1959675063">
      <w:bodyDiv w:val="1"/>
      <w:marLeft w:val="0"/>
      <w:marRight w:val="0"/>
      <w:marTop w:val="0"/>
      <w:marBottom w:val="0"/>
      <w:divBdr>
        <w:top w:val="none" w:sz="0" w:space="0" w:color="auto"/>
        <w:left w:val="none" w:sz="0" w:space="0" w:color="auto"/>
        <w:bottom w:val="none" w:sz="0" w:space="0" w:color="auto"/>
        <w:right w:val="none" w:sz="0" w:space="0" w:color="auto"/>
      </w:divBdr>
    </w:div>
    <w:div w:id="1962373986">
      <w:bodyDiv w:val="1"/>
      <w:marLeft w:val="0"/>
      <w:marRight w:val="0"/>
      <w:marTop w:val="0"/>
      <w:marBottom w:val="0"/>
      <w:divBdr>
        <w:top w:val="none" w:sz="0" w:space="0" w:color="auto"/>
        <w:left w:val="none" w:sz="0" w:space="0" w:color="auto"/>
        <w:bottom w:val="none" w:sz="0" w:space="0" w:color="auto"/>
        <w:right w:val="none" w:sz="0" w:space="0" w:color="auto"/>
      </w:divBdr>
    </w:div>
    <w:div w:id="1966736310">
      <w:bodyDiv w:val="1"/>
      <w:marLeft w:val="0"/>
      <w:marRight w:val="0"/>
      <w:marTop w:val="0"/>
      <w:marBottom w:val="0"/>
      <w:divBdr>
        <w:top w:val="none" w:sz="0" w:space="0" w:color="auto"/>
        <w:left w:val="none" w:sz="0" w:space="0" w:color="auto"/>
        <w:bottom w:val="none" w:sz="0" w:space="0" w:color="auto"/>
        <w:right w:val="none" w:sz="0" w:space="0" w:color="auto"/>
      </w:divBdr>
    </w:div>
    <w:div w:id="1967544295">
      <w:bodyDiv w:val="1"/>
      <w:marLeft w:val="0"/>
      <w:marRight w:val="0"/>
      <w:marTop w:val="0"/>
      <w:marBottom w:val="0"/>
      <w:divBdr>
        <w:top w:val="none" w:sz="0" w:space="0" w:color="auto"/>
        <w:left w:val="none" w:sz="0" w:space="0" w:color="auto"/>
        <w:bottom w:val="none" w:sz="0" w:space="0" w:color="auto"/>
        <w:right w:val="none" w:sz="0" w:space="0" w:color="auto"/>
      </w:divBdr>
    </w:div>
    <w:div w:id="1968464979">
      <w:bodyDiv w:val="1"/>
      <w:marLeft w:val="0"/>
      <w:marRight w:val="0"/>
      <w:marTop w:val="0"/>
      <w:marBottom w:val="0"/>
      <w:divBdr>
        <w:top w:val="none" w:sz="0" w:space="0" w:color="auto"/>
        <w:left w:val="none" w:sz="0" w:space="0" w:color="auto"/>
        <w:bottom w:val="none" w:sz="0" w:space="0" w:color="auto"/>
        <w:right w:val="none" w:sz="0" w:space="0" w:color="auto"/>
      </w:divBdr>
    </w:div>
    <w:div w:id="1969362095">
      <w:bodyDiv w:val="1"/>
      <w:marLeft w:val="0"/>
      <w:marRight w:val="0"/>
      <w:marTop w:val="0"/>
      <w:marBottom w:val="0"/>
      <w:divBdr>
        <w:top w:val="none" w:sz="0" w:space="0" w:color="auto"/>
        <w:left w:val="none" w:sz="0" w:space="0" w:color="auto"/>
        <w:bottom w:val="none" w:sz="0" w:space="0" w:color="auto"/>
        <w:right w:val="none" w:sz="0" w:space="0" w:color="auto"/>
      </w:divBdr>
    </w:div>
    <w:div w:id="1969428749">
      <w:bodyDiv w:val="1"/>
      <w:marLeft w:val="0"/>
      <w:marRight w:val="0"/>
      <w:marTop w:val="0"/>
      <w:marBottom w:val="0"/>
      <w:divBdr>
        <w:top w:val="none" w:sz="0" w:space="0" w:color="auto"/>
        <w:left w:val="none" w:sz="0" w:space="0" w:color="auto"/>
        <w:bottom w:val="none" w:sz="0" w:space="0" w:color="auto"/>
        <w:right w:val="none" w:sz="0" w:space="0" w:color="auto"/>
      </w:divBdr>
    </w:div>
    <w:div w:id="1969436059">
      <w:bodyDiv w:val="1"/>
      <w:marLeft w:val="0"/>
      <w:marRight w:val="0"/>
      <w:marTop w:val="0"/>
      <w:marBottom w:val="0"/>
      <w:divBdr>
        <w:top w:val="none" w:sz="0" w:space="0" w:color="auto"/>
        <w:left w:val="none" w:sz="0" w:space="0" w:color="auto"/>
        <w:bottom w:val="none" w:sz="0" w:space="0" w:color="auto"/>
        <w:right w:val="none" w:sz="0" w:space="0" w:color="auto"/>
      </w:divBdr>
    </w:div>
    <w:div w:id="1969697651">
      <w:bodyDiv w:val="1"/>
      <w:marLeft w:val="0"/>
      <w:marRight w:val="0"/>
      <w:marTop w:val="0"/>
      <w:marBottom w:val="0"/>
      <w:divBdr>
        <w:top w:val="none" w:sz="0" w:space="0" w:color="auto"/>
        <w:left w:val="none" w:sz="0" w:space="0" w:color="auto"/>
        <w:bottom w:val="none" w:sz="0" w:space="0" w:color="auto"/>
        <w:right w:val="none" w:sz="0" w:space="0" w:color="auto"/>
      </w:divBdr>
    </w:div>
    <w:div w:id="1969896676">
      <w:bodyDiv w:val="1"/>
      <w:marLeft w:val="0"/>
      <w:marRight w:val="0"/>
      <w:marTop w:val="0"/>
      <w:marBottom w:val="0"/>
      <w:divBdr>
        <w:top w:val="none" w:sz="0" w:space="0" w:color="auto"/>
        <w:left w:val="none" w:sz="0" w:space="0" w:color="auto"/>
        <w:bottom w:val="none" w:sz="0" w:space="0" w:color="auto"/>
        <w:right w:val="none" w:sz="0" w:space="0" w:color="auto"/>
      </w:divBdr>
    </w:div>
    <w:div w:id="1971856081">
      <w:bodyDiv w:val="1"/>
      <w:marLeft w:val="0"/>
      <w:marRight w:val="0"/>
      <w:marTop w:val="0"/>
      <w:marBottom w:val="0"/>
      <w:divBdr>
        <w:top w:val="none" w:sz="0" w:space="0" w:color="auto"/>
        <w:left w:val="none" w:sz="0" w:space="0" w:color="auto"/>
        <w:bottom w:val="none" w:sz="0" w:space="0" w:color="auto"/>
        <w:right w:val="none" w:sz="0" w:space="0" w:color="auto"/>
      </w:divBdr>
    </w:div>
    <w:div w:id="1981112560">
      <w:bodyDiv w:val="1"/>
      <w:marLeft w:val="0"/>
      <w:marRight w:val="0"/>
      <w:marTop w:val="0"/>
      <w:marBottom w:val="0"/>
      <w:divBdr>
        <w:top w:val="none" w:sz="0" w:space="0" w:color="auto"/>
        <w:left w:val="none" w:sz="0" w:space="0" w:color="auto"/>
        <w:bottom w:val="none" w:sz="0" w:space="0" w:color="auto"/>
        <w:right w:val="none" w:sz="0" w:space="0" w:color="auto"/>
      </w:divBdr>
    </w:div>
    <w:div w:id="1981225905">
      <w:bodyDiv w:val="1"/>
      <w:marLeft w:val="0"/>
      <w:marRight w:val="0"/>
      <w:marTop w:val="0"/>
      <w:marBottom w:val="0"/>
      <w:divBdr>
        <w:top w:val="none" w:sz="0" w:space="0" w:color="auto"/>
        <w:left w:val="none" w:sz="0" w:space="0" w:color="auto"/>
        <w:bottom w:val="none" w:sz="0" w:space="0" w:color="auto"/>
        <w:right w:val="none" w:sz="0" w:space="0" w:color="auto"/>
      </w:divBdr>
    </w:div>
    <w:div w:id="1982342765">
      <w:bodyDiv w:val="1"/>
      <w:marLeft w:val="0"/>
      <w:marRight w:val="0"/>
      <w:marTop w:val="0"/>
      <w:marBottom w:val="0"/>
      <w:divBdr>
        <w:top w:val="none" w:sz="0" w:space="0" w:color="auto"/>
        <w:left w:val="none" w:sz="0" w:space="0" w:color="auto"/>
        <w:bottom w:val="none" w:sz="0" w:space="0" w:color="auto"/>
        <w:right w:val="none" w:sz="0" w:space="0" w:color="auto"/>
      </w:divBdr>
    </w:div>
    <w:div w:id="1985351946">
      <w:bodyDiv w:val="1"/>
      <w:marLeft w:val="0"/>
      <w:marRight w:val="0"/>
      <w:marTop w:val="0"/>
      <w:marBottom w:val="0"/>
      <w:divBdr>
        <w:top w:val="none" w:sz="0" w:space="0" w:color="auto"/>
        <w:left w:val="none" w:sz="0" w:space="0" w:color="auto"/>
        <w:bottom w:val="none" w:sz="0" w:space="0" w:color="auto"/>
        <w:right w:val="none" w:sz="0" w:space="0" w:color="auto"/>
      </w:divBdr>
    </w:div>
    <w:div w:id="1985813671">
      <w:bodyDiv w:val="1"/>
      <w:marLeft w:val="0"/>
      <w:marRight w:val="0"/>
      <w:marTop w:val="0"/>
      <w:marBottom w:val="0"/>
      <w:divBdr>
        <w:top w:val="none" w:sz="0" w:space="0" w:color="auto"/>
        <w:left w:val="none" w:sz="0" w:space="0" w:color="auto"/>
        <w:bottom w:val="none" w:sz="0" w:space="0" w:color="auto"/>
        <w:right w:val="none" w:sz="0" w:space="0" w:color="auto"/>
      </w:divBdr>
    </w:div>
    <w:div w:id="1988048286">
      <w:bodyDiv w:val="1"/>
      <w:marLeft w:val="0"/>
      <w:marRight w:val="0"/>
      <w:marTop w:val="0"/>
      <w:marBottom w:val="0"/>
      <w:divBdr>
        <w:top w:val="none" w:sz="0" w:space="0" w:color="auto"/>
        <w:left w:val="none" w:sz="0" w:space="0" w:color="auto"/>
        <w:bottom w:val="none" w:sz="0" w:space="0" w:color="auto"/>
        <w:right w:val="none" w:sz="0" w:space="0" w:color="auto"/>
      </w:divBdr>
    </w:div>
    <w:div w:id="1988389829">
      <w:bodyDiv w:val="1"/>
      <w:marLeft w:val="0"/>
      <w:marRight w:val="0"/>
      <w:marTop w:val="0"/>
      <w:marBottom w:val="0"/>
      <w:divBdr>
        <w:top w:val="none" w:sz="0" w:space="0" w:color="auto"/>
        <w:left w:val="none" w:sz="0" w:space="0" w:color="auto"/>
        <w:bottom w:val="none" w:sz="0" w:space="0" w:color="auto"/>
        <w:right w:val="none" w:sz="0" w:space="0" w:color="auto"/>
      </w:divBdr>
    </w:div>
    <w:div w:id="1990016746">
      <w:bodyDiv w:val="1"/>
      <w:marLeft w:val="0"/>
      <w:marRight w:val="0"/>
      <w:marTop w:val="0"/>
      <w:marBottom w:val="0"/>
      <w:divBdr>
        <w:top w:val="none" w:sz="0" w:space="0" w:color="auto"/>
        <w:left w:val="none" w:sz="0" w:space="0" w:color="auto"/>
        <w:bottom w:val="none" w:sz="0" w:space="0" w:color="auto"/>
        <w:right w:val="none" w:sz="0" w:space="0" w:color="auto"/>
      </w:divBdr>
    </w:div>
    <w:div w:id="1990480269">
      <w:bodyDiv w:val="1"/>
      <w:marLeft w:val="0"/>
      <w:marRight w:val="0"/>
      <w:marTop w:val="0"/>
      <w:marBottom w:val="0"/>
      <w:divBdr>
        <w:top w:val="none" w:sz="0" w:space="0" w:color="auto"/>
        <w:left w:val="none" w:sz="0" w:space="0" w:color="auto"/>
        <w:bottom w:val="none" w:sz="0" w:space="0" w:color="auto"/>
        <w:right w:val="none" w:sz="0" w:space="0" w:color="auto"/>
      </w:divBdr>
    </w:div>
    <w:div w:id="1990554444">
      <w:bodyDiv w:val="1"/>
      <w:marLeft w:val="0"/>
      <w:marRight w:val="0"/>
      <w:marTop w:val="0"/>
      <w:marBottom w:val="0"/>
      <w:divBdr>
        <w:top w:val="none" w:sz="0" w:space="0" w:color="auto"/>
        <w:left w:val="none" w:sz="0" w:space="0" w:color="auto"/>
        <w:bottom w:val="none" w:sz="0" w:space="0" w:color="auto"/>
        <w:right w:val="none" w:sz="0" w:space="0" w:color="auto"/>
      </w:divBdr>
    </w:div>
    <w:div w:id="1990935014">
      <w:bodyDiv w:val="1"/>
      <w:marLeft w:val="0"/>
      <w:marRight w:val="0"/>
      <w:marTop w:val="0"/>
      <w:marBottom w:val="0"/>
      <w:divBdr>
        <w:top w:val="none" w:sz="0" w:space="0" w:color="auto"/>
        <w:left w:val="none" w:sz="0" w:space="0" w:color="auto"/>
        <w:bottom w:val="none" w:sz="0" w:space="0" w:color="auto"/>
        <w:right w:val="none" w:sz="0" w:space="0" w:color="auto"/>
      </w:divBdr>
    </w:div>
    <w:div w:id="1994480276">
      <w:bodyDiv w:val="1"/>
      <w:marLeft w:val="0"/>
      <w:marRight w:val="0"/>
      <w:marTop w:val="0"/>
      <w:marBottom w:val="0"/>
      <w:divBdr>
        <w:top w:val="none" w:sz="0" w:space="0" w:color="auto"/>
        <w:left w:val="none" w:sz="0" w:space="0" w:color="auto"/>
        <w:bottom w:val="none" w:sz="0" w:space="0" w:color="auto"/>
        <w:right w:val="none" w:sz="0" w:space="0" w:color="auto"/>
      </w:divBdr>
    </w:div>
    <w:div w:id="1995139363">
      <w:bodyDiv w:val="1"/>
      <w:marLeft w:val="0"/>
      <w:marRight w:val="0"/>
      <w:marTop w:val="0"/>
      <w:marBottom w:val="0"/>
      <w:divBdr>
        <w:top w:val="none" w:sz="0" w:space="0" w:color="auto"/>
        <w:left w:val="none" w:sz="0" w:space="0" w:color="auto"/>
        <w:bottom w:val="none" w:sz="0" w:space="0" w:color="auto"/>
        <w:right w:val="none" w:sz="0" w:space="0" w:color="auto"/>
      </w:divBdr>
    </w:div>
    <w:div w:id="1996110063">
      <w:bodyDiv w:val="1"/>
      <w:marLeft w:val="0"/>
      <w:marRight w:val="0"/>
      <w:marTop w:val="0"/>
      <w:marBottom w:val="0"/>
      <w:divBdr>
        <w:top w:val="none" w:sz="0" w:space="0" w:color="auto"/>
        <w:left w:val="none" w:sz="0" w:space="0" w:color="auto"/>
        <w:bottom w:val="none" w:sz="0" w:space="0" w:color="auto"/>
        <w:right w:val="none" w:sz="0" w:space="0" w:color="auto"/>
      </w:divBdr>
    </w:div>
    <w:div w:id="1997147385">
      <w:bodyDiv w:val="1"/>
      <w:marLeft w:val="0"/>
      <w:marRight w:val="0"/>
      <w:marTop w:val="0"/>
      <w:marBottom w:val="0"/>
      <w:divBdr>
        <w:top w:val="none" w:sz="0" w:space="0" w:color="auto"/>
        <w:left w:val="none" w:sz="0" w:space="0" w:color="auto"/>
        <w:bottom w:val="none" w:sz="0" w:space="0" w:color="auto"/>
        <w:right w:val="none" w:sz="0" w:space="0" w:color="auto"/>
      </w:divBdr>
    </w:div>
    <w:div w:id="1997610626">
      <w:bodyDiv w:val="1"/>
      <w:marLeft w:val="0"/>
      <w:marRight w:val="0"/>
      <w:marTop w:val="0"/>
      <w:marBottom w:val="0"/>
      <w:divBdr>
        <w:top w:val="none" w:sz="0" w:space="0" w:color="auto"/>
        <w:left w:val="none" w:sz="0" w:space="0" w:color="auto"/>
        <w:bottom w:val="none" w:sz="0" w:space="0" w:color="auto"/>
        <w:right w:val="none" w:sz="0" w:space="0" w:color="auto"/>
      </w:divBdr>
    </w:div>
    <w:div w:id="1998727703">
      <w:bodyDiv w:val="1"/>
      <w:marLeft w:val="0"/>
      <w:marRight w:val="0"/>
      <w:marTop w:val="0"/>
      <w:marBottom w:val="0"/>
      <w:divBdr>
        <w:top w:val="none" w:sz="0" w:space="0" w:color="auto"/>
        <w:left w:val="none" w:sz="0" w:space="0" w:color="auto"/>
        <w:bottom w:val="none" w:sz="0" w:space="0" w:color="auto"/>
        <w:right w:val="none" w:sz="0" w:space="0" w:color="auto"/>
      </w:divBdr>
    </w:div>
    <w:div w:id="2001536596">
      <w:bodyDiv w:val="1"/>
      <w:marLeft w:val="0"/>
      <w:marRight w:val="0"/>
      <w:marTop w:val="0"/>
      <w:marBottom w:val="0"/>
      <w:divBdr>
        <w:top w:val="none" w:sz="0" w:space="0" w:color="auto"/>
        <w:left w:val="none" w:sz="0" w:space="0" w:color="auto"/>
        <w:bottom w:val="none" w:sz="0" w:space="0" w:color="auto"/>
        <w:right w:val="none" w:sz="0" w:space="0" w:color="auto"/>
      </w:divBdr>
    </w:div>
    <w:div w:id="2001931494">
      <w:bodyDiv w:val="1"/>
      <w:marLeft w:val="0"/>
      <w:marRight w:val="0"/>
      <w:marTop w:val="0"/>
      <w:marBottom w:val="0"/>
      <w:divBdr>
        <w:top w:val="none" w:sz="0" w:space="0" w:color="auto"/>
        <w:left w:val="none" w:sz="0" w:space="0" w:color="auto"/>
        <w:bottom w:val="none" w:sz="0" w:space="0" w:color="auto"/>
        <w:right w:val="none" w:sz="0" w:space="0" w:color="auto"/>
      </w:divBdr>
    </w:div>
    <w:div w:id="2002077725">
      <w:bodyDiv w:val="1"/>
      <w:marLeft w:val="0"/>
      <w:marRight w:val="0"/>
      <w:marTop w:val="0"/>
      <w:marBottom w:val="0"/>
      <w:divBdr>
        <w:top w:val="none" w:sz="0" w:space="0" w:color="auto"/>
        <w:left w:val="none" w:sz="0" w:space="0" w:color="auto"/>
        <w:bottom w:val="none" w:sz="0" w:space="0" w:color="auto"/>
        <w:right w:val="none" w:sz="0" w:space="0" w:color="auto"/>
      </w:divBdr>
    </w:div>
    <w:div w:id="2004238859">
      <w:bodyDiv w:val="1"/>
      <w:marLeft w:val="0"/>
      <w:marRight w:val="0"/>
      <w:marTop w:val="0"/>
      <w:marBottom w:val="0"/>
      <w:divBdr>
        <w:top w:val="none" w:sz="0" w:space="0" w:color="auto"/>
        <w:left w:val="none" w:sz="0" w:space="0" w:color="auto"/>
        <w:bottom w:val="none" w:sz="0" w:space="0" w:color="auto"/>
        <w:right w:val="none" w:sz="0" w:space="0" w:color="auto"/>
      </w:divBdr>
    </w:div>
    <w:div w:id="2004427833">
      <w:bodyDiv w:val="1"/>
      <w:marLeft w:val="0"/>
      <w:marRight w:val="0"/>
      <w:marTop w:val="0"/>
      <w:marBottom w:val="0"/>
      <w:divBdr>
        <w:top w:val="none" w:sz="0" w:space="0" w:color="auto"/>
        <w:left w:val="none" w:sz="0" w:space="0" w:color="auto"/>
        <w:bottom w:val="none" w:sz="0" w:space="0" w:color="auto"/>
        <w:right w:val="none" w:sz="0" w:space="0" w:color="auto"/>
      </w:divBdr>
    </w:div>
    <w:div w:id="2005207315">
      <w:bodyDiv w:val="1"/>
      <w:marLeft w:val="0"/>
      <w:marRight w:val="0"/>
      <w:marTop w:val="0"/>
      <w:marBottom w:val="0"/>
      <w:divBdr>
        <w:top w:val="none" w:sz="0" w:space="0" w:color="auto"/>
        <w:left w:val="none" w:sz="0" w:space="0" w:color="auto"/>
        <w:bottom w:val="none" w:sz="0" w:space="0" w:color="auto"/>
        <w:right w:val="none" w:sz="0" w:space="0" w:color="auto"/>
      </w:divBdr>
    </w:div>
    <w:div w:id="2005425108">
      <w:bodyDiv w:val="1"/>
      <w:marLeft w:val="0"/>
      <w:marRight w:val="0"/>
      <w:marTop w:val="0"/>
      <w:marBottom w:val="0"/>
      <w:divBdr>
        <w:top w:val="none" w:sz="0" w:space="0" w:color="auto"/>
        <w:left w:val="none" w:sz="0" w:space="0" w:color="auto"/>
        <w:bottom w:val="none" w:sz="0" w:space="0" w:color="auto"/>
        <w:right w:val="none" w:sz="0" w:space="0" w:color="auto"/>
      </w:divBdr>
    </w:div>
    <w:div w:id="2010015179">
      <w:bodyDiv w:val="1"/>
      <w:marLeft w:val="0"/>
      <w:marRight w:val="0"/>
      <w:marTop w:val="0"/>
      <w:marBottom w:val="0"/>
      <w:divBdr>
        <w:top w:val="none" w:sz="0" w:space="0" w:color="auto"/>
        <w:left w:val="none" w:sz="0" w:space="0" w:color="auto"/>
        <w:bottom w:val="none" w:sz="0" w:space="0" w:color="auto"/>
        <w:right w:val="none" w:sz="0" w:space="0" w:color="auto"/>
      </w:divBdr>
    </w:div>
    <w:div w:id="2011172856">
      <w:bodyDiv w:val="1"/>
      <w:marLeft w:val="0"/>
      <w:marRight w:val="0"/>
      <w:marTop w:val="0"/>
      <w:marBottom w:val="0"/>
      <w:divBdr>
        <w:top w:val="none" w:sz="0" w:space="0" w:color="auto"/>
        <w:left w:val="none" w:sz="0" w:space="0" w:color="auto"/>
        <w:bottom w:val="none" w:sz="0" w:space="0" w:color="auto"/>
        <w:right w:val="none" w:sz="0" w:space="0" w:color="auto"/>
      </w:divBdr>
    </w:div>
    <w:div w:id="201241511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16182115">
      <w:bodyDiv w:val="1"/>
      <w:marLeft w:val="0"/>
      <w:marRight w:val="0"/>
      <w:marTop w:val="0"/>
      <w:marBottom w:val="0"/>
      <w:divBdr>
        <w:top w:val="none" w:sz="0" w:space="0" w:color="auto"/>
        <w:left w:val="none" w:sz="0" w:space="0" w:color="auto"/>
        <w:bottom w:val="none" w:sz="0" w:space="0" w:color="auto"/>
        <w:right w:val="none" w:sz="0" w:space="0" w:color="auto"/>
      </w:divBdr>
    </w:div>
    <w:div w:id="2018339691">
      <w:bodyDiv w:val="1"/>
      <w:marLeft w:val="0"/>
      <w:marRight w:val="0"/>
      <w:marTop w:val="0"/>
      <w:marBottom w:val="0"/>
      <w:divBdr>
        <w:top w:val="none" w:sz="0" w:space="0" w:color="auto"/>
        <w:left w:val="none" w:sz="0" w:space="0" w:color="auto"/>
        <w:bottom w:val="none" w:sz="0" w:space="0" w:color="auto"/>
        <w:right w:val="none" w:sz="0" w:space="0" w:color="auto"/>
      </w:divBdr>
    </w:div>
    <w:div w:id="2018772298">
      <w:bodyDiv w:val="1"/>
      <w:marLeft w:val="0"/>
      <w:marRight w:val="0"/>
      <w:marTop w:val="0"/>
      <w:marBottom w:val="0"/>
      <w:divBdr>
        <w:top w:val="none" w:sz="0" w:space="0" w:color="auto"/>
        <w:left w:val="none" w:sz="0" w:space="0" w:color="auto"/>
        <w:bottom w:val="none" w:sz="0" w:space="0" w:color="auto"/>
        <w:right w:val="none" w:sz="0" w:space="0" w:color="auto"/>
      </w:divBdr>
    </w:div>
    <w:div w:id="2019119005">
      <w:bodyDiv w:val="1"/>
      <w:marLeft w:val="0"/>
      <w:marRight w:val="0"/>
      <w:marTop w:val="0"/>
      <w:marBottom w:val="0"/>
      <w:divBdr>
        <w:top w:val="none" w:sz="0" w:space="0" w:color="auto"/>
        <w:left w:val="none" w:sz="0" w:space="0" w:color="auto"/>
        <w:bottom w:val="none" w:sz="0" w:space="0" w:color="auto"/>
        <w:right w:val="none" w:sz="0" w:space="0" w:color="auto"/>
      </w:divBdr>
    </w:div>
    <w:div w:id="2023126766">
      <w:bodyDiv w:val="1"/>
      <w:marLeft w:val="0"/>
      <w:marRight w:val="0"/>
      <w:marTop w:val="0"/>
      <w:marBottom w:val="0"/>
      <w:divBdr>
        <w:top w:val="none" w:sz="0" w:space="0" w:color="auto"/>
        <w:left w:val="none" w:sz="0" w:space="0" w:color="auto"/>
        <w:bottom w:val="none" w:sz="0" w:space="0" w:color="auto"/>
        <w:right w:val="none" w:sz="0" w:space="0" w:color="auto"/>
      </w:divBdr>
    </w:div>
    <w:div w:id="2023587832">
      <w:bodyDiv w:val="1"/>
      <w:marLeft w:val="0"/>
      <w:marRight w:val="0"/>
      <w:marTop w:val="0"/>
      <w:marBottom w:val="0"/>
      <w:divBdr>
        <w:top w:val="none" w:sz="0" w:space="0" w:color="auto"/>
        <w:left w:val="none" w:sz="0" w:space="0" w:color="auto"/>
        <w:bottom w:val="none" w:sz="0" w:space="0" w:color="auto"/>
        <w:right w:val="none" w:sz="0" w:space="0" w:color="auto"/>
      </w:divBdr>
    </w:div>
    <w:div w:id="2023897556">
      <w:bodyDiv w:val="1"/>
      <w:marLeft w:val="0"/>
      <w:marRight w:val="0"/>
      <w:marTop w:val="0"/>
      <w:marBottom w:val="0"/>
      <w:divBdr>
        <w:top w:val="none" w:sz="0" w:space="0" w:color="auto"/>
        <w:left w:val="none" w:sz="0" w:space="0" w:color="auto"/>
        <w:bottom w:val="none" w:sz="0" w:space="0" w:color="auto"/>
        <w:right w:val="none" w:sz="0" w:space="0" w:color="auto"/>
      </w:divBdr>
    </w:div>
    <w:div w:id="2024823309">
      <w:bodyDiv w:val="1"/>
      <w:marLeft w:val="0"/>
      <w:marRight w:val="0"/>
      <w:marTop w:val="0"/>
      <w:marBottom w:val="0"/>
      <w:divBdr>
        <w:top w:val="none" w:sz="0" w:space="0" w:color="auto"/>
        <w:left w:val="none" w:sz="0" w:space="0" w:color="auto"/>
        <w:bottom w:val="none" w:sz="0" w:space="0" w:color="auto"/>
        <w:right w:val="none" w:sz="0" w:space="0" w:color="auto"/>
      </w:divBdr>
    </w:div>
    <w:div w:id="2025085310">
      <w:bodyDiv w:val="1"/>
      <w:marLeft w:val="0"/>
      <w:marRight w:val="0"/>
      <w:marTop w:val="0"/>
      <w:marBottom w:val="0"/>
      <w:divBdr>
        <w:top w:val="none" w:sz="0" w:space="0" w:color="auto"/>
        <w:left w:val="none" w:sz="0" w:space="0" w:color="auto"/>
        <w:bottom w:val="none" w:sz="0" w:space="0" w:color="auto"/>
        <w:right w:val="none" w:sz="0" w:space="0" w:color="auto"/>
      </w:divBdr>
    </w:div>
    <w:div w:id="2025395311">
      <w:bodyDiv w:val="1"/>
      <w:marLeft w:val="0"/>
      <w:marRight w:val="0"/>
      <w:marTop w:val="0"/>
      <w:marBottom w:val="0"/>
      <w:divBdr>
        <w:top w:val="none" w:sz="0" w:space="0" w:color="auto"/>
        <w:left w:val="none" w:sz="0" w:space="0" w:color="auto"/>
        <w:bottom w:val="none" w:sz="0" w:space="0" w:color="auto"/>
        <w:right w:val="none" w:sz="0" w:space="0" w:color="auto"/>
      </w:divBdr>
    </w:div>
    <w:div w:id="2025864994">
      <w:bodyDiv w:val="1"/>
      <w:marLeft w:val="0"/>
      <w:marRight w:val="0"/>
      <w:marTop w:val="0"/>
      <w:marBottom w:val="0"/>
      <w:divBdr>
        <w:top w:val="none" w:sz="0" w:space="0" w:color="auto"/>
        <w:left w:val="none" w:sz="0" w:space="0" w:color="auto"/>
        <w:bottom w:val="none" w:sz="0" w:space="0" w:color="auto"/>
        <w:right w:val="none" w:sz="0" w:space="0" w:color="auto"/>
      </w:divBdr>
    </w:div>
    <w:div w:id="2032607914">
      <w:bodyDiv w:val="1"/>
      <w:marLeft w:val="0"/>
      <w:marRight w:val="0"/>
      <w:marTop w:val="0"/>
      <w:marBottom w:val="0"/>
      <w:divBdr>
        <w:top w:val="none" w:sz="0" w:space="0" w:color="auto"/>
        <w:left w:val="none" w:sz="0" w:space="0" w:color="auto"/>
        <w:bottom w:val="none" w:sz="0" w:space="0" w:color="auto"/>
        <w:right w:val="none" w:sz="0" w:space="0" w:color="auto"/>
      </w:divBdr>
    </w:div>
    <w:div w:id="2032797566">
      <w:bodyDiv w:val="1"/>
      <w:marLeft w:val="0"/>
      <w:marRight w:val="0"/>
      <w:marTop w:val="0"/>
      <w:marBottom w:val="0"/>
      <w:divBdr>
        <w:top w:val="none" w:sz="0" w:space="0" w:color="auto"/>
        <w:left w:val="none" w:sz="0" w:space="0" w:color="auto"/>
        <w:bottom w:val="none" w:sz="0" w:space="0" w:color="auto"/>
        <w:right w:val="none" w:sz="0" w:space="0" w:color="auto"/>
      </w:divBdr>
    </w:div>
    <w:div w:id="2033526841">
      <w:bodyDiv w:val="1"/>
      <w:marLeft w:val="0"/>
      <w:marRight w:val="0"/>
      <w:marTop w:val="0"/>
      <w:marBottom w:val="0"/>
      <w:divBdr>
        <w:top w:val="none" w:sz="0" w:space="0" w:color="auto"/>
        <w:left w:val="none" w:sz="0" w:space="0" w:color="auto"/>
        <w:bottom w:val="none" w:sz="0" w:space="0" w:color="auto"/>
        <w:right w:val="none" w:sz="0" w:space="0" w:color="auto"/>
      </w:divBdr>
    </w:div>
    <w:div w:id="2033609771">
      <w:bodyDiv w:val="1"/>
      <w:marLeft w:val="0"/>
      <w:marRight w:val="0"/>
      <w:marTop w:val="0"/>
      <w:marBottom w:val="0"/>
      <w:divBdr>
        <w:top w:val="none" w:sz="0" w:space="0" w:color="auto"/>
        <w:left w:val="none" w:sz="0" w:space="0" w:color="auto"/>
        <w:bottom w:val="none" w:sz="0" w:space="0" w:color="auto"/>
        <w:right w:val="none" w:sz="0" w:space="0" w:color="auto"/>
      </w:divBdr>
    </w:div>
    <w:div w:id="2034381179">
      <w:bodyDiv w:val="1"/>
      <w:marLeft w:val="0"/>
      <w:marRight w:val="0"/>
      <w:marTop w:val="0"/>
      <w:marBottom w:val="0"/>
      <w:divBdr>
        <w:top w:val="none" w:sz="0" w:space="0" w:color="auto"/>
        <w:left w:val="none" w:sz="0" w:space="0" w:color="auto"/>
        <w:bottom w:val="none" w:sz="0" w:space="0" w:color="auto"/>
        <w:right w:val="none" w:sz="0" w:space="0" w:color="auto"/>
      </w:divBdr>
    </w:div>
    <w:div w:id="2035499029">
      <w:bodyDiv w:val="1"/>
      <w:marLeft w:val="0"/>
      <w:marRight w:val="0"/>
      <w:marTop w:val="0"/>
      <w:marBottom w:val="0"/>
      <w:divBdr>
        <w:top w:val="none" w:sz="0" w:space="0" w:color="auto"/>
        <w:left w:val="none" w:sz="0" w:space="0" w:color="auto"/>
        <w:bottom w:val="none" w:sz="0" w:space="0" w:color="auto"/>
        <w:right w:val="none" w:sz="0" w:space="0" w:color="auto"/>
      </w:divBdr>
    </w:div>
    <w:div w:id="2039042951">
      <w:bodyDiv w:val="1"/>
      <w:marLeft w:val="0"/>
      <w:marRight w:val="0"/>
      <w:marTop w:val="0"/>
      <w:marBottom w:val="0"/>
      <w:divBdr>
        <w:top w:val="none" w:sz="0" w:space="0" w:color="auto"/>
        <w:left w:val="none" w:sz="0" w:space="0" w:color="auto"/>
        <w:bottom w:val="none" w:sz="0" w:space="0" w:color="auto"/>
        <w:right w:val="none" w:sz="0" w:space="0" w:color="auto"/>
      </w:divBdr>
    </w:div>
    <w:div w:id="2041516453">
      <w:bodyDiv w:val="1"/>
      <w:marLeft w:val="0"/>
      <w:marRight w:val="0"/>
      <w:marTop w:val="0"/>
      <w:marBottom w:val="0"/>
      <w:divBdr>
        <w:top w:val="none" w:sz="0" w:space="0" w:color="auto"/>
        <w:left w:val="none" w:sz="0" w:space="0" w:color="auto"/>
        <w:bottom w:val="none" w:sz="0" w:space="0" w:color="auto"/>
        <w:right w:val="none" w:sz="0" w:space="0" w:color="auto"/>
      </w:divBdr>
    </w:div>
    <w:div w:id="2041934213">
      <w:bodyDiv w:val="1"/>
      <w:marLeft w:val="0"/>
      <w:marRight w:val="0"/>
      <w:marTop w:val="0"/>
      <w:marBottom w:val="0"/>
      <w:divBdr>
        <w:top w:val="none" w:sz="0" w:space="0" w:color="auto"/>
        <w:left w:val="none" w:sz="0" w:space="0" w:color="auto"/>
        <w:bottom w:val="none" w:sz="0" w:space="0" w:color="auto"/>
        <w:right w:val="none" w:sz="0" w:space="0" w:color="auto"/>
      </w:divBdr>
    </w:div>
    <w:div w:id="2043892731">
      <w:bodyDiv w:val="1"/>
      <w:marLeft w:val="0"/>
      <w:marRight w:val="0"/>
      <w:marTop w:val="0"/>
      <w:marBottom w:val="0"/>
      <w:divBdr>
        <w:top w:val="none" w:sz="0" w:space="0" w:color="auto"/>
        <w:left w:val="none" w:sz="0" w:space="0" w:color="auto"/>
        <w:bottom w:val="none" w:sz="0" w:space="0" w:color="auto"/>
        <w:right w:val="none" w:sz="0" w:space="0" w:color="auto"/>
      </w:divBdr>
    </w:div>
    <w:div w:id="2045473007">
      <w:bodyDiv w:val="1"/>
      <w:marLeft w:val="0"/>
      <w:marRight w:val="0"/>
      <w:marTop w:val="0"/>
      <w:marBottom w:val="0"/>
      <w:divBdr>
        <w:top w:val="none" w:sz="0" w:space="0" w:color="auto"/>
        <w:left w:val="none" w:sz="0" w:space="0" w:color="auto"/>
        <w:bottom w:val="none" w:sz="0" w:space="0" w:color="auto"/>
        <w:right w:val="none" w:sz="0" w:space="0" w:color="auto"/>
      </w:divBdr>
    </w:div>
    <w:div w:id="2045788313">
      <w:bodyDiv w:val="1"/>
      <w:marLeft w:val="0"/>
      <w:marRight w:val="0"/>
      <w:marTop w:val="0"/>
      <w:marBottom w:val="0"/>
      <w:divBdr>
        <w:top w:val="none" w:sz="0" w:space="0" w:color="auto"/>
        <w:left w:val="none" w:sz="0" w:space="0" w:color="auto"/>
        <w:bottom w:val="none" w:sz="0" w:space="0" w:color="auto"/>
        <w:right w:val="none" w:sz="0" w:space="0" w:color="auto"/>
      </w:divBdr>
    </w:div>
    <w:div w:id="2046446578">
      <w:bodyDiv w:val="1"/>
      <w:marLeft w:val="0"/>
      <w:marRight w:val="0"/>
      <w:marTop w:val="0"/>
      <w:marBottom w:val="0"/>
      <w:divBdr>
        <w:top w:val="none" w:sz="0" w:space="0" w:color="auto"/>
        <w:left w:val="none" w:sz="0" w:space="0" w:color="auto"/>
        <w:bottom w:val="none" w:sz="0" w:space="0" w:color="auto"/>
        <w:right w:val="none" w:sz="0" w:space="0" w:color="auto"/>
      </w:divBdr>
    </w:div>
    <w:div w:id="2046560198">
      <w:bodyDiv w:val="1"/>
      <w:marLeft w:val="0"/>
      <w:marRight w:val="0"/>
      <w:marTop w:val="0"/>
      <w:marBottom w:val="0"/>
      <w:divBdr>
        <w:top w:val="none" w:sz="0" w:space="0" w:color="auto"/>
        <w:left w:val="none" w:sz="0" w:space="0" w:color="auto"/>
        <w:bottom w:val="none" w:sz="0" w:space="0" w:color="auto"/>
        <w:right w:val="none" w:sz="0" w:space="0" w:color="auto"/>
      </w:divBdr>
    </w:div>
    <w:div w:id="2047371533">
      <w:bodyDiv w:val="1"/>
      <w:marLeft w:val="0"/>
      <w:marRight w:val="0"/>
      <w:marTop w:val="0"/>
      <w:marBottom w:val="0"/>
      <w:divBdr>
        <w:top w:val="none" w:sz="0" w:space="0" w:color="auto"/>
        <w:left w:val="none" w:sz="0" w:space="0" w:color="auto"/>
        <w:bottom w:val="none" w:sz="0" w:space="0" w:color="auto"/>
        <w:right w:val="none" w:sz="0" w:space="0" w:color="auto"/>
      </w:divBdr>
    </w:div>
    <w:div w:id="2049916811">
      <w:bodyDiv w:val="1"/>
      <w:marLeft w:val="0"/>
      <w:marRight w:val="0"/>
      <w:marTop w:val="0"/>
      <w:marBottom w:val="0"/>
      <w:divBdr>
        <w:top w:val="none" w:sz="0" w:space="0" w:color="auto"/>
        <w:left w:val="none" w:sz="0" w:space="0" w:color="auto"/>
        <w:bottom w:val="none" w:sz="0" w:space="0" w:color="auto"/>
        <w:right w:val="none" w:sz="0" w:space="0" w:color="auto"/>
      </w:divBdr>
    </w:div>
    <w:div w:id="2050717536">
      <w:bodyDiv w:val="1"/>
      <w:marLeft w:val="0"/>
      <w:marRight w:val="0"/>
      <w:marTop w:val="0"/>
      <w:marBottom w:val="0"/>
      <w:divBdr>
        <w:top w:val="none" w:sz="0" w:space="0" w:color="auto"/>
        <w:left w:val="none" w:sz="0" w:space="0" w:color="auto"/>
        <w:bottom w:val="none" w:sz="0" w:space="0" w:color="auto"/>
        <w:right w:val="none" w:sz="0" w:space="0" w:color="auto"/>
      </w:divBdr>
    </w:div>
    <w:div w:id="2053454757">
      <w:bodyDiv w:val="1"/>
      <w:marLeft w:val="0"/>
      <w:marRight w:val="0"/>
      <w:marTop w:val="0"/>
      <w:marBottom w:val="0"/>
      <w:divBdr>
        <w:top w:val="none" w:sz="0" w:space="0" w:color="auto"/>
        <w:left w:val="none" w:sz="0" w:space="0" w:color="auto"/>
        <w:bottom w:val="none" w:sz="0" w:space="0" w:color="auto"/>
        <w:right w:val="none" w:sz="0" w:space="0" w:color="auto"/>
      </w:divBdr>
    </w:div>
    <w:div w:id="2056735318">
      <w:bodyDiv w:val="1"/>
      <w:marLeft w:val="0"/>
      <w:marRight w:val="0"/>
      <w:marTop w:val="0"/>
      <w:marBottom w:val="0"/>
      <w:divBdr>
        <w:top w:val="none" w:sz="0" w:space="0" w:color="auto"/>
        <w:left w:val="none" w:sz="0" w:space="0" w:color="auto"/>
        <w:bottom w:val="none" w:sz="0" w:space="0" w:color="auto"/>
        <w:right w:val="none" w:sz="0" w:space="0" w:color="auto"/>
      </w:divBdr>
    </w:div>
    <w:div w:id="2057316871">
      <w:bodyDiv w:val="1"/>
      <w:marLeft w:val="0"/>
      <w:marRight w:val="0"/>
      <w:marTop w:val="0"/>
      <w:marBottom w:val="0"/>
      <w:divBdr>
        <w:top w:val="none" w:sz="0" w:space="0" w:color="auto"/>
        <w:left w:val="none" w:sz="0" w:space="0" w:color="auto"/>
        <w:bottom w:val="none" w:sz="0" w:space="0" w:color="auto"/>
        <w:right w:val="none" w:sz="0" w:space="0" w:color="auto"/>
      </w:divBdr>
    </w:div>
    <w:div w:id="2057849510">
      <w:bodyDiv w:val="1"/>
      <w:marLeft w:val="0"/>
      <w:marRight w:val="0"/>
      <w:marTop w:val="0"/>
      <w:marBottom w:val="0"/>
      <w:divBdr>
        <w:top w:val="none" w:sz="0" w:space="0" w:color="auto"/>
        <w:left w:val="none" w:sz="0" w:space="0" w:color="auto"/>
        <w:bottom w:val="none" w:sz="0" w:space="0" w:color="auto"/>
        <w:right w:val="none" w:sz="0" w:space="0" w:color="auto"/>
      </w:divBdr>
    </w:div>
    <w:div w:id="2058242864">
      <w:bodyDiv w:val="1"/>
      <w:marLeft w:val="0"/>
      <w:marRight w:val="0"/>
      <w:marTop w:val="0"/>
      <w:marBottom w:val="0"/>
      <w:divBdr>
        <w:top w:val="none" w:sz="0" w:space="0" w:color="auto"/>
        <w:left w:val="none" w:sz="0" w:space="0" w:color="auto"/>
        <w:bottom w:val="none" w:sz="0" w:space="0" w:color="auto"/>
        <w:right w:val="none" w:sz="0" w:space="0" w:color="auto"/>
      </w:divBdr>
    </w:div>
    <w:div w:id="2059429853">
      <w:bodyDiv w:val="1"/>
      <w:marLeft w:val="0"/>
      <w:marRight w:val="0"/>
      <w:marTop w:val="0"/>
      <w:marBottom w:val="0"/>
      <w:divBdr>
        <w:top w:val="none" w:sz="0" w:space="0" w:color="auto"/>
        <w:left w:val="none" w:sz="0" w:space="0" w:color="auto"/>
        <w:bottom w:val="none" w:sz="0" w:space="0" w:color="auto"/>
        <w:right w:val="none" w:sz="0" w:space="0" w:color="auto"/>
      </w:divBdr>
    </w:div>
    <w:div w:id="2060937930">
      <w:bodyDiv w:val="1"/>
      <w:marLeft w:val="0"/>
      <w:marRight w:val="0"/>
      <w:marTop w:val="0"/>
      <w:marBottom w:val="0"/>
      <w:divBdr>
        <w:top w:val="none" w:sz="0" w:space="0" w:color="auto"/>
        <w:left w:val="none" w:sz="0" w:space="0" w:color="auto"/>
        <w:bottom w:val="none" w:sz="0" w:space="0" w:color="auto"/>
        <w:right w:val="none" w:sz="0" w:space="0" w:color="auto"/>
      </w:divBdr>
    </w:div>
    <w:div w:id="2061173164">
      <w:bodyDiv w:val="1"/>
      <w:marLeft w:val="0"/>
      <w:marRight w:val="0"/>
      <w:marTop w:val="0"/>
      <w:marBottom w:val="0"/>
      <w:divBdr>
        <w:top w:val="none" w:sz="0" w:space="0" w:color="auto"/>
        <w:left w:val="none" w:sz="0" w:space="0" w:color="auto"/>
        <w:bottom w:val="none" w:sz="0" w:space="0" w:color="auto"/>
        <w:right w:val="none" w:sz="0" w:space="0" w:color="auto"/>
      </w:divBdr>
    </w:div>
    <w:div w:id="2062485661">
      <w:bodyDiv w:val="1"/>
      <w:marLeft w:val="0"/>
      <w:marRight w:val="0"/>
      <w:marTop w:val="0"/>
      <w:marBottom w:val="0"/>
      <w:divBdr>
        <w:top w:val="none" w:sz="0" w:space="0" w:color="auto"/>
        <w:left w:val="none" w:sz="0" w:space="0" w:color="auto"/>
        <w:bottom w:val="none" w:sz="0" w:space="0" w:color="auto"/>
        <w:right w:val="none" w:sz="0" w:space="0" w:color="auto"/>
      </w:divBdr>
    </w:div>
    <w:div w:id="2062705074">
      <w:bodyDiv w:val="1"/>
      <w:marLeft w:val="0"/>
      <w:marRight w:val="0"/>
      <w:marTop w:val="0"/>
      <w:marBottom w:val="0"/>
      <w:divBdr>
        <w:top w:val="none" w:sz="0" w:space="0" w:color="auto"/>
        <w:left w:val="none" w:sz="0" w:space="0" w:color="auto"/>
        <w:bottom w:val="none" w:sz="0" w:space="0" w:color="auto"/>
        <w:right w:val="none" w:sz="0" w:space="0" w:color="auto"/>
      </w:divBdr>
    </w:div>
    <w:div w:id="2064599203">
      <w:bodyDiv w:val="1"/>
      <w:marLeft w:val="0"/>
      <w:marRight w:val="0"/>
      <w:marTop w:val="0"/>
      <w:marBottom w:val="0"/>
      <w:divBdr>
        <w:top w:val="none" w:sz="0" w:space="0" w:color="auto"/>
        <w:left w:val="none" w:sz="0" w:space="0" w:color="auto"/>
        <w:bottom w:val="none" w:sz="0" w:space="0" w:color="auto"/>
        <w:right w:val="none" w:sz="0" w:space="0" w:color="auto"/>
      </w:divBdr>
    </w:div>
    <w:div w:id="2068340172">
      <w:bodyDiv w:val="1"/>
      <w:marLeft w:val="0"/>
      <w:marRight w:val="0"/>
      <w:marTop w:val="0"/>
      <w:marBottom w:val="0"/>
      <w:divBdr>
        <w:top w:val="none" w:sz="0" w:space="0" w:color="auto"/>
        <w:left w:val="none" w:sz="0" w:space="0" w:color="auto"/>
        <w:bottom w:val="none" w:sz="0" w:space="0" w:color="auto"/>
        <w:right w:val="none" w:sz="0" w:space="0" w:color="auto"/>
      </w:divBdr>
    </w:div>
    <w:div w:id="2068868297">
      <w:bodyDiv w:val="1"/>
      <w:marLeft w:val="0"/>
      <w:marRight w:val="0"/>
      <w:marTop w:val="0"/>
      <w:marBottom w:val="0"/>
      <w:divBdr>
        <w:top w:val="none" w:sz="0" w:space="0" w:color="auto"/>
        <w:left w:val="none" w:sz="0" w:space="0" w:color="auto"/>
        <w:bottom w:val="none" w:sz="0" w:space="0" w:color="auto"/>
        <w:right w:val="none" w:sz="0" w:space="0" w:color="auto"/>
      </w:divBdr>
    </w:div>
    <w:div w:id="2071465237">
      <w:bodyDiv w:val="1"/>
      <w:marLeft w:val="0"/>
      <w:marRight w:val="0"/>
      <w:marTop w:val="0"/>
      <w:marBottom w:val="0"/>
      <w:divBdr>
        <w:top w:val="none" w:sz="0" w:space="0" w:color="auto"/>
        <w:left w:val="none" w:sz="0" w:space="0" w:color="auto"/>
        <w:bottom w:val="none" w:sz="0" w:space="0" w:color="auto"/>
        <w:right w:val="none" w:sz="0" w:space="0" w:color="auto"/>
      </w:divBdr>
    </w:div>
    <w:div w:id="2075930368">
      <w:bodyDiv w:val="1"/>
      <w:marLeft w:val="0"/>
      <w:marRight w:val="0"/>
      <w:marTop w:val="0"/>
      <w:marBottom w:val="0"/>
      <w:divBdr>
        <w:top w:val="none" w:sz="0" w:space="0" w:color="auto"/>
        <w:left w:val="none" w:sz="0" w:space="0" w:color="auto"/>
        <w:bottom w:val="none" w:sz="0" w:space="0" w:color="auto"/>
        <w:right w:val="none" w:sz="0" w:space="0" w:color="auto"/>
      </w:divBdr>
    </w:div>
    <w:div w:id="2076471596">
      <w:bodyDiv w:val="1"/>
      <w:marLeft w:val="0"/>
      <w:marRight w:val="0"/>
      <w:marTop w:val="0"/>
      <w:marBottom w:val="0"/>
      <w:divBdr>
        <w:top w:val="none" w:sz="0" w:space="0" w:color="auto"/>
        <w:left w:val="none" w:sz="0" w:space="0" w:color="auto"/>
        <w:bottom w:val="none" w:sz="0" w:space="0" w:color="auto"/>
        <w:right w:val="none" w:sz="0" w:space="0" w:color="auto"/>
      </w:divBdr>
    </w:div>
    <w:div w:id="2076925946">
      <w:bodyDiv w:val="1"/>
      <w:marLeft w:val="0"/>
      <w:marRight w:val="0"/>
      <w:marTop w:val="0"/>
      <w:marBottom w:val="0"/>
      <w:divBdr>
        <w:top w:val="none" w:sz="0" w:space="0" w:color="auto"/>
        <w:left w:val="none" w:sz="0" w:space="0" w:color="auto"/>
        <w:bottom w:val="none" w:sz="0" w:space="0" w:color="auto"/>
        <w:right w:val="none" w:sz="0" w:space="0" w:color="auto"/>
      </w:divBdr>
    </w:div>
    <w:div w:id="2077361847">
      <w:bodyDiv w:val="1"/>
      <w:marLeft w:val="0"/>
      <w:marRight w:val="0"/>
      <w:marTop w:val="0"/>
      <w:marBottom w:val="0"/>
      <w:divBdr>
        <w:top w:val="none" w:sz="0" w:space="0" w:color="auto"/>
        <w:left w:val="none" w:sz="0" w:space="0" w:color="auto"/>
        <w:bottom w:val="none" w:sz="0" w:space="0" w:color="auto"/>
        <w:right w:val="none" w:sz="0" w:space="0" w:color="auto"/>
      </w:divBdr>
    </w:div>
    <w:div w:id="2077509710">
      <w:bodyDiv w:val="1"/>
      <w:marLeft w:val="0"/>
      <w:marRight w:val="0"/>
      <w:marTop w:val="0"/>
      <w:marBottom w:val="0"/>
      <w:divBdr>
        <w:top w:val="none" w:sz="0" w:space="0" w:color="auto"/>
        <w:left w:val="none" w:sz="0" w:space="0" w:color="auto"/>
        <w:bottom w:val="none" w:sz="0" w:space="0" w:color="auto"/>
        <w:right w:val="none" w:sz="0" w:space="0" w:color="auto"/>
      </w:divBdr>
    </w:div>
    <w:div w:id="2077972641">
      <w:bodyDiv w:val="1"/>
      <w:marLeft w:val="0"/>
      <w:marRight w:val="0"/>
      <w:marTop w:val="0"/>
      <w:marBottom w:val="0"/>
      <w:divBdr>
        <w:top w:val="none" w:sz="0" w:space="0" w:color="auto"/>
        <w:left w:val="none" w:sz="0" w:space="0" w:color="auto"/>
        <w:bottom w:val="none" w:sz="0" w:space="0" w:color="auto"/>
        <w:right w:val="none" w:sz="0" w:space="0" w:color="auto"/>
      </w:divBdr>
    </w:div>
    <w:div w:id="2078164080">
      <w:bodyDiv w:val="1"/>
      <w:marLeft w:val="0"/>
      <w:marRight w:val="0"/>
      <w:marTop w:val="0"/>
      <w:marBottom w:val="0"/>
      <w:divBdr>
        <w:top w:val="none" w:sz="0" w:space="0" w:color="auto"/>
        <w:left w:val="none" w:sz="0" w:space="0" w:color="auto"/>
        <w:bottom w:val="none" w:sz="0" w:space="0" w:color="auto"/>
        <w:right w:val="none" w:sz="0" w:space="0" w:color="auto"/>
      </w:divBdr>
    </w:div>
    <w:div w:id="2080054594">
      <w:bodyDiv w:val="1"/>
      <w:marLeft w:val="0"/>
      <w:marRight w:val="0"/>
      <w:marTop w:val="0"/>
      <w:marBottom w:val="0"/>
      <w:divBdr>
        <w:top w:val="none" w:sz="0" w:space="0" w:color="auto"/>
        <w:left w:val="none" w:sz="0" w:space="0" w:color="auto"/>
        <w:bottom w:val="none" w:sz="0" w:space="0" w:color="auto"/>
        <w:right w:val="none" w:sz="0" w:space="0" w:color="auto"/>
      </w:divBdr>
    </w:div>
    <w:div w:id="2080974994">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2290353">
      <w:bodyDiv w:val="1"/>
      <w:marLeft w:val="0"/>
      <w:marRight w:val="0"/>
      <w:marTop w:val="0"/>
      <w:marBottom w:val="0"/>
      <w:divBdr>
        <w:top w:val="none" w:sz="0" w:space="0" w:color="auto"/>
        <w:left w:val="none" w:sz="0" w:space="0" w:color="auto"/>
        <w:bottom w:val="none" w:sz="0" w:space="0" w:color="auto"/>
        <w:right w:val="none" w:sz="0" w:space="0" w:color="auto"/>
      </w:divBdr>
    </w:div>
    <w:div w:id="2082479420">
      <w:bodyDiv w:val="1"/>
      <w:marLeft w:val="0"/>
      <w:marRight w:val="0"/>
      <w:marTop w:val="0"/>
      <w:marBottom w:val="0"/>
      <w:divBdr>
        <w:top w:val="none" w:sz="0" w:space="0" w:color="auto"/>
        <w:left w:val="none" w:sz="0" w:space="0" w:color="auto"/>
        <w:bottom w:val="none" w:sz="0" w:space="0" w:color="auto"/>
        <w:right w:val="none" w:sz="0" w:space="0" w:color="auto"/>
      </w:divBdr>
    </w:div>
    <w:div w:id="2084640038">
      <w:bodyDiv w:val="1"/>
      <w:marLeft w:val="0"/>
      <w:marRight w:val="0"/>
      <w:marTop w:val="0"/>
      <w:marBottom w:val="0"/>
      <w:divBdr>
        <w:top w:val="none" w:sz="0" w:space="0" w:color="auto"/>
        <w:left w:val="none" w:sz="0" w:space="0" w:color="auto"/>
        <w:bottom w:val="none" w:sz="0" w:space="0" w:color="auto"/>
        <w:right w:val="none" w:sz="0" w:space="0" w:color="auto"/>
      </w:divBdr>
    </w:div>
    <w:div w:id="2086563285">
      <w:bodyDiv w:val="1"/>
      <w:marLeft w:val="0"/>
      <w:marRight w:val="0"/>
      <w:marTop w:val="0"/>
      <w:marBottom w:val="0"/>
      <w:divBdr>
        <w:top w:val="none" w:sz="0" w:space="0" w:color="auto"/>
        <w:left w:val="none" w:sz="0" w:space="0" w:color="auto"/>
        <w:bottom w:val="none" w:sz="0" w:space="0" w:color="auto"/>
        <w:right w:val="none" w:sz="0" w:space="0" w:color="auto"/>
      </w:divBdr>
    </w:div>
    <w:div w:id="2087870986">
      <w:bodyDiv w:val="1"/>
      <w:marLeft w:val="0"/>
      <w:marRight w:val="0"/>
      <w:marTop w:val="0"/>
      <w:marBottom w:val="0"/>
      <w:divBdr>
        <w:top w:val="none" w:sz="0" w:space="0" w:color="auto"/>
        <w:left w:val="none" w:sz="0" w:space="0" w:color="auto"/>
        <w:bottom w:val="none" w:sz="0" w:space="0" w:color="auto"/>
        <w:right w:val="none" w:sz="0" w:space="0" w:color="auto"/>
      </w:divBdr>
    </w:div>
    <w:div w:id="2088067358">
      <w:bodyDiv w:val="1"/>
      <w:marLeft w:val="0"/>
      <w:marRight w:val="0"/>
      <w:marTop w:val="0"/>
      <w:marBottom w:val="0"/>
      <w:divBdr>
        <w:top w:val="none" w:sz="0" w:space="0" w:color="auto"/>
        <w:left w:val="none" w:sz="0" w:space="0" w:color="auto"/>
        <w:bottom w:val="none" w:sz="0" w:space="0" w:color="auto"/>
        <w:right w:val="none" w:sz="0" w:space="0" w:color="auto"/>
      </w:divBdr>
    </w:div>
    <w:div w:id="2088647860">
      <w:bodyDiv w:val="1"/>
      <w:marLeft w:val="0"/>
      <w:marRight w:val="0"/>
      <w:marTop w:val="0"/>
      <w:marBottom w:val="0"/>
      <w:divBdr>
        <w:top w:val="none" w:sz="0" w:space="0" w:color="auto"/>
        <w:left w:val="none" w:sz="0" w:space="0" w:color="auto"/>
        <w:bottom w:val="none" w:sz="0" w:space="0" w:color="auto"/>
        <w:right w:val="none" w:sz="0" w:space="0" w:color="auto"/>
      </w:divBdr>
    </w:div>
    <w:div w:id="2088844982">
      <w:bodyDiv w:val="1"/>
      <w:marLeft w:val="0"/>
      <w:marRight w:val="0"/>
      <w:marTop w:val="0"/>
      <w:marBottom w:val="0"/>
      <w:divBdr>
        <w:top w:val="none" w:sz="0" w:space="0" w:color="auto"/>
        <w:left w:val="none" w:sz="0" w:space="0" w:color="auto"/>
        <w:bottom w:val="none" w:sz="0" w:space="0" w:color="auto"/>
        <w:right w:val="none" w:sz="0" w:space="0" w:color="auto"/>
      </w:divBdr>
    </w:div>
    <w:div w:id="2090542464">
      <w:bodyDiv w:val="1"/>
      <w:marLeft w:val="0"/>
      <w:marRight w:val="0"/>
      <w:marTop w:val="0"/>
      <w:marBottom w:val="0"/>
      <w:divBdr>
        <w:top w:val="none" w:sz="0" w:space="0" w:color="auto"/>
        <w:left w:val="none" w:sz="0" w:space="0" w:color="auto"/>
        <w:bottom w:val="none" w:sz="0" w:space="0" w:color="auto"/>
        <w:right w:val="none" w:sz="0" w:space="0" w:color="auto"/>
      </w:divBdr>
    </w:div>
    <w:div w:id="2093117032">
      <w:bodyDiv w:val="1"/>
      <w:marLeft w:val="0"/>
      <w:marRight w:val="0"/>
      <w:marTop w:val="0"/>
      <w:marBottom w:val="0"/>
      <w:divBdr>
        <w:top w:val="none" w:sz="0" w:space="0" w:color="auto"/>
        <w:left w:val="none" w:sz="0" w:space="0" w:color="auto"/>
        <w:bottom w:val="none" w:sz="0" w:space="0" w:color="auto"/>
        <w:right w:val="none" w:sz="0" w:space="0" w:color="auto"/>
      </w:divBdr>
    </w:div>
    <w:div w:id="2094013700">
      <w:bodyDiv w:val="1"/>
      <w:marLeft w:val="0"/>
      <w:marRight w:val="0"/>
      <w:marTop w:val="0"/>
      <w:marBottom w:val="0"/>
      <w:divBdr>
        <w:top w:val="none" w:sz="0" w:space="0" w:color="auto"/>
        <w:left w:val="none" w:sz="0" w:space="0" w:color="auto"/>
        <w:bottom w:val="none" w:sz="0" w:space="0" w:color="auto"/>
        <w:right w:val="none" w:sz="0" w:space="0" w:color="auto"/>
      </w:divBdr>
    </w:div>
    <w:div w:id="2095011593">
      <w:bodyDiv w:val="1"/>
      <w:marLeft w:val="0"/>
      <w:marRight w:val="0"/>
      <w:marTop w:val="0"/>
      <w:marBottom w:val="0"/>
      <w:divBdr>
        <w:top w:val="none" w:sz="0" w:space="0" w:color="auto"/>
        <w:left w:val="none" w:sz="0" w:space="0" w:color="auto"/>
        <w:bottom w:val="none" w:sz="0" w:space="0" w:color="auto"/>
        <w:right w:val="none" w:sz="0" w:space="0" w:color="auto"/>
      </w:divBdr>
    </w:div>
    <w:div w:id="2095203863">
      <w:bodyDiv w:val="1"/>
      <w:marLeft w:val="0"/>
      <w:marRight w:val="0"/>
      <w:marTop w:val="0"/>
      <w:marBottom w:val="0"/>
      <w:divBdr>
        <w:top w:val="none" w:sz="0" w:space="0" w:color="auto"/>
        <w:left w:val="none" w:sz="0" w:space="0" w:color="auto"/>
        <w:bottom w:val="none" w:sz="0" w:space="0" w:color="auto"/>
        <w:right w:val="none" w:sz="0" w:space="0" w:color="auto"/>
      </w:divBdr>
    </w:div>
    <w:div w:id="2098822321">
      <w:bodyDiv w:val="1"/>
      <w:marLeft w:val="0"/>
      <w:marRight w:val="0"/>
      <w:marTop w:val="0"/>
      <w:marBottom w:val="0"/>
      <w:divBdr>
        <w:top w:val="none" w:sz="0" w:space="0" w:color="auto"/>
        <w:left w:val="none" w:sz="0" w:space="0" w:color="auto"/>
        <w:bottom w:val="none" w:sz="0" w:space="0" w:color="auto"/>
        <w:right w:val="none" w:sz="0" w:space="0" w:color="auto"/>
      </w:divBdr>
    </w:div>
    <w:div w:id="2099324460">
      <w:bodyDiv w:val="1"/>
      <w:marLeft w:val="0"/>
      <w:marRight w:val="0"/>
      <w:marTop w:val="0"/>
      <w:marBottom w:val="0"/>
      <w:divBdr>
        <w:top w:val="none" w:sz="0" w:space="0" w:color="auto"/>
        <w:left w:val="none" w:sz="0" w:space="0" w:color="auto"/>
        <w:bottom w:val="none" w:sz="0" w:space="0" w:color="auto"/>
        <w:right w:val="none" w:sz="0" w:space="0" w:color="auto"/>
      </w:divBdr>
    </w:div>
    <w:div w:id="2104497625">
      <w:bodyDiv w:val="1"/>
      <w:marLeft w:val="0"/>
      <w:marRight w:val="0"/>
      <w:marTop w:val="0"/>
      <w:marBottom w:val="0"/>
      <w:divBdr>
        <w:top w:val="none" w:sz="0" w:space="0" w:color="auto"/>
        <w:left w:val="none" w:sz="0" w:space="0" w:color="auto"/>
        <w:bottom w:val="none" w:sz="0" w:space="0" w:color="auto"/>
        <w:right w:val="none" w:sz="0" w:space="0" w:color="auto"/>
      </w:divBdr>
    </w:div>
    <w:div w:id="2107263912">
      <w:bodyDiv w:val="1"/>
      <w:marLeft w:val="0"/>
      <w:marRight w:val="0"/>
      <w:marTop w:val="0"/>
      <w:marBottom w:val="0"/>
      <w:divBdr>
        <w:top w:val="none" w:sz="0" w:space="0" w:color="auto"/>
        <w:left w:val="none" w:sz="0" w:space="0" w:color="auto"/>
        <w:bottom w:val="none" w:sz="0" w:space="0" w:color="auto"/>
        <w:right w:val="none" w:sz="0" w:space="0" w:color="auto"/>
      </w:divBdr>
    </w:div>
    <w:div w:id="2107604757">
      <w:bodyDiv w:val="1"/>
      <w:marLeft w:val="0"/>
      <w:marRight w:val="0"/>
      <w:marTop w:val="0"/>
      <w:marBottom w:val="0"/>
      <w:divBdr>
        <w:top w:val="none" w:sz="0" w:space="0" w:color="auto"/>
        <w:left w:val="none" w:sz="0" w:space="0" w:color="auto"/>
        <w:bottom w:val="none" w:sz="0" w:space="0" w:color="auto"/>
        <w:right w:val="none" w:sz="0" w:space="0" w:color="auto"/>
      </w:divBdr>
    </w:div>
    <w:div w:id="2108846023">
      <w:bodyDiv w:val="1"/>
      <w:marLeft w:val="0"/>
      <w:marRight w:val="0"/>
      <w:marTop w:val="0"/>
      <w:marBottom w:val="0"/>
      <w:divBdr>
        <w:top w:val="none" w:sz="0" w:space="0" w:color="auto"/>
        <w:left w:val="none" w:sz="0" w:space="0" w:color="auto"/>
        <w:bottom w:val="none" w:sz="0" w:space="0" w:color="auto"/>
        <w:right w:val="none" w:sz="0" w:space="0" w:color="auto"/>
      </w:divBdr>
    </w:div>
    <w:div w:id="2109422799">
      <w:bodyDiv w:val="1"/>
      <w:marLeft w:val="0"/>
      <w:marRight w:val="0"/>
      <w:marTop w:val="0"/>
      <w:marBottom w:val="0"/>
      <w:divBdr>
        <w:top w:val="none" w:sz="0" w:space="0" w:color="auto"/>
        <w:left w:val="none" w:sz="0" w:space="0" w:color="auto"/>
        <w:bottom w:val="none" w:sz="0" w:space="0" w:color="auto"/>
        <w:right w:val="none" w:sz="0" w:space="0" w:color="auto"/>
      </w:divBdr>
    </w:div>
    <w:div w:id="2111581117">
      <w:bodyDiv w:val="1"/>
      <w:marLeft w:val="0"/>
      <w:marRight w:val="0"/>
      <w:marTop w:val="0"/>
      <w:marBottom w:val="0"/>
      <w:divBdr>
        <w:top w:val="none" w:sz="0" w:space="0" w:color="auto"/>
        <w:left w:val="none" w:sz="0" w:space="0" w:color="auto"/>
        <w:bottom w:val="none" w:sz="0" w:space="0" w:color="auto"/>
        <w:right w:val="none" w:sz="0" w:space="0" w:color="auto"/>
      </w:divBdr>
    </w:div>
    <w:div w:id="2115392296">
      <w:bodyDiv w:val="1"/>
      <w:marLeft w:val="0"/>
      <w:marRight w:val="0"/>
      <w:marTop w:val="0"/>
      <w:marBottom w:val="0"/>
      <w:divBdr>
        <w:top w:val="none" w:sz="0" w:space="0" w:color="auto"/>
        <w:left w:val="none" w:sz="0" w:space="0" w:color="auto"/>
        <w:bottom w:val="none" w:sz="0" w:space="0" w:color="auto"/>
        <w:right w:val="none" w:sz="0" w:space="0" w:color="auto"/>
      </w:divBdr>
    </w:div>
    <w:div w:id="2116440123">
      <w:bodyDiv w:val="1"/>
      <w:marLeft w:val="0"/>
      <w:marRight w:val="0"/>
      <w:marTop w:val="0"/>
      <w:marBottom w:val="0"/>
      <w:divBdr>
        <w:top w:val="none" w:sz="0" w:space="0" w:color="auto"/>
        <w:left w:val="none" w:sz="0" w:space="0" w:color="auto"/>
        <w:bottom w:val="none" w:sz="0" w:space="0" w:color="auto"/>
        <w:right w:val="none" w:sz="0" w:space="0" w:color="auto"/>
      </w:divBdr>
    </w:div>
    <w:div w:id="2117628848">
      <w:bodyDiv w:val="1"/>
      <w:marLeft w:val="0"/>
      <w:marRight w:val="0"/>
      <w:marTop w:val="0"/>
      <w:marBottom w:val="0"/>
      <w:divBdr>
        <w:top w:val="none" w:sz="0" w:space="0" w:color="auto"/>
        <w:left w:val="none" w:sz="0" w:space="0" w:color="auto"/>
        <w:bottom w:val="none" w:sz="0" w:space="0" w:color="auto"/>
        <w:right w:val="none" w:sz="0" w:space="0" w:color="auto"/>
      </w:divBdr>
    </w:div>
    <w:div w:id="2117672053">
      <w:bodyDiv w:val="1"/>
      <w:marLeft w:val="0"/>
      <w:marRight w:val="0"/>
      <w:marTop w:val="0"/>
      <w:marBottom w:val="0"/>
      <w:divBdr>
        <w:top w:val="none" w:sz="0" w:space="0" w:color="auto"/>
        <w:left w:val="none" w:sz="0" w:space="0" w:color="auto"/>
        <w:bottom w:val="none" w:sz="0" w:space="0" w:color="auto"/>
        <w:right w:val="none" w:sz="0" w:space="0" w:color="auto"/>
      </w:divBdr>
    </w:div>
    <w:div w:id="2120835718">
      <w:bodyDiv w:val="1"/>
      <w:marLeft w:val="0"/>
      <w:marRight w:val="0"/>
      <w:marTop w:val="0"/>
      <w:marBottom w:val="0"/>
      <w:divBdr>
        <w:top w:val="none" w:sz="0" w:space="0" w:color="auto"/>
        <w:left w:val="none" w:sz="0" w:space="0" w:color="auto"/>
        <w:bottom w:val="none" w:sz="0" w:space="0" w:color="auto"/>
        <w:right w:val="none" w:sz="0" w:space="0" w:color="auto"/>
      </w:divBdr>
    </w:div>
    <w:div w:id="2122916111">
      <w:bodyDiv w:val="1"/>
      <w:marLeft w:val="0"/>
      <w:marRight w:val="0"/>
      <w:marTop w:val="0"/>
      <w:marBottom w:val="0"/>
      <w:divBdr>
        <w:top w:val="none" w:sz="0" w:space="0" w:color="auto"/>
        <w:left w:val="none" w:sz="0" w:space="0" w:color="auto"/>
        <w:bottom w:val="none" w:sz="0" w:space="0" w:color="auto"/>
        <w:right w:val="none" w:sz="0" w:space="0" w:color="auto"/>
      </w:divBdr>
    </w:div>
    <w:div w:id="2124107190">
      <w:bodyDiv w:val="1"/>
      <w:marLeft w:val="0"/>
      <w:marRight w:val="0"/>
      <w:marTop w:val="0"/>
      <w:marBottom w:val="0"/>
      <w:divBdr>
        <w:top w:val="none" w:sz="0" w:space="0" w:color="auto"/>
        <w:left w:val="none" w:sz="0" w:space="0" w:color="auto"/>
        <w:bottom w:val="none" w:sz="0" w:space="0" w:color="auto"/>
        <w:right w:val="none" w:sz="0" w:space="0" w:color="auto"/>
      </w:divBdr>
    </w:div>
    <w:div w:id="2127650529">
      <w:bodyDiv w:val="1"/>
      <w:marLeft w:val="0"/>
      <w:marRight w:val="0"/>
      <w:marTop w:val="0"/>
      <w:marBottom w:val="0"/>
      <w:divBdr>
        <w:top w:val="none" w:sz="0" w:space="0" w:color="auto"/>
        <w:left w:val="none" w:sz="0" w:space="0" w:color="auto"/>
        <w:bottom w:val="none" w:sz="0" w:space="0" w:color="auto"/>
        <w:right w:val="none" w:sz="0" w:space="0" w:color="auto"/>
      </w:divBdr>
    </w:div>
    <w:div w:id="2129003107">
      <w:bodyDiv w:val="1"/>
      <w:marLeft w:val="0"/>
      <w:marRight w:val="0"/>
      <w:marTop w:val="0"/>
      <w:marBottom w:val="0"/>
      <w:divBdr>
        <w:top w:val="none" w:sz="0" w:space="0" w:color="auto"/>
        <w:left w:val="none" w:sz="0" w:space="0" w:color="auto"/>
        <w:bottom w:val="none" w:sz="0" w:space="0" w:color="auto"/>
        <w:right w:val="none" w:sz="0" w:space="0" w:color="auto"/>
      </w:divBdr>
    </w:div>
    <w:div w:id="2129229765">
      <w:bodyDiv w:val="1"/>
      <w:marLeft w:val="0"/>
      <w:marRight w:val="0"/>
      <w:marTop w:val="0"/>
      <w:marBottom w:val="0"/>
      <w:divBdr>
        <w:top w:val="none" w:sz="0" w:space="0" w:color="auto"/>
        <w:left w:val="none" w:sz="0" w:space="0" w:color="auto"/>
        <w:bottom w:val="none" w:sz="0" w:space="0" w:color="auto"/>
        <w:right w:val="none" w:sz="0" w:space="0" w:color="auto"/>
      </w:divBdr>
    </w:div>
    <w:div w:id="2130850588">
      <w:bodyDiv w:val="1"/>
      <w:marLeft w:val="0"/>
      <w:marRight w:val="0"/>
      <w:marTop w:val="0"/>
      <w:marBottom w:val="0"/>
      <w:divBdr>
        <w:top w:val="none" w:sz="0" w:space="0" w:color="auto"/>
        <w:left w:val="none" w:sz="0" w:space="0" w:color="auto"/>
        <w:bottom w:val="none" w:sz="0" w:space="0" w:color="auto"/>
        <w:right w:val="none" w:sz="0" w:space="0" w:color="auto"/>
      </w:divBdr>
    </w:div>
    <w:div w:id="2131590329">
      <w:bodyDiv w:val="1"/>
      <w:marLeft w:val="0"/>
      <w:marRight w:val="0"/>
      <w:marTop w:val="0"/>
      <w:marBottom w:val="0"/>
      <w:divBdr>
        <w:top w:val="none" w:sz="0" w:space="0" w:color="auto"/>
        <w:left w:val="none" w:sz="0" w:space="0" w:color="auto"/>
        <w:bottom w:val="none" w:sz="0" w:space="0" w:color="auto"/>
        <w:right w:val="none" w:sz="0" w:space="0" w:color="auto"/>
      </w:divBdr>
    </w:div>
    <w:div w:id="2132625855">
      <w:bodyDiv w:val="1"/>
      <w:marLeft w:val="0"/>
      <w:marRight w:val="0"/>
      <w:marTop w:val="0"/>
      <w:marBottom w:val="0"/>
      <w:divBdr>
        <w:top w:val="none" w:sz="0" w:space="0" w:color="auto"/>
        <w:left w:val="none" w:sz="0" w:space="0" w:color="auto"/>
        <w:bottom w:val="none" w:sz="0" w:space="0" w:color="auto"/>
        <w:right w:val="none" w:sz="0" w:space="0" w:color="auto"/>
      </w:divBdr>
    </w:div>
    <w:div w:id="2134864880">
      <w:bodyDiv w:val="1"/>
      <w:marLeft w:val="0"/>
      <w:marRight w:val="0"/>
      <w:marTop w:val="0"/>
      <w:marBottom w:val="0"/>
      <w:divBdr>
        <w:top w:val="none" w:sz="0" w:space="0" w:color="auto"/>
        <w:left w:val="none" w:sz="0" w:space="0" w:color="auto"/>
        <w:bottom w:val="none" w:sz="0" w:space="0" w:color="auto"/>
        <w:right w:val="none" w:sz="0" w:space="0" w:color="auto"/>
      </w:divBdr>
    </w:div>
    <w:div w:id="2135097848">
      <w:bodyDiv w:val="1"/>
      <w:marLeft w:val="0"/>
      <w:marRight w:val="0"/>
      <w:marTop w:val="0"/>
      <w:marBottom w:val="0"/>
      <w:divBdr>
        <w:top w:val="none" w:sz="0" w:space="0" w:color="auto"/>
        <w:left w:val="none" w:sz="0" w:space="0" w:color="auto"/>
        <w:bottom w:val="none" w:sz="0" w:space="0" w:color="auto"/>
        <w:right w:val="none" w:sz="0" w:space="0" w:color="auto"/>
      </w:divBdr>
    </w:div>
    <w:div w:id="2135442836">
      <w:bodyDiv w:val="1"/>
      <w:marLeft w:val="0"/>
      <w:marRight w:val="0"/>
      <w:marTop w:val="0"/>
      <w:marBottom w:val="0"/>
      <w:divBdr>
        <w:top w:val="none" w:sz="0" w:space="0" w:color="auto"/>
        <w:left w:val="none" w:sz="0" w:space="0" w:color="auto"/>
        <w:bottom w:val="none" w:sz="0" w:space="0" w:color="auto"/>
        <w:right w:val="none" w:sz="0" w:space="0" w:color="auto"/>
      </w:divBdr>
    </w:div>
    <w:div w:id="2137286113">
      <w:bodyDiv w:val="1"/>
      <w:marLeft w:val="0"/>
      <w:marRight w:val="0"/>
      <w:marTop w:val="0"/>
      <w:marBottom w:val="0"/>
      <w:divBdr>
        <w:top w:val="none" w:sz="0" w:space="0" w:color="auto"/>
        <w:left w:val="none" w:sz="0" w:space="0" w:color="auto"/>
        <w:bottom w:val="none" w:sz="0" w:space="0" w:color="auto"/>
        <w:right w:val="none" w:sz="0" w:space="0" w:color="auto"/>
      </w:divBdr>
    </w:div>
    <w:div w:id="2140028285">
      <w:bodyDiv w:val="1"/>
      <w:marLeft w:val="0"/>
      <w:marRight w:val="0"/>
      <w:marTop w:val="0"/>
      <w:marBottom w:val="0"/>
      <w:divBdr>
        <w:top w:val="none" w:sz="0" w:space="0" w:color="auto"/>
        <w:left w:val="none" w:sz="0" w:space="0" w:color="auto"/>
        <w:bottom w:val="none" w:sz="0" w:space="0" w:color="auto"/>
        <w:right w:val="none" w:sz="0" w:space="0" w:color="auto"/>
      </w:divBdr>
    </w:div>
    <w:div w:id="2142190732">
      <w:bodyDiv w:val="1"/>
      <w:marLeft w:val="0"/>
      <w:marRight w:val="0"/>
      <w:marTop w:val="0"/>
      <w:marBottom w:val="0"/>
      <w:divBdr>
        <w:top w:val="none" w:sz="0" w:space="0" w:color="auto"/>
        <w:left w:val="none" w:sz="0" w:space="0" w:color="auto"/>
        <w:bottom w:val="none" w:sz="0" w:space="0" w:color="auto"/>
        <w:right w:val="none" w:sz="0" w:space="0" w:color="auto"/>
      </w:divBdr>
    </w:div>
    <w:div w:id="2145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3.xml"/><Relationship Id="rId65"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chart" Target="charts/chart3.xml"/><Relationship Id="rId8" Type="http://schemas.openxmlformats.org/officeDocument/2006/relationships/footer" Target="footer1.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FS04\BDiRW$\A%20%20%20F%20%20%20i%20%20%20Z\WYDZIA&#321;%20DR-2\POLITYKA%20D&#321;UGU\POLITYKA%20D&#321;UGU%202024-2050\2023.10.27%20Wykresy%20do%20polityki%20d&#322;ugu%20wg%20WPF%202024-20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S04\BDiRW$\A%20%20%20F%20%20%20i%20%20%20Z\WYDZIA&#321;%20DR-2\POLITYKA%20D&#321;UGU\POLITYKA%20D&#321;UGU%202024-2050\2023.10.27%20Wykresy%20do%20polityki%20d&#322;ugu%20wg%20WPF%202024-205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S04\BDiRW$\A%20%20%20F%20%20%20i%20%20%20Z\WYDZIA&#321;%20DR-2\POLITYKA%20D&#321;UGU\POLITYKA%20D&#321;UGU%202024-2050\18.12.2023\2023.12.15%20Wykresy%20do%20polityki%20d&#322;ugu%20wg%20WPF%202024-205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34313698592559E-2"/>
          <c:y val="0.12701559363903042"/>
          <c:w val="0.92176568630140743"/>
          <c:h val="0.71320590808501882"/>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13"/>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49B-4658-B852-89A096CC928A}"/>
              </c:ext>
            </c:extLst>
          </c:dPt>
          <c:dLbls>
            <c:dLbl>
              <c:idx val="0"/>
              <c:layout>
                <c:manualLayout>
                  <c:x val="0"/>
                  <c:y val="1.9273497788041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B-4658-B852-89A096CC928A}"/>
                </c:ext>
              </c:extLst>
            </c:dLbl>
            <c:dLbl>
              <c:idx val="1"/>
              <c:layout>
                <c:manualLayout>
                  <c:x val="0"/>
                  <c:y val="2.72158921311306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B-4658-B852-89A096CC928A}"/>
                </c:ext>
              </c:extLst>
            </c:dLbl>
            <c:dLbl>
              <c:idx val="2"/>
              <c:layout>
                <c:manualLayout>
                  <c:x val="0"/>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B-4658-B852-89A096CC928A}"/>
                </c:ext>
              </c:extLst>
            </c:dLbl>
            <c:dLbl>
              <c:idx val="3"/>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9B-4658-B852-89A096CC928A}"/>
                </c:ext>
              </c:extLst>
            </c:dLbl>
            <c:dLbl>
              <c:idx val="4"/>
              <c:layout>
                <c:manualLayout>
                  <c:x val="-7.9737231788320674E-17"/>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B-4658-B852-89A096CC928A}"/>
                </c:ext>
              </c:extLst>
            </c:dLbl>
            <c:dLbl>
              <c:idx val="5"/>
              <c:layout>
                <c:manualLayout>
                  <c:x val="0"/>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9B-4658-B852-89A096CC928A}"/>
                </c:ext>
              </c:extLst>
            </c:dLbl>
            <c:dLbl>
              <c:idx val="6"/>
              <c:layout>
                <c:manualLayout>
                  <c:x val="-7.9737231788320674E-17"/>
                  <c:y val="5.15053265400648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9B-4658-B852-89A096CC928A}"/>
                </c:ext>
              </c:extLst>
            </c:dLbl>
            <c:dLbl>
              <c:idx val="7"/>
              <c:layout>
                <c:manualLayout>
                  <c:x val="-2.1746768978080744E-3"/>
                  <c:y val="1.56080489938757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9B-4658-B852-89A096CC928A}"/>
                </c:ext>
              </c:extLst>
            </c:dLbl>
            <c:dLbl>
              <c:idx val="8"/>
              <c:layout>
                <c:manualLayout>
                  <c:x val="-1.5947446357664132E-16"/>
                  <c:y val="2.6065565333745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49B-4658-B852-89A096CC928A}"/>
                </c:ext>
              </c:extLst>
            </c:dLbl>
            <c:dLbl>
              <c:idx val="9"/>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49B-4658-B852-89A096CC928A}"/>
                </c:ext>
              </c:extLst>
            </c:dLbl>
            <c:dLbl>
              <c:idx val="10"/>
              <c:layout>
                <c:manualLayout>
                  <c:x val="0"/>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49B-4658-B852-89A096CC928A}"/>
                </c:ext>
              </c:extLst>
            </c:dLbl>
            <c:dLbl>
              <c:idx val="11"/>
              <c:layout>
                <c:manualLayout>
                  <c:x val="-1.5947446357664132E-16"/>
                  <c:y val="2.6065565333744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9B-4658-B852-89A096CC928A}"/>
                </c:ext>
              </c:extLst>
            </c:dLbl>
            <c:dLbl>
              <c:idx val="12"/>
              <c:layout>
                <c:manualLayout>
                  <c:x val="2.3104218846187992E-3"/>
                  <c:y val="3.6653388914620964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5370722613300805E-2"/>
                      <c:h val="8.1098039215686257E-2"/>
                    </c:manualLayout>
                  </c15:layout>
                </c:ext>
                <c:ext xmlns:c16="http://schemas.microsoft.com/office/drawing/2014/chart" uri="{C3380CC4-5D6E-409C-BE32-E72D297353CC}">
                  <c16:uniqueId val="{0000000E-349B-4658-B852-89A096CC928A}"/>
                </c:ext>
              </c:extLst>
            </c:dLbl>
            <c:dLbl>
              <c:idx val="13"/>
              <c:layout>
                <c:manualLayout>
                  <c:x val="-1.6319867343894043E-3"/>
                  <c:y val="2.3547000623527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B-4658-B852-89A096CC928A}"/>
                </c:ext>
              </c:extLst>
            </c:dLbl>
            <c:numFmt formatCode="#,##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'wykres 1'!$C$5:$P$5</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III kw. 2023</c:v>
                </c:pt>
                <c:pt idx="13">
                  <c:v>2023 prognoza</c:v>
                </c:pt>
              </c:strCache>
            </c:strRef>
          </c:cat>
          <c:val>
            <c:numRef>
              <c:f>'wykres 1'!$C$6:$P$6</c:f>
              <c:numCache>
                <c:formatCode>_-* #\ ##0\ _z_ł_-;\-* #\ ##0\ _z_ł_-;_-* "-"??\ _z_ł_-;_-@_-</c:formatCode>
                <c:ptCount val="14"/>
                <c:pt idx="0">
                  <c:v>5966430197</c:v>
                </c:pt>
                <c:pt idx="1">
                  <c:v>5695542324</c:v>
                </c:pt>
                <c:pt idx="2">
                  <c:v>5925200031.4799995</c:v>
                </c:pt>
                <c:pt idx="3">
                  <c:v>6037695386.2399998</c:v>
                </c:pt>
                <c:pt idx="4">
                  <c:v>5858189151.1499996</c:v>
                </c:pt>
                <c:pt idx="5">
                  <c:v>5677258765.0200005</c:v>
                </c:pt>
                <c:pt idx="6">
                  <c:v>5126282469.29</c:v>
                </c:pt>
                <c:pt idx="7">
                  <c:v>4569251864.79</c:v>
                </c:pt>
                <c:pt idx="8">
                  <c:v>3895705252.7399998</c:v>
                </c:pt>
                <c:pt idx="9" formatCode="#,##0">
                  <c:v>5652807854.1499996</c:v>
                </c:pt>
                <c:pt idx="10" formatCode="#,##0">
                  <c:v>5811104135.96</c:v>
                </c:pt>
                <c:pt idx="11" formatCode="#,##0">
                  <c:v>5271862547.2299995</c:v>
                </c:pt>
                <c:pt idx="12" formatCode="#,##0">
                  <c:v>5131050434.8199997</c:v>
                </c:pt>
                <c:pt idx="13" formatCode="#,##0">
                  <c:v>5407225023.2999973</c:v>
                </c:pt>
              </c:numCache>
            </c:numRef>
          </c:val>
          <c:extLst>
            <c:ext xmlns:c16="http://schemas.microsoft.com/office/drawing/2014/chart" uri="{C3380CC4-5D6E-409C-BE32-E72D297353CC}">
              <c16:uniqueId val="{0000000F-349B-4658-B852-89A096CC928A}"/>
            </c:ext>
          </c:extLst>
        </c:ser>
        <c:dLbls>
          <c:showLegendKey val="0"/>
          <c:showVal val="1"/>
          <c:showCatName val="0"/>
          <c:showSerName val="0"/>
          <c:showPercent val="0"/>
          <c:showBubbleSize val="0"/>
        </c:dLbls>
        <c:gapWidth val="100"/>
        <c:overlap val="-24"/>
        <c:axId val="75326208"/>
        <c:axId val="75327744"/>
      </c:barChart>
      <c:catAx>
        <c:axId val="7532620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7744"/>
        <c:crosses val="autoZero"/>
        <c:auto val="1"/>
        <c:lblAlgn val="ctr"/>
        <c:lblOffset val="100"/>
        <c:noMultiLvlLbl val="0"/>
      </c:catAx>
      <c:valAx>
        <c:axId val="75327744"/>
        <c:scaling>
          <c:orientation val="minMax"/>
        </c:scaling>
        <c:delete val="0"/>
        <c:axPos val="l"/>
        <c:majorGridlines>
          <c:spPr>
            <a:ln w="9525" cap="flat" cmpd="sng" algn="ctr">
              <a:solidFill>
                <a:schemeClr val="tx2">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75326208"/>
        <c:crosses val="autoZero"/>
        <c:crossBetween val="between"/>
        <c:majorUnit val="1000000000"/>
        <c:dispUnits>
          <c:builtInUnit val="millions"/>
          <c:dispUnitsLbl>
            <c:layout>
              <c:manualLayout>
                <c:xMode val="edge"/>
                <c:yMode val="edge"/>
                <c:x val="1.540842830276904E-3"/>
                <c:y val="3.5275590551181093E-3"/>
              </c:manualLayout>
            </c:layout>
            <c:tx>
              <c:rich>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pl-PL">
                      <a:solidFill>
                        <a:sysClr val="windowText" lastClr="000000"/>
                      </a:solidFill>
                    </a:rPr>
                    <a:t>mln PLN </a:t>
                  </a:r>
                </a:p>
              </c:rich>
            </c:tx>
            <c:spPr>
              <a:noFill/>
              <a:ln>
                <a:noFill/>
              </a:ln>
              <a:effectLst/>
            </c:spPr>
            <c:txPr>
              <a:bodyPr rot="0" spcFirstLastPara="1" vertOverflow="ellipsis" wrap="square" anchor="ctr" anchorCtr="1"/>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534512376061037E-2"/>
          <c:y val="0.10232649483664988"/>
          <c:w val="0.89469277151166915"/>
          <c:h val="0.67931774985807014"/>
        </c:manualLayout>
      </c:layout>
      <c:barChart>
        <c:barDir val="col"/>
        <c:grouping val="stacked"/>
        <c:varyColors val="0"/>
        <c:ser>
          <c:idx val="0"/>
          <c:order val="0"/>
          <c:tx>
            <c:strRef>
              <c:f>'wykres 2 '!$A$9:$E$9</c:f>
              <c:strCache>
                <c:ptCount val="5"/>
                <c:pt idx="0">
                  <c:v>Zadłużenie zaciagnięte przed 2023 r.</c:v>
                </c:pt>
              </c:strCache>
            </c:strRef>
          </c:tx>
          <c:spPr>
            <a:pattFill prst="wdUpDiag">
              <a:fgClr>
                <a:srgbClr val="558ED5"/>
              </a:fgClr>
              <a:bgClr>
                <a:sysClr val="window" lastClr="FFFFFF"/>
              </a:bgClr>
            </a:pattFill>
            <a:ln>
              <a:solidFill>
                <a:srgbClr val="000000"/>
              </a:solidFill>
            </a:ln>
          </c:spPr>
          <c:invertIfNegative val="0"/>
          <c:cat>
            <c:numRef>
              <c:f>'wykres 2 '!$F$8:$AH$8</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'wykres 2 '!$F$9:$AH$9</c:f>
              <c:numCache>
                <c:formatCode>_-* #\ ##0\ _z_ł_-;\-* #\ ##0\ _z_ł_-;_-* "-"??\ _z_ł_-;_-@_-</c:formatCode>
                <c:ptCount val="29"/>
                <c:pt idx="0">
                  <c:v>5271862547.2299995</c:v>
                </c:pt>
                <c:pt idx="1">
                  <c:v>5086205023.2333336</c:v>
                </c:pt>
                <c:pt idx="2">
                  <c:v>4870303693.3045616</c:v>
                </c:pt>
                <c:pt idx="3">
                  <c:v>4376090841.4243431</c:v>
                </c:pt>
                <c:pt idx="4">
                  <c:v>3961953638.3225255</c:v>
                </c:pt>
                <c:pt idx="5">
                  <c:v>3519550259.8759069</c:v>
                </c:pt>
                <c:pt idx="6">
                  <c:v>2944344738.5396891</c:v>
                </c:pt>
                <c:pt idx="7">
                  <c:v>2636462074.3506713</c:v>
                </c:pt>
                <c:pt idx="8">
                  <c:v>2173323777.5416532</c:v>
                </c:pt>
                <c:pt idx="9">
                  <c:v>1951487774.8726349</c:v>
                </c:pt>
                <c:pt idx="10">
                  <c:v>1741318438.8702836</c:v>
                </c:pt>
                <c:pt idx="11">
                  <c:v>1541675418.3253851</c:v>
                </c:pt>
                <c:pt idx="12">
                  <c:v>1390561472.4715388</c:v>
                </c:pt>
                <c:pt idx="13">
                  <c:v>1239447526.6176927</c:v>
                </c:pt>
                <c:pt idx="14">
                  <c:v>1088333580.7638464</c:v>
                </c:pt>
                <c:pt idx="15">
                  <c:v>937219634.91000032</c:v>
                </c:pt>
                <c:pt idx="16">
                  <c:v>797813005.99615419</c:v>
                </c:pt>
                <c:pt idx="17">
                  <c:v>670113694.392308</c:v>
                </c:pt>
                <c:pt idx="18">
                  <c:v>588755846.09846199</c:v>
                </c:pt>
                <c:pt idx="19">
                  <c:v>519230769.20461577</c:v>
                </c:pt>
                <c:pt idx="20">
                  <c:v>461538461.51076961</c:v>
                </c:pt>
                <c:pt idx="21">
                  <c:v>403846153.8169235</c:v>
                </c:pt>
                <c:pt idx="22">
                  <c:v>346153846.12307733</c:v>
                </c:pt>
                <c:pt idx="23">
                  <c:v>288461538.42923123</c:v>
                </c:pt>
                <c:pt idx="24">
                  <c:v>230769230.73538506</c:v>
                </c:pt>
                <c:pt idx="25">
                  <c:v>173076923.04153892</c:v>
                </c:pt>
                <c:pt idx="26">
                  <c:v>115384615.34769277</c:v>
                </c:pt>
                <c:pt idx="27">
                  <c:v>57692307.653846622</c:v>
                </c:pt>
                <c:pt idx="28">
                  <c:v>0</c:v>
                </c:pt>
              </c:numCache>
            </c:numRef>
          </c:val>
          <c:extLst>
            <c:ext xmlns:c16="http://schemas.microsoft.com/office/drawing/2014/chart" uri="{C3380CC4-5D6E-409C-BE32-E72D297353CC}">
              <c16:uniqueId val="{00000000-27B6-4618-AF88-6274581FEE8C}"/>
            </c:ext>
          </c:extLst>
        </c:ser>
        <c:ser>
          <c:idx val="1"/>
          <c:order val="1"/>
          <c:tx>
            <c:strRef>
              <c:f>'wykres 2 '!$A$10:$E$10</c:f>
              <c:strCache>
                <c:ptCount val="5"/>
                <c:pt idx="0">
                  <c:v>Prognozowane zadłużenie zaciagnięte od 2023 r.</c:v>
                </c:pt>
              </c:strCache>
            </c:strRef>
          </c:tx>
          <c:spPr>
            <a:pattFill prst="dkHorz">
              <a:fgClr>
                <a:srgbClr val="FF0000"/>
              </a:fgClr>
              <a:bgClr>
                <a:sysClr val="window" lastClr="FFFFFF"/>
              </a:bgClr>
            </a:pattFill>
            <a:ln>
              <a:solidFill>
                <a:srgbClr val="000000"/>
              </a:solidFill>
            </a:ln>
          </c:spPr>
          <c:invertIfNegative val="0"/>
          <c:cat>
            <c:numRef>
              <c:f>'wykres 2 '!$F$8:$AH$8</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'wykres 2 '!$F$10:$AH$10</c:f>
              <c:numCache>
                <c:formatCode>_-* #\ ##0\ _z_ł_-;\-* #\ ##0\ _z_ł_-;_-* "-"??\ _z_ł_-;_-@_-</c:formatCode>
                <c:ptCount val="29"/>
                <c:pt idx="0">
                  <c:v>0</c:v>
                </c:pt>
                <c:pt idx="1">
                  <c:v>582375311.76666641</c:v>
                </c:pt>
                <c:pt idx="2">
                  <c:v>3390181999.6954384</c:v>
                </c:pt>
                <c:pt idx="3">
                  <c:v>5976377296.5756569</c:v>
                </c:pt>
                <c:pt idx="4">
                  <c:v>7127808904.677475</c:v>
                </c:pt>
                <c:pt idx="5">
                  <c:v>7801056010.1240931</c:v>
                </c:pt>
                <c:pt idx="6">
                  <c:v>7761327014.4603109</c:v>
                </c:pt>
                <c:pt idx="7">
                  <c:v>7584943138.6493282</c:v>
                </c:pt>
                <c:pt idx="8">
                  <c:v>7306122279.4583473</c:v>
                </c:pt>
                <c:pt idx="9">
                  <c:v>6990468712.1273651</c:v>
                </c:pt>
                <c:pt idx="10">
                  <c:v>6619154144.1297169</c:v>
                </c:pt>
                <c:pt idx="11">
                  <c:v>6247839575.6746149</c:v>
                </c:pt>
                <c:pt idx="12">
                  <c:v>5874747683.5284615</c:v>
                </c:pt>
                <c:pt idx="13">
                  <c:v>5501655791.3823071</c:v>
                </c:pt>
                <c:pt idx="14">
                  <c:v>5129144359.2361536</c:v>
                </c:pt>
                <c:pt idx="15">
                  <c:v>4758374327.0900002</c:v>
                </c:pt>
                <c:pt idx="16">
                  <c:v>4387604295.0038462</c:v>
                </c:pt>
                <c:pt idx="17">
                  <c:v>4016834262.6076918</c:v>
                </c:pt>
                <c:pt idx="18">
                  <c:v>3646611229.9015379</c:v>
                </c:pt>
                <c:pt idx="19">
                  <c:v>3276388197.7953844</c:v>
                </c:pt>
                <c:pt idx="20">
                  <c:v>2906165165.4892302</c:v>
                </c:pt>
                <c:pt idx="21">
                  <c:v>2535942133.1830764</c:v>
                </c:pt>
                <c:pt idx="22">
                  <c:v>2165719100.8769226</c:v>
                </c:pt>
                <c:pt idx="23">
                  <c:v>1795496068.5707688</c:v>
                </c:pt>
                <c:pt idx="24">
                  <c:v>1425273036.2646151</c:v>
                </c:pt>
                <c:pt idx="25">
                  <c:v>1055050003.958461</c:v>
                </c:pt>
                <c:pt idx="26">
                  <c:v>684826971.65230727</c:v>
                </c:pt>
                <c:pt idx="27">
                  <c:v>342413463.34615338</c:v>
                </c:pt>
                <c:pt idx="28">
                  <c:v>0</c:v>
                </c:pt>
              </c:numCache>
            </c:numRef>
          </c:val>
          <c:extLst>
            <c:ext xmlns:c16="http://schemas.microsoft.com/office/drawing/2014/chart" uri="{C3380CC4-5D6E-409C-BE32-E72D297353CC}">
              <c16:uniqueId val="{00000001-27B6-4618-AF88-6274581FEE8C}"/>
            </c:ext>
          </c:extLst>
        </c:ser>
        <c:dLbls>
          <c:showLegendKey val="0"/>
          <c:showVal val="0"/>
          <c:showCatName val="0"/>
          <c:showSerName val="0"/>
          <c:showPercent val="0"/>
          <c:showBubbleSize val="0"/>
        </c:dLbls>
        <c:gapWidth val="150"/>
        <c:overlap val="100"/>
        <c:axId val="75284864"/>
        <c:axId val="75286400"/>
      </c:barChart>
      <c:catAx>
        <c:axId val="75284864"/>
        <c:scaling>
          <c:orientation val="minMax"/>
        </c:scaling>
        <c:delete val="0"/>
        <c:axPos val="b"/>
        <c:numFmt formatCode="General" sourceLinked="1"/>
        <c:majorTickMark val="out"/>
        <c:minorTickMark val="none"/>
        <c:tickLblPos val="nextTo"/>
        <c:txPr>
          <a:bodyPr/>
          <a:lstStyle/>
          <a:p>
            <a:pPr>
              <a:defRPr sz="800" b="0"/>
            </a:pPr>
            <a:endParaRPr lang="pl-PL"/>
          </a:p>
        </c:txPr>
        <c:crossAx val="75286400"/>
        <c:crosses val="autoZero"/>
        <c:auto val="1"/>
        <c:lblAlgn val="ctr"/>
        <c:lblOffset val="100"/>
        <c:noMultiLvlLbl val="0"/>
      </c:catAx>
      <c:valAx>
        <c:axId val="75286400"/>
        <c:scaling>
          <c:orientation val="minMax"/>
          <c:min val="0"/>
        </c:scaling>
        <c:delete val="0"/>
        <c:axPos val="l"/>
        <c:majorGridlines/>
        <c:numFmt formatCode="_-* #\ ##0\ _z_ł_-;\-* #\ ##0\ _z_ł_-;_-* &quot;-&quot;??\ _z_ł_-;_-@_-" sourceLinked="1"/>
        <c:majorTickMark val="out"/>
        <c:minorTickMark val="none"/>
        <c:tickLblPos val="nextTo"/>
        <c:txPr>
          <a:bodyPr/>
          <a:lstStyle/>
          <a:p>
            <a:pPr>
              <a:defRPr sz="700" b="1">
                <a:latin typeface="Verdana" panose="020B0604030504040204" pitchFamily="34" charset="0"/>
                <a:ea typeface="Verdana" panose="020B0604030504040204" pitchFamily="34" charset="0"/>
              </a:defRPr>
            </a:pPr>
            <a:endParaRPr lang="pl-PL"/>
          </a:p>
        </c:txPr>
        <c:crossAx val="75284864"/>
        <c:crossesAt val="1"/>
        <c:crossBetween val="between"/>
        <c:dispUnits>
          <c:builtInUnit val="millions"/>
          <c:dispUnitsLbl>
            <c:layout>
              <c:manualLayout>
                <c:xMode val="edge"/>
                <c:yMode val="edge"/>
                <c:x val="1.5686301407446014E-3"/>
                <c:y val="3.0051259266572865E-3"/>
              </c:manualLayout>
            </c:layout>
            <c:tx>
              <c:rich>
                <a:bodyPr rot="0" vert="horz"/>
                <a:lstStyle/>
                <a:p>
                  <a:pPr>
                    <a:defRPr sz="700" b="1">
                      <a:latin typeface="Verdana" panose="020B0604030504040204" pitchFamily="34" charset="0"/>
                      <a:ea typeface="Verdana" panose="020B0604030504040204" pitchFamily="34" charset="0"/>
                    </a:defRPr>
                  </a:pPr>
                  <a:r>
                    <a:rPr lang="pl-PL" sz="700" b="1">
                      <a:latin typeface="Verdana" panose="020B0604030504040204" pitchFamily="34" charset="0"/>
                      <a:ea typeface="Verdana" panose="020B0604030504040204" pitchFamily="34" charset="0"/>
                    </a:rPr>
                    <a:t>mln PLN</a:t>
                  </a:r>
                </a:p>
              </c:rich>
            </c:tx>
          </c:dispUnitsLbl>
        </c:dispUnits>
      </c:valAx>
    </c:plotArea>
    <c:legend>
      <c:legendPos val="b"/>
      <c:layout>
        <c:manualLayout>
          <c:xMode val="edge"/>
          <c:yMode val="edge"/>
          <c:x val="4.6993744684353479E-3"/>
          <c:y val="0.9194879010029704"/>
          <c:w val="0.99530066703445508"/>
          <c:h val="8.0512098997029755E-2"/>
        </c:manualLayout>
      </c:layout>
      <c:overlay val="0"/>
      <c:txPr>
        <a:bodyPr/>
        <a:lstStyle/>
        <a:p>
          <a:pPr>
            <a:defRPr sz="800" b="1">
              <a:latin typeface="+mn-lt"/>
            </a:defRPr>
          </a:pPr>
          <a:endParaRPr lang="pl-PL"/>
        </a:p>
      </c:txPr>
    </c:legend>
    <c:plotVisOnly val="1"/>
    <c:dispBlanksAs val="gap"/>
    <c:showDLblsOverMax val="0"/>
  </c:chart>
  <c:spPr>
    <a:ln>
      <a:noFill/>
    </a:ln>
  </c:spPr>
  <c:txPr>
    <a:bodyPr/>
    <a:lstStyle/>
    <a:p>
      <a:pPr>
        <a:defRPr sz="700" b="1">
          <a:latin typeface="Verdana" panose="020B0604030504040204" pitchFamily="34" charset="0"/>
          <a:ea typeface="Verdana" panose="020B06040305040402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69252364206749E-2"/>
          <c:y val="0.12173897539453804"/>
          <c:w val="0.88480314960629924"/>
          <c:h val="0.73731797038883662"/>
        </c:manualLayout>
      </c:layout>
      <c:barChart>
        <c:barDir val="col"/>
        <c:grouping val="stacked"/>
        <c:varyColors val="0"/>
        <c:ser>
          <c:idx val="0"/>
          <c:order val="0"/>
          <c:tx>
            <c:strRef>
              <c:f>'wykres 3'!$A$5</c:f>
              <c:strCache>
                <c:ptCount val="1"/>
                <c:pt idx="0">
                  <c:v>Spłata zobowiązań zaciągniętych przed 2023 r.</c:v>
                </c:pt>
              </c:strCache>
            </c:strRef>
          </c:tx>
          <c:spPr>
            <a:pattFill prst="wdUpDiag">
              <a:fgClr>
                <a:srgbClr val="1F497D">
                  <a:lumMod val="60000"/>
                  <a:lumOff val="40000"/>
                </a:srgbClr>
              </a:fgClr>
              <a:bgClr>
                <a:sysClr val="window" lastClr="FFFFFF"/>
              </a:bgClr>
            </a:pattFill>
            <a:ln w="12700">
              <a:solidFill>
                <a:srgbClr val="000000"/>
              </a:solidFill>
              <a:prstDash val="solid"/>
            </a:ln>
          </c:spPr>
          <c:invertIfNegative val="0"/>
          <c:dPt>
            <c:idx val="8"/>
            <c:invertIfNegative val="0"/>
            <c:bubble3D val="0"/>
            <c:spPr>
              <a:pattFill prst="wdUpDiag">
                <a:fgClr>
                  <a:srgbClr val="558ED5"/>
                </a:fgClr>
                <a:bgClr>
                  <a:sysClr val="window" lastClr="FFFFFF"/>
                </a:bgClr>
              </a:pattFill>
              <a:ln w="12700">
                <a:solidFill>
                  <a:srgbClr val="000000"/>
                </a:solidFill>
                <a:prstDash val="solid"/>
              </a:ln>
            </c:spPr>
            <c:extLst>
              <c:ext xmlns:c16="http://schemas.microsoft.com/office/drawing/2014/chart" uri="{C3380CC4-5D6E-409C-BE32-E72D297353CC}">
                <c16:uniqueId val="{00000001-6DC1-43B4-BC19-5E99B9519BE6}"/>
              </c:ext>
            </c:extLst>
          </c:dPt>
          <c:cat>
            <c:numRef>
              <c:f>'wykres 3'!$C$4:$AE$4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'wykres 3'!$C$5:$AE$5</c:f>
              <c:numCache>
                <c:formatCode>_-* #\ ##0\ _z_ł_-;\-* #\ ##0\ _z_ł_-;_-* "-"\ _z_ł_-;_-@_-</c:formatCode>
                <c:ptCount val="29"/>
                <c:pt idx="0">
                  <c:v>551281317</c:v>
                </c:pt>
                <c:pt idx="1">
                  <c:v>215901330</c:v>
                </c:pt>
                <c:pt idx="2">
                  <c:v>215901330</c:v>
                </c:pt>
                <c:pt idx="3">
                  <c:v>488767365</c:v>
                </c:pt>
                <c:pt idx="4">
                  <c:v>407495511.48148149</c:v>
                </c:pt>
                <c:pt idx="5">
                  <c:v>433414901.48148149</c:v>
                </c:pt>
                <c:pt idx="6">
                  <c:v>566985490.48148143</c:v>
                </c:pt>
                <c:pt idx="7">
                  <c:v>289760256.74977422</c:v>
                </c:pt>
                <c:pt idx="8">
                  <c:v>447248614.50587165</c:v>
                </c:pt>
                <c:pt idx="9">
                  <c:v>207111043.63407683</c:v>
                </c:pt>
                <c:pt idx="10">
                  <c:v>189706630.76921195</c:v>
                </c:pt>
                <c:pt idx="11">
                  <c:v>179180315.76921195</c:v>
                </c:pt>
                <c:pt idx="12">
                  <c:v>133780288.76921195</c:v>
                </c:pt>
                <c:pt idx="13">
                  <c:v>133780288.76921195</c:v>
                </c:pt>
                <c:pt idx="14">
                  <c:v>134318162.10254532</c:v>
                </c:pt>
                <c:pt idx="15">
                  <c:v>133695095.43587863</c:v>
                </c:pt>
                <c:pt idx="16">
                  <c:v>122153704.3618046</c:v>
                </c:pt>
                <c:pt idx="17">
                  <c:v>110612313.28773052</c:v>
                </c:pt>
                <c:pt idx="18">
                  <c:v>63723850.287730515</c:v>
                </c:pt>
                <c:pt idx="19">
                  <c:v>69525076.893846154</c:v>
                </c:pt>
                <c:pt idx="20">
                  <c:v>57692307.693846151</c:v>
                </c:pt>
                <c:pt idx="21">
                  <c:v>57692307.693846151</c:v>
                </c:pt>
                <c:pt idx="22">
                  <c:v>57692307.693846151</c:v>
                </c:pt>
                <c:pt idx="23">
                  <c:v>57692307.693846151</c:v>
                </c:pt>
                <c:pt idx="24">
                  <c:v>57692307.693846151</c:v>
                </c:pt>
                <c:pt idx="25">
                  <c:v>57692307.693846151</c:v>
                </c:pt>
                <c:pt idx="26">
                  <c:v>57692307.693846151</c:v>
                </c:pt>
                <c:pt idx="27">
                  <c:v>57692307.693846151</c:v>
                </c:pt>
                <c:pt idx="28">
                  <c:v>57692307.693846151</c:v>
                </c:pt>
              </c:numCache>
            </c:numRef>
          </c:val>
          <c:extLst>
            <c:ext xmlns:c16="http://schemas.microsoft.com/office/drawing/2014/chart" uri="{C3380CC4-5D6E-409C-BE32-E72D297353CC}">
              <c16:uniqueId val="{00000002-6DC1-43B4-BC19-5E99B9519BE6}"/>
            </c:ext>
          </c:extLst>
        </c:ser>
        <c:ser>
          <c:idx val="1"/>
          <c:order val="1"/>
          <c:tx>
            <c:strRef>
              <c:f>'wykres 3'!$A$6</c:f>
              <c:strCache>
                <c:ptCount val="1"/>
                <c:pt idx="0">
                  <c:v>Spłata zobowiązań zaciągniętych od 2023r.</c:v>
                </c:pt>
              </c:strCache>
            </c:strRef>
          </c:tx>
          <c:spPr>
            <a:pattFill prst="dkHorz">
              <a:fgClr>
                <a:srgbClr val="FF0000"/>
              </a:fgClr>
              <a:bgClr>
                <a:sysClr val="window" lastClr="FFFFFF"/>
              </a:bgClr>
            </a:pattFill>
            <a:ln w="12700">
              <a:solidFill>
                <a:srgbClr val="000000"/>
              </a:solidFill>
              <a:prstDash val="solid"/>
            </a:ln>
          </c:spPr>
          <c:invertIfNegative val="0"/>
          <c:cat>
            <c:numRef>
              <c:f>'wykres 3'!$C$4:$AE$4</c:f>
              <c:numCache>
                <c:formatCode>General</c:formatCode>
                <c:ptCount val="2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numCache>
            </c:numRef>
          </c:cat>
          <c:val>
            <c:numRef>
              <c:f>'wykres 3'!$C$6:$AE$6</c:f>
              <c:numCache>
                <c:formatCode>_-* #\ ##0\ _z_ł_-;\-* #\ ##0\ _z_ł_-;_-* "-"\ _z_ł_-;_-@_-</c:formatCode>
                <c:ptCount val="29"/>
                <c:pt idx="0">
                  <c:v>0</c:v>
                </c:pt>
                <c:pt idx="1">
                  <c:v>0</c:v>
                </c:pt>
                <c:pt idx="2">
                  <c:v>0</c:v>
                </c:pt>
                <c:pt idx="3">
                  <c:v>331851.85185185185</c:v>
                </c:pt>
                <c:pt idx="4">
                  <c:v>2568518.5185185182</c:v>
                </c:pt>
                <c:pt idx="5">
                  <c:v>2568518.5185185182</c:v>
                </c:pt>
                <c:pt idx="6">
                  <c:v>46081388.518518515</c:v>
                </c:pt>
                <c:pt idx="7">
                  <c:v>193154559.25022581</c:v>
                </c:pt>
                <c:pt idx="8">
                  <c:v>293358817.49412835</c:v>
                </c:pt>
                <c:pt idx="9">
                  <c:v>329026802.36592317</c:v>
                </c:pt>
                <c:pt idx="10">
                  <c:v>390425549.23078805</c:v>
                </c:pt>
                <c:pt idx="11">
                  <c:v>390425549.23078805</c:v>
                </c:pt>
                <c:pt idx="12">
                  <c:v>390425549.23078805</c:v>
                </c:pt>
                <c:pt idx="13">
                  <c:v>390425549.23078805</c:v>
                </c:pt>
                <c:pt idx="14">
                  <c:v>389307215.89745468</c:v>
                </c:pt>
                <c:pt idx="15">
                  <c:v>388188882.56412137</c:v>
                </c:pt>
                <c:pt idx="16">
                  <c:v>388022956.6381954</c:v>
                </c:pt>
                <c:pt idx="17">
                  <c:v>387857030.71226948</c:v>
                </c:pt>
                <c:pt idx="18">
                  <c:v>387857030.71226948</c:v>
                </c:pt>
                <c:pt idx="19">
                  <c:v>370223032.10615385</c:v>
                </c:pt>
                <c:pt idx="20">
                  <c:v>370223032.30615383</c:v>
                </c:pt>
                <c:pt idx="21">
                  <c:v>370223032.30615383</c:v>
                </c:pt>
                <c:pt idx="22">
                  <c:v>370223032.30615383</c:v>
                </c:pt>
                <c:pt idx="23">
                  <c:v>370223032.30615383</c:v>
                </c:pt>
                <c:pt idx="24">
                  <c:v>370223032.30615383</c:v>
                </c:pt>
                <c:pt idx="25">
                  <c:v>370223032.30615383</c:v>
                </c:pt>
                <c:pt idx="26">
                  <c:v>370223032.30615383</c:v>
                </c:pt>
                <c:pt idx="27">
                  <c:v>342413508.30615383</c:v>
                </c:pt>
                <c:pt idx="28">
                  <c:v>342413463.30615383</c:v>
                </c:pt>
              </c:numCache>
            </c:numRef>
          </c:val>
          <c:extLst>
            <c:ext xmlns:c16="http://schemas.microsoft.com/office/drawing/2014/chart" uri="{C3380CC4-5D6E-409C-BE32-E72D297353CC}">
              <c16:uniqueId val="{00000003-6DC1-43B4-BC19-5E99B9519BE6}"/>
            </c:ext>
          </c:extLst>
        </c:ser>
        <c:dLbls>
          <c:showLegendKey val="0"/>
          <c:showVal val="0"/>
          <c:showCatName val="0"/>
          <c:showSerName val="0"/>
          <c:showPercent val="0"/>
          <c:showBubbleSize val="0"/>
        </c:dLbls>
        <c:gapWidth val="100"/>
        <c:overlap val="100"/>
        <c:axId val="73996160"/>
        <c:axId val="73997696"/>
      </c:barChart>
      <c:catAx>
        <c:axId val="73996160"/>
        <c:scaling>
          <c:orientation val="minMax"/>
        </c:scaling>
        <c:delete val="0"/>
        <c:axPos val="t"/>
        <c:numFmt formatCode="General" sourceLinked="1"/>
        <c:majorTickMark val="none"/>
        <c:minorTickMark val="out"/>
        <c:tickLblPos val="low"/>
        <c:spPr>
          <a:ln w="3175">
            <a:solidFill>
              <a:srgbClr val="000000"/>
            </a:solidFill>
            <a:prstDash val="solid"/>
          </a:ln>
        </c:spPr>
        <c:txPr>
          <a:bodyPr rot="-2100000" vert="horz"/>
          <a:lstStyle/>
          <a:p>
            <a:pPr rtl="1">
              <a:defRPr sz="800">
                <a:latin typeface="Verdana" panose="020B0604030504040204" pitchFamily="34" charset="0"/>
                <a:ea typeface="Verdana" panose="020B0604030504040204" pitchFamily="34" charset="0"/>
              </a:defRPr>
            </a:pPr>
            <a:endParaRPr lang="pl-PL"/>
          </a:p>
        </c:txPr>
        <c:crossAx val="73997696"/>
        <c:crosses val="autoZero"/>
        <c:auto val="1"/>
        <c:lblAlgn val="ctr"/>
        <c:lblOffset val="80"/>
        <c:tickLblSkip val="1"/>
        <c:tickMarkSkip val="1"/>
        <c:noMultiLvlLbl val="0"/>
      </c:catAx>
      <c:valAx>
        <c:axId val="73997696"/>
        <c:scaling>
          <c:orientation val="maxMin"/>
        </c:scaling>
        <c:delete val="0"/>
        <c:axPos val="l"/>
        <c:numFmt formatCode="_-* #\ ##0\ _z_ł_-;\-* #\ ##0\ _z_ł_-;_-* &quot;-&quot;\ _z_ł_-;_-@_-" sourceLinked="1"/>
        <c:majorTickMark val="out"/>
        <c:minorTickMark val="none"/>
        <c:tickLblPos val="nextTo"/>
        <c:spPr>
          <a:ln w="3175">
            <a:solidFill>
              <a:srgbClr val="000000"/>
            </a:solidFill>
            <a:prstDash val="solid"/>
          </a:ln>
        </c:spPr>
        <c:txPr>
          <a:bodyPr rot="0" vert="horz"/>
          <a:lstStyle/>
          <a:p>
            <a:pPr>
              <a:defRPr sz="700" b="1">
                <a:latin typeface="Verdana" panose="020B0604030504040204" pitchFamily="34" charset="0"/>
                <a:ea typeface="Verdana" panose="020B0604030504040204" pitchFamily="34" charset="0"/>
              </a:defRPr>
            </a:pPr>
            <a:endParaRPr lang="pl-PL"/>
          </a:p>
        </c:txPr>
        <c:crossAx val="73996160"/>
        <c:crosses val="autoZero"/>
        <c:crossBetween val="between"/>
        <c:majorUnit val="200000000"/>
        <c:dispUnits>
          <c:builtInUnit val="millions"/>
          <c:dispUnitsLbl>
            <c:layout>
              <c:manualLayout>
                <c:xMode val="edge"/>
                <c:yMode val="edge"/>
                <c:x val="1.0116884380564045E-2"/>
                <c:y val="2.1125220619098915E-2"/>
              </c:manualLayout>
            </c:layout>
            <c:tx>
              <c:rich>
                <a:bodyPr rot="0" vert="horz"/>
                <a:lstStyle/>
                <a:p>
                  <a:pPr algn="ctr">
                    <a:defRPr sz="700" b="1">
                      <a:latin typeface="Verdana" panose="020B0604030504040204" pitchFamily="34" charset="0"/>
                      <a:ea typeface="Verdana" panose="020B0604030504040204" pitchFamily="34" charset="0"/>
                    </a:defRPr>
                  </a:pPr>
                  <a:r>
                    <a:rPr lang="pl-PL" sz="700" b="1">
                      <a:latin typeface="Verdana" panose="020B0604030504040204" pitchFamily="34" charset="0"/>
                      <a:ea typeface="Verdana" panose="020B0604030504040204" pitchFamily="34" charset="0"/>
                    </a:rPr>
                    <a:t>mln PLN</a:t>
                  </a:r>
                </a:p>
              </c:rich>
            </c:tx>
            <c:spPr>
              <a:noFill/>
              <a:ln w="25400">
                <a:noFill/>
              </a:ln>
            </c:spPr>
          </c:dispUnitsLbl>
        </c:dispUnits>
      </c:valAx>
      <c:spPr>
        <a:solidFill>
          <a:srgbClr val="FFFFFF"/>
        </a:solidFill>
        <a:ln w="25400">
          <a:noFill/>
        </a:ln>
      </c:spPr>
    </c:plotArea>
    <c:legend>
      <c:legendPos val="r"/>
      <c:layout>
        <c:manualLayout>
          <c:xMode val="edge"/>
          <c:yMode val="edge"/>
          <c:x val="0.52444089768873758"/>
          <c:y val="0.89052522058413308"/>
          <c:w val="0.41028391406985731"/>
          <c:h val="4.2294451565647331E-2"/>
        </c:manualLayout>
      </c:layout>
      <c:overlay val="0"/>
      <c:spPr>
        <a:solidFill>
          <a:srgbClr val="FFFFFF"/>
        </a:solidFill>
        <a:ln w="25400">
          <a:noFill/>
        </a:ln>
      </c:spPr>
      <c:txPr>
        <a:bodyPr/>
        <a:lstStyle/>
        <a:p>
          <a:pPr>
            <a:defRPr sz="800" b="0"/>
          </a:pPr>
          <a:endParaRPr lang="pl-PL"/>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Verdana" panose="020B0604030504040204" pitchFamily="34" charset="0"/>
          <a:cs typeface="Arial"/>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835767323956302E-2"/>
          <c:y val="2.554278416347382E-2"/>
          <c:w val="0.9157682212800321"/>
          <c:h val="0.66922376082300061"/>
        </c:manualLayout>
      </c:layout>
      <c:lineChart>
        <c:grouping val="standard"/>
        <c:varyColors val="0"/>
        <c:ser>
          <c:idx val="0"/>
          <c:order val="0"/>
          <c:tx>
            <c:strRef>
              <c:f>'wykres 4'!$A$5</c:f>
              <c:strCache>
                <c:ptCount val="1"/>
                <c:pt idx="0">
                  <c:v>Limit obsługi długu (art. 243 ufp) z uwzględnieniem ustawowych wyłączeń </c:v>
                </c:pt>
              </c:strCache>
            </c:strRef>
          </c:tx>
          <c:spPr>
            <a:ln w="38100">
              <a:solidFill>
                <a:srgbClr val="FF0000"/>
              </a:solidFill>
              <a:prstDash val="sysDash"/>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4'!$B$5:$J$5</c:f>
              <c:numCache>
                <c:formatCode>0.00%</c:formatCode>
                <c:ptCount val="9"/>
                <c:pt idx="0">
                  <c:v>0.12280000000000001</c:v>
                </c:pt>
                <c:pt idx="1">
                  <c:v>0.1148</c:v>
                </c:pt>
                <c:pt idx="2">
                  <c:v>8.77E-2</c:v>
                </c:pt>
                <c:pt idx="3">
                  <c:v>6.4500000000000002E-2</c:v>
                </c:pt>
                <c:pt idx="4">
                  <c:v>4.53E-2</c:v>
                </c:pt>
                <c:pt idx="5">
                  <c:v>4.8300000000000003E-2</c:v>
                </c:pt>
                <c:pt idx="6">
                  <c:v>6.0499999999999998E-2</c:v>
                </c:pt>
                <c:pt idx="7">
                  <c:v>5.2900000000000003E-2</c:v>
                </c:pt>
                <c:pt idx="8">
                  <c:v>4.7199999999999999E-2</c:v>
                </c:pt>
              </c:numCache>
            </c:numRef>
          </c:val>
          <c:smooth val="0"/>
          <c:extLst>
            <c:ext xmlns:c16="http://schemas.microsoft.com/office/drawing/2014/chart" uri="{C3380CC4-5D6E-409C-BE32-E72D297353CC}">
              <c16:uniqueId val="{00000000-580C-4FEE-9873-3A6F7C3F9459}"/>
            </c:ext>
          </c:extLst>
        </c:ser>
        <c:ser>
          <c:idx val="1"/>
          <c:order val="1"/>
          <c:tx>
            <c:strRef>
              <c:f>'wykres 4'!$A$6</c:f>
              <c:strCache>
                <c:ptCount val="1"/>
                <c:pt idx="0">
                  <c:v>Wskaźnik obsługi długu z uwzględnieniem ustawowych wyłączeń </c:v>
                </c:pt>
              </c:strCache>
            </c:strRef>
          </c:tx>
          <c:spPr>
            <a:ln w="38100">
              <a:solidFill>
                <a:schemeClr val="tx2">
                  <a:lumMod val="75000"/>
                </a:schemeClr>
              </a:solidFill>
            </a:ln>
          </c:spPr>
          <c:marker>
            <c:symbol val="none"/>
          </c:marker>
          <c:cat>
            <c:numRef>
              <c:f>'wykres 4'!$B$4:$J$4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'wykres 4'!$B$6:$J$6</c:f>
              <c:numCache>
                <c:formatCode>0.00%</c:formatCode>
                <c:ptCount val="9"/>
                <c:pt idx="0">
                  <c:v>3.7199999999999997E-2</c:v>
                </c:pt>
                <c:pt idx="1">
                  <c:v>1.9099999999999999E-2</c:v>
                </c:pt>
                <c:pt idx="2">
                  <c:v>2.07E-2</c:v>
                </c:pt>
                <c:pt idx="3">
                  <c:v>3.5799999999999998E-2</c:v>
                </c:pt>
                <c:pt idx="4">
                  <c:v>3.5000000000000003E-2</c:v>
                </c:pt>
                <c:pt idx="5">
                  <c:v>3.7999999999999999E-2</c:v>
                </c:pt>
                <c:pt idx="6">
                  <c:v>4.2599999999999999E-2</c:v>
                </c:pt>
                <c:pt idx="7">
                  <c:v>4.07E-2</c:v>
                </c:pt>
                <c:pt idx="8">
                  <c:v>4.4999999999999998E-2</c:v>
                </c:pt>
              </c:numCache>
            </c:numRef>
          </c:val>
          <c:smooth val="0"/>
          <c:extLst>
            <c:ext xmlns:c16="http://schemas.microsoft.com/office/drawing/2014/chart" uri="{C3380CC4-5D6E-409C-BE32-E72D297353CC}">
              <c16:uniqueId val="{00000001-580C-4FEE-9873-3A6F7C3F9459}"/>
            </c:ext>
          </c:extLst>
        </c:ser>
        <c:dLbls>
          <c:showLegendKey val="0"/>
          <c:showVal val="0"/>
          <c:showCatName val="0"/>
          <c:showSerName val="0"/>
          <c:showPercent val="0"/>
          <c:showBubbleSize val="0"/>
        </c:dLbls>
        <c:smooth val="0"/>
        <c:axId val="79583104"/>
        <c:axId val="79584640"/>
      </c:lineChart>
      <c:catAx>
        <c:axId val="79583104"/>
        <c:scaling>
          <c:orientation val="minMax"/>
        </c:scaling>
        <c:delete val="0"/>
        <c:axPos val="b"/>
        <c:numFmt formatCode="General" sourceLinked="1"/>
        <c:majorTickMark val="none"/>
        <c:minorTickMark val="out"/>
        <c:tickLblPos val="nextTo"/>
        <c:spPr>
          <a:ln/>
        </c:spPr>
        <c:txPr>
          <a:bodyPr rot="0" vert="horz"/>
          <a:lstStyle/>
          <a:p>
            <a:pPr>
              <a:defRPr sz="800"/>
            </a:pPr>
            <a:endParaRPr lang="pl-PL"/>
          </a:p>
        </c:txPr>
        <c:crossAx val="79584640"/>
        <c:crosses val="autoZero"/>
        <c:auto val="1"/>
        <c:lblAlgn val="ctr"/>
        <c:lblOffset val="100"/>
        <c:noMultiLvlLbl val="0"/>
      </c:catAx>
      <c:valAx>
        <c:axId val="79584640"/>
        <c:scaling>
          <c:orientation val="minMax"/>
        </c:scaling>
        <c:delete val="0"/>
        <c:axPos val="l"/>
        <c:majorGridlines>
          <c:spPr>
            <a:ln w="0">
              <a:solidFill>
                <a:schemeClr val="bg1">
                  <a:lumMod val="85000"/>
                </a:schemeClr>
              </a:solidFill>
            </a:ln>
          </c:spPr>
        </c:majorGridlines>
        <c:numFmt formatCode="0%" sourceLinked="0"/>
        <c:majorTickMark val="out"/>
        <c:minorTickMark val="none"/>
        <c:tickLblPos val="nextTo"/>
        <c:txPr>
          <a:bodyPr/>
          <a:lstStyle/>
          <a:p>
            <a:pPr>
              <a:defRPr sz="700" b="1"/>
            </a:pPr>
            <a:endParaRPr lang="pl-PL"/>
          </a:p>
        </c:txPr>
        <c:crossAx val="79583104"/>
        <c:crosses val="autoZero"/>
        <c:crossBetween val="between"/>
      </c:valAx>
    </c:plotArea>
    <c:legend>
      <c:legendPos val="b"/>
      <c:legendEntry>
        <c:idx val="0"/>
        <c:txPr>
          <a:bodyPr/>
          <a:lstStyle/>
          <a:p>
            <a:pPr>
              <a:defRPr sz="800"/>
            </a:pPr>
            <a:endParaRPr lang="pl-PL"/>
          </a:p>
        </c:txPr>
      </c:legendEntry>
      <c:legendEntry>
        <c:idx val="1"/>
        <c:txPr>
          <a:bodyPr/>
          <a:lstStyle/>
          <a:p>
            <a:pPr>
              <a:defRPr sz="800"/>
            </a:pPr>
            <a:endParaRPr lang="pl-PL"/>
          </a:p>
        </c:txPr>
      </c:legendEntry>
      <c:layout>
        <c:manualLayout>
          <c:xMode val="edge"/>
          <c:yMode val="edge"/>
          <c:x val="0"/>
          <c:y val="0.87522535143229807"/>
          <c:w val="1"/>
          <c:h val="0.11398972822921628"/>
        </c:manualLayout>
      </c:layout>
      <c:overlay val="0"/>
    </c:legend>
    <c:plotVisOnly val="1"/>
    <c:dispBlanksAs val="gap"/>
    <c:showDLblsOverMax val="0"/>
  </c:chart>
  <c:spPr>
    <a:ln>
      <a:noFill/>
    </a:ln>
  </c:spPr>
  <c:txPr>
    <a:bodyPr/>
    <a:lstStyle/>
    <a:p>
      <a:pPr>
        <a:defRPr sz="900">
          <a:latin typeface="Verdana" panose="020B0604030504040204" pitchFamily="34" charset="0"/>
          <a:ea typeface="Verdana" panose="020B06040305040402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49.png"/></Relationships>
</file>

<file path=word/drawings/drawing1.xml><?xml version="1.0" encoding="utf-8"?>
<c:userShapes xmlns:c="http://schemas.openxmlformats.org/drawingml/2006/chart">
  <cdr:relSizeAnchor xmlns:cdr="http://schemas.openxmlformats.org/drawingml/2006/chartDrawing">
    <cdr:from>
      <cdr:x>0.25766</cdr:x>
      <cdr:y>0.11833</cdr:y>
    </cdr:from>
    <cdr:to>
      <cdr:x>0.28216</cdr:x>
      <cdr:y>0.80124</cdr:y>
    </cdr:to>
    <cdr:sp macro="" textlink="">
      <cdr:nvSpPr>
        <cdr:cNvPr id="2" name="Prostokąt 1"/>
        <cdr:cNvSpPr/>
      </cdr:nvSpPr>
      <cdr:spPr>
        <a:xfrm xmlns:a="http://schemas.openxmlformats.org/drawingml/2006/main">
          <a:off x="1502632" y="359543"/>
          <a:ext cx="142881" cy="207499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0.13808</cdr:x>
      <cdr:y>0.87744</cdr:y>
    </cdr:from>
    <cdr:to>
      <cdr:x>0.49568</cdr:x>
      <cdr:y>0.94154</cdr:y>
    </cdr:to>
    <cdr:pic>
      <cdr:nvPicPr>
        <cdr:cNvPr id="5" name="Obraz 4">
          <a:extLst xmlns:a="http://schemas.openxmlformats.org/drawingml/2006/main">
            <a:ext uri="{FF2B5EF4-FFF2-40B4-BE49-F238E27FC236}">
              <a16:creationId xmlns:a16="http://schemas.microsoft.com/office/drawing/2014/main" id="{57C5F5A7-20DD-4139-F3EB-394DC2DAAD80}"/>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046284" y="3051175"/>
          <a:ext cx="2709741" cy="22290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0.3257</cdr:x>
      <cdr:y>0.114</cdr:y>
    </cdr:from>
    <cdr:to>
      <cdr:x>0.35904</cdr:x>
      <cdr:y>0.83669</cdr:y>
    </cdr:to>
    <cdr:sp macro="" textlink="">
      <cdr:nvSpPr>
        <cdr:cNvPr id="2" name="Prostokąt 1"/>
        <cdr:cNvSpPr/>
      </cdr:nvSpPr>
      <cdr:spPr>
        <a:xfrm xmlns:a="http://schemas.openxmlformats.org/drawingml/2006/main">
          <a:off x="1842748" y="277972"/>
          <a:ext cx="188634" cy="176220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3.xml><?xml version="1.0" encoding="utf-8"?>
<c:userShapes xmlns:c="http://schemas.openxmlformats.org/drawingml/2006/chart">
  <cdr:relSizeAnchor xmlns:cdr="http://schemas.openxmlformats.org/drawingml/2006/chartDrawing">
    <cdr:from>
      <cdr:x>0.23086</cdr:x>
      <cdr:y>0.12016</cdr:y>
    </cdr:from>
    <cdr:to>
      <cdr:x>0.42195</cdr:x>
      <cdr:y>0.35075</cdr:y>
    </cdr:to>
    <cdr:sp macro="" textlink="">
      <cdr:nvSpPr>
        <cdr:cNvPr id="4" name="pole tekstowe 3"/>
        <cdr:cNvSpPr txBox="1"/>
      </cdr:nvSpPr>
      <cdr:spPr>
        <a:xfrm xmlns:a="http://schemas.openxmlformats.org/drawingml/2006/main">
          <a:off x="1269783" y="373112"/>
          <a:ext cx="1051032" cy="7160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800" b="1">
              <a:latin typeface="+mn-lt"/>
              <a:ea typeface="Verdana" panose="020B0604030504040204" pitchFamily="34" charset="0"/>
            </a:rPr>
            <a:t>okres</a:t>
          </a:r>
          <a:r>
            <a:rPr lang="pl-PL" sz="800" b="1" baseline="0">
              <a:latin typeface="+mn-lt"/>
              <a:ea typeface="Verdana" panose="020B0604030504040204" pitchFamily="34" charset="0"/>
            </a:rPr>
            <a:t> </a:t>
          </a:r>
          <a:r>
            <a:rPr lang="pl-PL" sz="800" b="1">
              <a:latin typeface="+mn-lt"/>
              <a:ea typeface="Verdana" panose="020B0604030504040204" pitchFamily="34" charset="0"/>
            </a:rPr>
            <a:t>zawieszenia</a:t>
          </a:r>
          <a:r>
            <a:rPr lang="pl-PL" sz="800" b="1" baseline="0">
              <a:latin typeface="+mn-lt"/>
              <a:ea typeface="Verdana" panose="020B0604030504040204" pitchFamily="34" charset="0"/>
            </a:rPr>
            <a:t>  indywidualnego limitu spłaty zobowiązań </a:t>
          </a:r>
          <a:endParaRPr lang="pl-PL" sz="800" b="1">
            <a:latin typeface="+mn-lt"/>
            <a:ea typeface="Verdana" panose="020B0604030504040204" pitchFamily="34" charset="0"/>
          </a:endParaRPr>
        </a:p>
      </cdr:txBody>
    </cdr:sp>
  </cdr:relSizeAnchor>
  <cdr:relSizeAnchor xmlns:cdr="http://schemas.openxmlformats.org/drawingml/2006/chartDrawing">
    <cdr:from>
      <cdr:x>0.21674</cdr:x>
      <cdr:y>0.02088</cdr:y>
    </cdr:from>
    <cdr:to>
      <cdr:x>0.41858</cdr:x>
      <cdr:y>0.71374</cdr:y>
    </cdr:to>
    <cdr:sp macro="" textlink="">
      <cdr:nvSpPr>
        <cdr:cNvPr id="2" name="Prostokąt 1"/>
        <cdr:cNvSpPr/>
      </cdr:nvSpPr>
      <cdr:spPr>
        <a:xfrm xmlns:a="http://schemas.openxmlformats.org/drawingml/2006/main">
          <a:off x="1207702" y="51912"/>
          <a:ext cx="1124678" cy="1722467"/>
        </a:xfrm>
        <a:prstGeom xmlns:a="http://schemas.openxmlformats.org/drawingml/2006/main" prst="rect">
          <a:avLst/>
        </a:prstGeom>
        <a:solidFill xmlns:a="http://schemas.openxmlformats.org/drawingml/2006/main">
          <a:schemeClr val="accent1">
            <a:alpha val="12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dr:relSizeAnchor xmlns:cdr="http://schemas.openxmlformats.org/drawingml/2006/chartDrawing">
    <cdr:from>
      <cdr:x>0.51663</cdr:x>
      <cdr:y>0.02482</cdr:y>
    </cdr:from>
    <cdr:to>
      <cdr:x>0.63184</cdr:x>
      <cdr:y>0.70911</cdr:y>
    </cdr:to>
    <cdr:sp macro="" textlink="">
      <cdr:nvSpPr>
        <cdr:cNvPr id="5" name="Prostokąt 4"/>
        <cdr:cNvSpPr/>
      </cdr:nvSpPr>
      <cdr:spPr>
        <a:xfrm xmlns:a="http://schemas.openxmlformats.org/drawingml/2006/main">
          <a:off x="2878724" y="61710"/>
          <a:ext cx="641964" cy="1701162"/>
        </a:xfrm>
        <a:prstGeom xmlns:a="http://schemas.openxmlformats.org/drawingml/2006/main" prst="rect">
          <a:avLst/>
        </a:prstGeom>
        <a:solidFill xmlns:a="http://schemas.openxmlformats.org/drawingml/2006/main">
          <a:srgbClr val="FF0000">
            <a:alpha val="6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0.47827</cdr:x>
      <cdr:y>0.1157</cdr:y>
    </cdr:from>
    <cdr:to>
      <cdr:x>0.66936</cdr:x>
      <cdr:y>0.36398</cdr:y>
    </cdr:to>
    <cdr:sp macro="" textlink="">
      <cdr:nvSpPr>
        <cdr:cNvPr id="6" name="pole tekstowe 1"/>
        <cdr:cNvSpPr txBox="1"/>
      </cdr:nvSpPr>
      <cdr:spPr>
        <a:xfrm xmlns:a="http://schemas.openxmlformats.org/drawingml/2006/main">
          <a:off x="2664977" y="287633"/>
          <a:ext cx="1064777" cy="6172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0000"/>
            </a:lnSpc>
          </a:pPr>
          <a:r>
            <a:rPr lang="pl-PL" sz="800" b="1">
              <a:latin typeface="+mn-lt"/>
              <a:ea typeface="Verdana" panose="020B0604030504040204" pitchFamily="34" charset="0"/>
            </a:rPr>
            <a:t>zawężenie przestrzeni</a:t>
          </a:r>
          <a:r>
            <a:rPr lang="pl-PL" sz="800" b="1" baseline="0">
              <a:latin typeface="+mn-lt"/>
              <a:ea typeface="Verdana" panose="020B0604030504040204" pitchFamily="34" charset="0"/>
            </a:rPr>
            <a:t> </a:t>
          </a:r>
        </a:p>
        <a:p xmlns:a="http://schemas.openxmlformats.org/drawingml/2006/main">
          <a:pPr algn="ctr">
            <a:lnSpc>
              <a:spcPct val="110000"/>
            </a:lnSpc>
          </a:pPr>
          <a:r>
            <a:rPr lang="pl-PL" sz="800" b="1" baseline="0">
              <a:latin typeface="+mn-lt"/>
              <a:ea typeface="Verdana" panose="020B0604030504040204" pitchFamily="34" charset="0"/>
            </a:rPr>
            <a:t>między limitem </a:t>
          </a:r>
        </a:p>
        <a:p xmlns:a="http://schemas.openxmlformats.org/drawingml/2006/main">
          <a:pPr algn="ctr">
            <a:lnSpc>
              <a:spcPct val="110000"/>
            </a:lnSpc>
          </a:pPr>
          <a:r>
            <a:rPr lang="pl-PL" sz="800" b="1" baseline="0">
              <a:latin typeface="+mn-lt"/>
              <a:ea typeface="Verdana" panose="020B0604030504040204" pitchFamily="34" charset="0"/>
            </a:rPr>
            <a:t>a wskaźnikiem</a:t>
          </a:r>
          <a:endParaRPr lang="pl-PL" sz="800" b="1">
            <a:latin typeface="+mn-lt"/>
            <a:ea typeface="Verdana" panose="020B0604030504040204" pitchFamily="34" charset="0"/>
          </a:endParaRPr>
        </a:p>
      </cdr:txBody>
    </cdr:sp>
  </cdr:relSizeAnchor>
  <cdr:relSizeAnchor xmlns:cdr="http://schemas.openxmlformats.org/drawingml/2006/chartDrawing">
    <cdr:from>
      <cdr:x>0.82784</cdr:x>
      <cdr:y>0.02234</cdr:y>
    </cdr:from>
    <cdr:to>
      <cdr:x>0.93952</cdr:x>
      <cdr:y>0.70444</cdr:y>
    </cdr:to>
    <cdr:sp macro="" textlink="">
      <cdr:nvSpPr>
        <cdr:cNvPr id="7" name="Prostokąt 6"/>
        <cdr:cNvSpPr/>
      </cdr:nvSpPr>
      <cdr:spPr>
        <a:xfrm xmlns:a="http://schemas.openxmlformats.org/drawingml/2006/main">
          <a:off x="4612805" y="55542"/>
          <a:ext cx="622295" cy="1695717"/>
        </a:xfrm>
        <a:prstGeom xmlns:a="http://schemas.openxmlformats.org/drawingml/2006/main" prst="rect">
          <a:avLst/>
        </a:prstGeom>
        <a:solidFill xmlns:a="http://schemas.openxmlformats.org/drawingml/2006/main">
          <a:srgbClr val="FF0000">
            <a:alpha val="6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l-PL"/>
        </a:p>
      </cdr:txBody>
    </cdr:sp>
  </cdr:relSizeAnchor>
  <cdr:relSizeAnchor xmlns:cdr="http://schemas.openxmlformats.org/drawingml/2006/chartDrawing">
    <cdr:from>
      <cdr:x>0.80294</cdr:x>
      <cdr:y>0.14258</cdr:y>
    </cdr:from>
    <cdr:to>
      <cdr:x>0.95107</cdr:x>
      <cdr:y>0.32026</cdr:y>
    </cdr:to>
    <cdr:sp macro="" textlink="">
      <cdr:nvSpPr>
        <cdr:cNvPr id="3" name="pole tekstowe 2"/>
        <cdr:cNvSpPr txBox="1"/>
      </cdr:nvSpPr>
      <cdr:spPr>
        <a:xfrm xmlns:a="http://schemas.openxmlformats.org/drawingml/2006/main">
          <a:off x="4525617" y="430694"/>
          <a:ext cx="834887" cy="536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0.80262</cdr:x>
      <cdr:y>0.12009</cdr:y>
    </cdr:from>
    <cdr:to>
      <cdr:x>0.96133</cdr:x>
      <cdr:y>0.39464</cdr:y>
    </cdr:to>
    <cdr:sp macro="" textlink="">
      <cdr:nvSpPr>
        <cdr:cNvPr id="8" name="pole tekstowe 7"/>
        <cdr:cNvSpPr txBox="1"/>
      </cdr:nvSpPr>
      <cdr:spPr>
        <a:xfrm xmlns:a="http://schemas.openxmlformats.org/drawingml/2006/main">
          <a:off x="4472279" y="298550"/>
          <a:ext cx="884352" cy="682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ct val="110000"/>
            </a:lnSpc>
          </a:pPr>
          <a:r>
            <a:rPr lang="pl-PL" sz="800" b="1">
              <a:effectLst/>
              <a:latin typeface="+mn-lt"/>
              <a:ea typeface="+mn-ea"/>
              <a:cs typeface="+mn-cs"/>
            </a:rPr>
            <a:t>zawężenie przestrzeni</a:t>
          </a:r>
          <a:r>
            <a:rPr lang="pl-PL" sz="800" b="1" baseline="0">
              <a:effectLst/>
              <a:latin typeface="+mn-lt"/>
              <a:ea typeface="+mn-ea"/>
              <a:cs typeface="+mn-cs"/>
            </a:rPr>
            <a:t> </a:t>
          </a:r>
          <a:endParaRPr lang="pl-PL" sz="800" b="1">
            <a:effectLst/>
          </a:endParaRPr>
        </a:p>
        <a:p xmlns:a="http://schemas.openxmlformats.org/drawingml/2006/main">
          <a:pPr algn="ctr">
            <a:lnSpc>
              <a:spcPct val="110000"/>
            </a:lnSpc>
          </a:pPr>
          <a:r>
            <a:rPr lang="pl-PL" sz="800" b="1" baseline="0">
              <a:effectLst/>
              <a:latin typeface="+mn-lt"/>
              <a:ea typeface="+mn-ea"/>
              <a:cs typeface="+mn-cs"/>
            </a:rPr>
            <a:t>między limitem </a:t>
          </a:r>
          <a:endParaRPr lang="pl-PL" sz="800" b="1">
            <a:effectLst/>
          </a:endParaRPr>
        </a:p>
        <a:p xmlns:a="http://schemas.openxmlformats.org/drawingml/2006/main">
          <a:pPr algn="ctr">
            <a:lnSpc>
              <a:spcPct val="110000"/>
            </a:lnSpc>
          </a:pPr>
          <a:r>
            <a:rPr lang="pl-PL" sz="800" b="1" baseline="0">
              <a:effectLst/>
              <a:latin typeface="+mn-lt"/>
              <a:ea typeface="+mn-ea"/>
              <a:cs typeface="+mn-cs"/>
            </a:rPr>
            <a:t>a wskaźnikiem</a:t>
          </a:r>
          <a:endParaRPr lang="pl-PL" sz="800" b="1">
            <a:effectLst/>
          </a:endParaRPr>
        </a:p>
        <a:p xmlns:a="http://schemas.openxmlformats.org/drawingml/2006/main">
          <a:pPr algn="ctr"/>
          <a:endParaRPr lang="pl-PL" sz="800" b="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78EB6-F9CA-4A97-86EA-B5B96BDA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90</Pages>
  <Words>29268</Words>
  <Characters>175609</Characters>
  <Application>Microsoft Office Word</Application>
  <DocSecurity>0</DocSecurity>
  <Lines>1463</Lines>
  <Paragraphs>408</Paragraphs>
  <ScaleCrop>false</ScaleCrop>
  <HeadingPairs>
    <vt:vector size="2" baseType="variant">
      <vt:variant>
        <vt:lpstr>Tytuł</vt:lpstr>
      </vt:variant>
      <vt:variant>
        <vt:i4>1</vt:i4>
      </vt:variant>
    </vt:vector>
  </HeadingPairs>
  <TitlesOfParts>
    <vt:vector size="1" baseType="lpstr">
      <vt:lpstr>WPF 2023-2050 cz. 1</vt:lpstr>
    </vt:vector>
  </TitlesOfParts>
  <Company>UMSTW</Company>
  <LinksUpToDate>false</LinksUpToDate>
  <CharactersWithSpaces>204469</CharactersWithSpaces>
  <SharedDoc>false</SharedDoc>
  <HLinks>
    <vt:vector size="948" baseType="variant">
      <vt:variant>
        <vt:i4>4522071</vt:i4>
      </vt:variant>
      <vt:variant>
        <vt:i4>948</vt:i4>
      </vt:variant>
      <vt:variant>
        <vt:i4>0</vt:i4>
      </vt:variant>
      <vt:variant>
        <vt:i4>5</vt:i4>
      </vt:variant>
      <vt:variant>
        <vt:lpwstr>http://www.mf.gov.pl/</vt:lpwstr>
      </vt:variant>
      <vt:variant>
        <vt:lpwstr/>
      </vt:variant>
      <vt:variant>
        <vt:i4>1048633</vt:i4>
      </vt:variant>
      <vt:variant>
        <vt:i4>938</vt:i4>
      </vt:variant>
      <vt:variant>
        <vt:i4>0</vt:i4>
      </vt:variant>
      <vt:variant>
        <vt:i4>5</vt:i4>
      </vt:variant>
      <vt:variant>
        <vt:lpwstr/>
      </vt:variant>
      <vt:variant>
        <vt:lpwstr>_Toc528331771</vt:lpwstr>
      </vt:variant>
      <vt:variant>
        <vt:i4>1048633</vt:i4>
      </vt:variant>
      <vt:variant>
        <vt:i4>932</vt:i4>
      </vt:variant>
      <vt:variant>
        <vt:i4>0</vt:i4>
      </vt:variant>
      <vt:variant>
        <vt:i4>5</vt:i4>
      </vt:variant>
      <vt:variant>
        <vt:lpwstr/>
      </vt:variant>
      <vt:variant>
        <vt:lpwstr>_Toc528331770</vt:lpwstr>
      </vt:variant>
      <vt:variant>
        <vt:i4>1114169</vt:i4>
      </vt:variant>
      <vt:variant>
        <vt:i4>926</vt:i4>
      </vt:variant>
      <vt:variant>
        <vt:i4>0</vt:i4>
      </vt:variant>
      <vt:variant>
        <vt:i4>5</vt:i4>
      </vt:variant>
      <vt:variant>
        <vt:lpwstr/>
      </vt:variant>
      <vt:variant>
        <vt:lpwstr>_Toc528331769</vt:lpwstr>
      </vt:variant>
      <vt:variant>
        <vt:i4>1114169</vt:i4>
      </vt:variant>
      <vt:variant>
        <vt:i4>920</vt:i4>
      </vt:variant>
      <vt:variant>
        <vt:i4>0</vt:i4>
      </vt:variant>
      <vt:variant>
        <vt:i4>5</vt:i4>
      </vt:variant>
      <vt:variant>
        <vt:lpwstr/>
      </vt:variant>
      <vt:variant>
        <vt:lpwstr>_Toc528331768</vt:lpwstr>
      </vt:variant>
      <vt:variant>
        <vt:i4>1114169</vt:i4>
      </vt:variant>
      <vt:variant>
        <vt:i4>914</vt:i4>
      </vt:variant>
      <vt:variant>
        <vt:i4>0</vt:i4>
      </vt:variant>
      <vt:variant>
        <vt:i4>5</vt:i4>
      </vt:variant>
      <vt:variant>
        <vt:lpwstr/>
      </vt:variant>
      <vt:variant>
        <vt:lpwstr>_Toc528331767</vt:lpwstr>
      </vt:variant>
      <vt:variant>
        <vt:i4>1114169</vt:i4>
      </vt:variant>
      <vt:variant>
        <vt:i4>908</vt:i4>
      </vt:variant>
      <vt:variant>
        <vt:i4>0</vt:i4>
      </vt:variant>
      <vt:variant>
        <vt:i4>5</vt:i4>
      </vt:variant>
      <vt:variant>
        <vt:lpwstr/>
      </vt:variant>
      <vt:variant>
        <vt:lpwstr>_Toc528331766</vt:lpwstr>
      </vt:variant>
      <vt:variant>
        <vt:i4>1114169</vt:i4>
      </vt:variant>
      <vt:variant>
        <vt:i4>902</vt:i4>
      </vt:variant>
      <vt:variant>
        <vt:i4>0</vt:i4>
      </vt:variant>
      <vt:variant>
        <vt:i4>5</vt:i4>
      </vt:variant>
      <vt:variant>
        <vt:lpwstr/>
      </vt:variant>
      <vt:variant>
        <vt:lpwstr>_Toc528331765</vt:lpwstr>
      </vt:variant>
      <vt:variant>
        <vt:i4>1114169</vt:i4>
      </vt:variant>
      <vt:variant>
        <vt:i4>896</vt:i4>
      </vt:variant>
      <vt:variant>
        <vt:i4>0</vt:i4>
      </vt:variant>
      <vt:variant>
        <vt:i4>5</vt:i4>
      </vt:variant>
      <vt:variant>
        <vt:lpwstr/>
      </vt:variant>
      <vt:variant>
        <vt:lpwstr>_Toc528331764</vt:lpwstr>
      </vt:variant>
      <vt:variant>
        <vt:i4>1114169</vt:i4>
      </vt:variant>
      <vt:variant>
        <vt:i4>890</vt:i4>
      </vt:variant>
      <vt:variant>
        <vt:i4>0</vt:i4>
      </vt:variant>
      <vt:variant>
        <vt:i4>5</vt:i4>
      </vt:variant>
      <vt:variant>
        <vt:lpwstr/>
      </vt:variant>
      <vt:variant>
        <vt:lpwstr>_Toc528331763</vt:lpwstr>
      </vt:variant>
      <vt:variant>
        <vt:i4>1114169</vt:i4>
      </vt:variant>
      <vt:variant>
        <vt:i4>884</vt:i4>
      </vt:variant>
      <vt:variant>
        <vt:i4>0</vt:i4>
      </vt:variant>
      <vt:variant>
        <vt:i4>5</vt:i4>
      </vt:variant>
      <vt:variant>
        <vt:lpwstr/>
      </vt:variant>
      <vt:variant>
        <vt:lpwstr>_Toc528331762</vt:lpwstr>
      </vt:variant>
      <vt:variant>
        <vt:i4>1114169</vt:i4>
      </vt:variant>
      <vt:variant>
        <vt:i4>878</vt:i4>
      </vt:variant>
      <vt:variant>
        <vt:i4>0</vt:i4>
      </vt:variant>
      <vt:variant>
        <vt:i4>5</vt:i4>
      </vt:variant>
      <vt:variant>
        <vt:lpwstr/>
      </vt:variant>
      <vt:variant>
        <vt:lpwstr>_Toc528331761</vt:lpwstr>
      </vt:variant>
      <vt:variant>
        <vt:i4>1114169</vt:i4>
      </vt:variant>
      <vt:variant>
        <vt:i4>872</vt:i4>
      </vt:variant>
      <vt:variant>
        <vt:i4>0</vt:i4>
      </vt:variant>
      <vt:variant>
        <vt:i4>5</vt:i4>
      </vt:variant>
      <vt:variant>
        <vt:lpwstr/>
      </vt:variant>
      <vt:variant>
        <vt:lpwstr>_Toc528331760</vt:lpwstr>
      </vt:variant>
      <vt:variant>
        <vt:i4>1179705</vt:i4>
      </vt:variant>
      <vt:variant>
        <vt:i4>866</vt:i4>
      </vt:variant>
      <vt:variant>
        <vt:i4>0</vt:i4>
      </vt:variant>
      <vt:variant>
        <vt:i4>5</vt:i4>
      </vt:variant>
      <vt:variant>
        <vt:lpwstr/>
      </vt:variant>
      <vt:variant>
        <vt:lpwstr>_Toc528331759</vt:lpwstr>
      </vt:variant>
      <vt:variant>
        <vt:i4>1179705</vt:i4>
      </vt:variant>
      <vt:variant>
        <vt:i4>860</vt:i4>
      </vt:variant>
      <vt:variant>
        <vt:i4>0</vt:i4>
      </vt:variant>
      <vt:variant>
        <vt:i4>5</vt:i4>
      </vt:variant>
      <vt:variant>
        <vt:lpwstr/>
      </vt:variant>
      <vt:variant>
        <vt:lpwstr>_Toc528331758</vt:lpwstr>
      </vt:variant>
      <vt:variant>
        <vt:i4>1179705</vt:i4>
      </vt:variant>
      <vt:variant>
        <vt:i4>854</vt:i4>
      </vt:variant>
      <vt:variant>
        <vt:i4>0</vt:i4>
      </vt:variant>
      <vt:variant>
        <vt:i4>5</vt:i4>
      </vt:variant>
      <vt:variant>
        <vt:lpwstr/>
      </vt:variant>
      <vt:variant>
        <vt:lpwstr>_Toc528331757</vt:lpwstr>
      </vt:variant>
      <vt:variant>
        <vt:i4>1179705</vt:i4>
      </vt:variant>
      <vt:variant>
        <vt:i4>848</vt:i4>
      </vt:variant>
      <vt:variant>
        <vt:i4>0</vt:i4>
      </vt:variant>
      <vt:variant>
        <vt:i4>5</vt:i4>
      </vt:variant>
      <vt:variant>
        <vt:lpwstr/>
      </vt:variant>
      <vt:variant>
        <vt:lpwstr>_Toc528331756</vt:lpwstr>
      </vt:variant>
      <vt:variant>
        <vt:i4>1179705</vt:i4>
      </vt:variant>
      <vt:variant>
        <vt:i4>842</vt:i4>
      </vt:variant>
      <vt:variant>
        <vt:i4>0</vt:i4>
      </vt:variant>
      <vt:variant>
        <vt:i4>5</vt:i4>
      </vt:variant>
      <vt:variant>
        <vt:lpwstr/>
      </vt:variant>
      <vt:variant>
        <vt:lpwstr>_Toc528331755</vt:lpwstr>
      </vt:variant>
      <vt:variant>
        <vt:i4>1179705</vt:i4>
      </vt:variant>
      <vt:variant>
        <vt:i4>836</vt:i4>
      </vt:variant>
      <vt:variant>
        <vt:i4>0</vt:i4>
      </vt:variant>
      <vt:variant>
        <vt:i4>5</vt:i4>
      </vt:variant>
      <vt:variant>
        <vt:lpwstr/>
      </vt:variant>
      <vt:variant>
        <vt:lpwstr>_Toc528331754</vt:lpwstr>
      </vt:variant>
      <vt:variant>
        <vt:i4>1179705</vt:i4>
      </vt:variant>
      <vt:variant>
        <vt:i4>830</vt:i4>
      </vt:variant>
      <vt:variant>
        <vt:i4>0</vt:i4>
      </vt:variant>
      <vt:variant>
        <vt:i4>5</vt:i4>
      </vt:variant>
      <vt:variant>
        <vt:lpwstr/>
      </vt:variant>
      <vt:variant>
        <vt:lpwstr>_Toc528331753</vt:lpwstr>
      </vt:variant>
      <vt:variant>
        <vt:i4>1179705</vt:i4>
      </vt:variant>
      <vt:variant>
        <vt:i4>824</vt:i4>
      </vt:variant>
      <vt:variant>
        <vt:i4>0</vt:i4>
      </vt:variant>
      <vt:variant>
        <vt:i4>5</vt:i4>
      </vt:variant>
      <vt:variant>
        <vt:lpwstr/>
      </vt:variant>
      <vt:variant>
        <vt:lpwstr>_Toc528331752</vt:lpwstr>
      </vt:variant>
      <vt:variant>
        <vt:i4>1179705</vt:i4>
      </vt:variant>
      <vt:variant>
        <vt:i4>818</vt:i4>
      </vt:variant>
      <vt:variant>
        <vt:i4>0</vt:i4>
      </vt:variant>
      <vt:variant>
        <vt:i4>5</vt:i4>
      </vt:variant>
      <vt:variant>
        <vt:lpwstr/>
      </vt:variant>
      <vt:variant>
        <vt:lpwstr>_Toc528331751</vt:lpwstr>
      </vt:variant>
      <vt:variant>
        <vt:i4>1179705</vt:i4>
      </vt:variant>
      <vt:variant>
        <vt:i4>812</vt:i4>
      </vt:variant>
      <vt:variant>
        <vt:i4>0</vt:i4>
      </vt:variant>
      <vt:variant>
        <vt:i4>5</vt:i4>
      </vt:variant>
      <vt:variant>
        <vt:lpwstr/>
      </vt:variant>
      <vt:variant>
        <vt:lpwstr>_Toc528331750</vt:lpwstr>
      </vt:variant>
      <vt:variant>
        <vt:i4>1245241</vt:i4>
      </vt:variant>
      <vt:variant>
        <vt:i4>806</vt:i4>
      </vt:variant>
      <vt:variant>
        <vt:i4>0</vt:i4>
      </vt:variant>
      <vt:variant>
        <vt:i4>5</vt:i4>
      </vt:variant>
      <vt:variant>
        <vt:lpwstr/>
      </vt:variant>
      <vt:variant>
        <vt:lpwstr>_Toc528331749</vt:lpwstr>
      </vt:variant>
      <vt:variant>
        <vt:i4>1245241</vt:i4>
      </vt:variant>
      <vt:variant>
        <vt:i4>800</vt:i4>
      </vt:variant>
      <vt:variant>
        <vt:i4>0</vt:i4>
      </vt:variant>
      <vt:variant>
        <vt:i4>5</vt:i4>
      </vt:variant>
      <vt:variant>
        <vt:lpwstr/>
      </vt:variant>
      <vt:variant>
        <vt:lpwstr>_Toc528331748</vt:lpwstr>
      </vt:variant>
      <vt:variant>
        <vt:i4>1245241</vt:i4>
      </vt:variant>
      <vt:variant>
        <vt:i4>794</vt:i4>
      </vt:variant>
      <vt:variant>
        <vt:i4>0</vt:i4>
      </vt:variant>
      <vt:variant>
        <vt:i4>5</vt:i4>
      </vt:variant>
      <vt:variant>
        <vt:lpwstr/>
      </vt:variant>
      <vt:variant>
        <vt:lpwstr>_Toc528331747</vt:lpwstr>
      </vt:variant>
      <vt:variant>
        <vt:i4>1245241</vt:i4>
      </vt:variant>
      <vt:variant>
        <vt:i4>788</vt:i4>
      </vt:variant>
      <vt:variant>
        <vt:i4>0</vt:i4>
      </vt:variant>
      <vt:variant>
        <vt:i4>5</vt:i4>
      </vt:variant>
      <vt:variant>
        <vt:lpwstr/>
      </vt:variant>
      <vt:variant>
        <vt:lpwstr>_Toc528331746</vt:lpwstr>
      </vt:variant>
      <vt:variant>
        <vt:i4>1245241</vt:i4>
      </vt:variant>
      <vt:variant>
        <vt:i4>782</vt:i4>
      </vt:variant>
      <vt:variant>
        <vt:i4>0</vt:i4>
      </vt:variant>
      <vt:variant>
        <vt:i4>5</vt:i4>
      </vt:variant>
      <vt:variant>
        <vt:lpwstr/>
      </vt:variant>
      <vt:variant>
        <vt:lpwstr>_Toc528331745</vt:lpwstr>
      </vt:variant>
      <vt:variant>
        <vt:i4>1245241</vt:i4>
      </vt:variant>
      <vt:variant>
        <vt:i4>776</vt:i4>
      </vt:variant>
      <vt:variant>
        <vt:i4>0</vt:i4>
      </vt:variant>
      <vt:variant>
        <vt:i4>5</vt:i4>
      </vt:variant>
      <vt:variant>
        <vt:lpwstr/>
      </vt:variant>
      <vt:variant>
        <vt:lpwstr>_Toc528331744</vt:lpwstr>
      </vt:variant>
      <vt:variant>
        <vt:i4>1245241</vt:i4>
      </vt:variant>
      <vt:variant>
        <vt:i4>770</vt:i4>
      </vt:variant>
      <vt:variant>
        <vt:i4>0</vt:i4>
      </vt:variant>
      <vt:variant>
        <vt:i4>5</vt:i4>
      </vt:variant>
      <vt:variant>
        <vt:lpwstr/>
      </vt:variant>
      <vt:variant>
        <vt:lpwstr>_Toc528331743</vt:lpwstr>
      </vt:variant>
      <vt:variant>
        <vt:i4>1245241</vt:i4>
      </vt:variant>
      <vt:variant>
        <vt:i4>764</vt:i4>
      </vt:variant>
      <vt:variant>
        <vt:i4>0</vt:i4>
      </vt:variant>
      <vt:variant>
        <vt:i4>5</vt:i4>
      </vt:variant>
      <vt:variant>
        <vt:lpwstr/>
      </vt:variant>
      <vt:variant>
        <vt:lpwstr>_Toc528331742</vt:lpwstr>
      </vt:variant>
      <vt:variant>
        <vt:i4>1245241</vt:i4>
      </vt:variant>
      <vt:variant>
        <vt:i4>758</vt:i4>
      </vt:variant>
      <vt:variant>
        <vt:i4>0</vt:i4>
      </vt:variant>
      <vt:variant>
        <vt:i4>5</vt:i4>
      </vt:variant>
      <vt:variant>
        <vt:lpwstr/>
      </vt:variant>
      <vt:variant>
        <vt:lpwstr>_Toc528331741</vt:lpwstr>
      </vt:variant>
      <vt:variant>
        <vt:i4>1245241</vt:i4>
      </vt:variant>
      <vt:variant>
        <vt:i4>752</vt:i4>
      </vt:variant>
      <vt:variant>
        <vt:i4>0</vt:i4>
      </vt:variant>
      <vt:variant>
        <vt:i4>5</vt:i4>
      </vt:variant>
      <vt:variant>
        <vt:lpwstr/>
      </vt:variant>
      <vt:variant>
        <vt:lpwstr>_Toc528331740</vt:lpwstr>
      </vt:variant>
      <vt:variant>
        <vt:i4>1310777</vt:i4>
      </vt:variant>
      <vt:variant>
        <vt:i4>746</vt:i4>
      </vt:variant>
      <vt:variant>
        <vt:i4>0</vt:i4>
      </vt:variant>
      <vt:variant>
        <vt:i4>5</vt:i4>
      </vt:variant>
      <vt:variant>
        <vt:lpwstr/>
      </vt:variant>
      <vt:variant>
        <vt:lpwstr>_Toc528331739</vt:lpwstr>
      </vt:variant>
      <vt:variant>
        <vt:i4>1310777</vt:i4>
      </vt:variant>
      <vt:variant>
        <vt:i4>740</vt:i4>
      </vt:variant>
      <vt:variant>
        <vt:i4>0</vt:i4>
      </vt:variant>
      <vt:variant>
        <vt:i4>5</vt:i4>
      </vt:variant>
      <vt:variant>
        <vt:lpwstr/>
      </vt:variant>
      <vt:variant>
        <vt:lpwstr>_Toc528331738</vt:lpwstr>
      </vt:variant>
      <vt:variant>
        <vt:i4>1310777</vt:i4>
      </vt:variant>
      <vt:variant>
        <vt:i4>734</vt:i4>
      </vt:variant>
      <vt:variant>
        <vt:i4>0</vt:i4>
      </vt:variant>
      <vt:variant>
        <vt:i4>5</vt:i4>
      </vt:variant>
      <vt:variant>
        <vt:lpwstr/>
      </vt:variant>
      <vt:variant>
        <vt:lpwstr>_Toc528331737</vt:lpwstr>
      </vt:variant>
      <vt:variant>
        <vt:i4>1310777</vt:i4>
      </vt:variant>
      <vt:variant>
        <vt:i4>728</vt:i4>
      </vt:variant>
      <vt:variant>
        <vt:i4>0</vt:i4>
      </vt:variant>
      <vt:variant>
        <vt:i4>5</vt:i4>
      </vt:variant>
      <vt:variant>
        <vt:lpwstr/>
      </vt:variant>
      <vt:variant>
        <vt:lpwstr>_Toc528331736</vt:lpwstr>
      </vt:variant>
      <vt:variant>
        <vt:i4>1310777</vt:i4>
      </vt:variant>
      <vt:variant>
        <vt:i4>722</vt:i4>
      </vt:variant>
      <vt:variant>
        <vt:i4>0</vt:i4>
      </vt:variant>
      <vt:variant>
        <vt:i4>5</vt:i4>
      </vt:variant>
      <vt:variant>
        <vt:lpwstr/>
      </vt:variant>
      <vt:variant>
        <vt:lpwstr>_Toc528331735</vt:lpwstr>
      </vt:variant>
      <vt:variant>
        <vt:i4>1310777</vt:i4>
      </vt:variant>
      <vt:variant>
        <vt:i4>716</vt:i4>
      </vt:variant>
      <vt:variant>
        <vt:i4>0</vt:i4>
      </vt:variant>
      <vt:variant>
        <vt:i4>5</vt:i4>
      </vt:variant>
      <vt:variant>
        <vt:lpwstr/>
      </vt:variant>
      <vt:variant>
        <vt:lpwstr>_Toc528331734</vt:lpwstr>
      </vt:variant>
      <vt:variant>
        <vt:i4>1310777</vt:i4>
      </vt:variant>
      <vt:variant>
        <vt:i4>710</vt:i4>
      </vt:variant>
      <vt:variant>
        <vt:i4>0</vt:i4>
      </vt:variant>
      <vt:variant>
        <vt:i4>5</vt:i4>
      </vt:variant>
      <vt:variant>
        <vt:lpwstr/>
      </vt:variant>
      <vt:variant>
        <vt:lpwstr>_Toc528331733</vt:lpwstr>
      </vt:variant>
      <vt:variant>
        <vt:i4>1310777</vt:i4>
      </vt:variant>
      <vt:variant>
        <vt:i4>704</vt:i4>
      </vt:variant>
      <vt:variant>
        <vt:i4>0</vt:i4>
      </vt:variant>
      <vt:variant>
        <vt:i4>5</vt:i4>
      </vt:variant>
      <vt:variant>
        <vt:lpwstr/>
      </vt:variant>
      <vt:variant>
        <vt:lpwstr>_Toc528331732</vt:lpwstr>
      </vt:variant>
      <vt:variant>
        <vt:i4>1310777</vt:i4>
      </vt:variant>
      <vt:variant>
        <vt:i4>698</vt:i4>
      </vt:variant>
      <vt:variant>
        <vt:i4>0</vt:i4>
      </vt:variant>
      <vt:variant>
        <vt:i4>5</vt:i4>
      </vt:variant>
      <vt:variant>
        <vt:lpwstr/>
      </vt:variant>
      <vt:variant>
        <vt:lpwstr>_Toc528331731</vt:lpwstr>
      </vt:variant>
      <vt:variant>
        <vt:i4>1310777</vt:i4>
      </vt:variant>
      <vt:variant>
        <vt:i4>692</vt:i4>
      </vt:variant>
      <vt:variant>
        <vt:i4>0</vt:i4>
      </vt:variant>
      <vt:variant>
        <vt:i4>5</vt:i4>
      </vt:variant>
      <vt:variant>
        <vt:lpwstr/>
      </vt:variant>
      <vt:variant>
        <vt:lpwstr>_Toc528331730</vt:lpwstr>
      </vt:variant>
      <vt:variant>
        <vt:i4>1376313</vt:i4>
      </vt:variant>
      <vt:variant>
        <vt:i4>686</vt:i4>
      </vt:variant>
      <vt:variant>
        <vt:i4>0</vt:i4>
      </vt:variant>
      <vt:variant>
        <vt:i4>5</vt:i4>
      </vt:variant>
      <vt:variant>
        <vt:lpwstr/>
      </vt:variant>
      <vt:variant>
        <vt:lpwstr>_Toc528331729</vt:lpwstr>
      </vt:variant>
      <vt:variant>
        <vt:i4>1376313</vt:i4>
      </vt:variant>
      <vt:variant>
        <vt:i4>680</vt:i4>
      </vt:variant>
      <vt:variant>
        <vt:i4>0</vt:i4>
      </vt:variant>
      <vt:variant>
        <vt:i4>5</vt:i4>
      </vt:variant>
      <vt:variant>
        <vt:lpwstr/>
      </vt:variant>
      <vt:variant>
        <vt:lpwstr>_Toc528331728</vt:lpwstr>
      </vt:variant>
      <vt:variant>
        <vt:i4>1376313</vt:i4>
      </vt:variant>
      <vt:variant>
        <vt:i4>674</vt:i4>
      </vt:variant>
      <vt:variant>
        <vt:i4>0</vt:i4>
      </vt:variant>
      <vt:variant>
        <vt:i4>5</vt:i4>
      </vt:variant>
      <vt:variant>
        <vt:lpwstr/>
      </vt:variant>
      <vt:variant>
        <vt:lpwstr>_Toc528331727</vt:lpwstr>
      </vt:variant>
      <vt:variant>
        <vt:i4>1376313</vt:i4>
      </vt:variant>
      <vt:variant>
        <vt:i4>668</vt:i4>
      </vt:variant>
      <vt:variant>
        <vt:i4>0</vt:i4>
      </vt:variant>
      <vt:variant>
        <vt:i4>5</vt:i4>
      </vt:variant>
      <vt:variant>
        <vt:lpwstr/>
      </vt:variant>
      <vt:variant>
        <vt:lpwstr>_Toc528331726</vt:lpwstr>
      </vt:variant>
      <vt:variant>
        <vt:i4>1376313</vt:i4>
      </vt:variant>
      <vt:variant>
        <vt:i4>662</vt:i4>
      </vt:variant>
      <vt:variant>
        <vt:i4>0</vt:i4>
      </vt:variant>
      <vt:variant>
        <vt:i4>5</vt:i4>
      </vt:variant>
      <vt:variant>
        <vt:lpwstr/>
      </vt:variant>
      <vt:variant>
        <vt:lpwstr>_Toc528331725</vt:lpwstr>
      </vt:variant>
      <vt:variant>
        <vt:i4>1376313</vt:i4>
      </vt:variant>
      <vt:variant>
        <vt:i4>656</vt:i4>
      </vt:variant>
      <vt:variant>
        <vt:i4>0</vt:i4>
      </vt:variant>
      <vt:variant>
        <vt:i4>5</vt:i4>
      </vt:variant>
      <vt:variant>
        <vt:lpwstr/>
      </vt:variant>
      <vt:variant>
        <vt:lpwstr>_Toc528331724</vt:lpwstr>
      </vt:variant>
      <vt:variant>
        <vt:i4>1376313</vt:i4>
      </vt:variant>
      <vt:variant>
        <vt:i4>650</vt:i4>
      </vt:variant>
      <vt:variant>
        <vt:i4>0</vt:i4>
      </vt:variant>
      <vt:variant>
        <vt:i4>5</vt:i4>
      </vt:variant>
      <vt:variant>
        <vt:lpwstr/>
      </vt:variant>
      <vt:variant>
        <vt:lpwstr>_Toc528331723</vt:lpwstr>
      </vt:variant>
      <vt:variant>
        <vt:i4>1376313</vt:i4>
      </vt:variant>
      <vt:variant>
        <vt:i4>644</vt:i4>
      </vt:variant>
      <vt:variant>
        <vt:i4>0</vt:i4>
      </vt:variant>
      <vt:variant>
        <vt:i4>5</vt:i4>
      </vt:variant>
      <vt:variant>
        <vt:lpwstr/>
      </vt:variant>
      <vt:variant>
        <vt:lpwstr>_Toc528331722</vt:lpwstr>
      </vt:variant>
      <vt:variant>
        <vt:i4>1376313</vt:i4>
      </vt:variant>
      <vt:variant>
        <vt:i4>638</vt:i4>
      </vt:variant>
      <vt:variant>
        <vt:i4>0</vt:i4>
      </vt:variant>
      <vt:variant>
        <vt:i4>5</vt:i4>
      </vt:variant>
      <vt:variant>
        <vt:lpwstr/>
      </vt:variant>
      <vt:variant>
        <vt:lpwstr>_Toc528331721</vt:lpwstr>
      </vt:variant>
      <vt:variant>
        <vt:i4>1376313</vt:i4>
      </vt:variant>
      <vt:variant>
        <vt:i4>632</vt:i4>
      </vt:variant>
      <vt:variant>
        <vt:i4>0</vt:i4>
      </vt:variant>
      <vt:variant>
        <vt:i4>5</vt:i4>
      </vt:variant>
      <vt:variant>
        <vt:lpwstr/>
      </vt:variant>
      <vt:variant>
        <vt:lpwstr>_Toc528331720</vt:lpwstr>
      </vt:variant>
      <vt:variant>
        <vt:i4>1441849</vt:i4>
      </vt:variant>
      <vt:variant>
        <vt:i4>626</vt:i4>
      </vt:variant>
      <vt:variant>
        <vt:i4>0</vt:i4>
      </vt:variant>
      <vt:variant>
        <vt:i4>5</vt:i4>
      </vt:variant>
      <vt:variant>
        <vt:lpwstr/>
      </vt:variant>
      <vt:variant>
        <vt:lpwstr>_Toc528331719</vt:lpwstr>
      </vt:variant>
      <vt:variant>
        <vt:i4>1441849</vt:i4>
      </vt:variant>
      <vt:variant>
        <vt:i4>620</vt:i4>
      </vt:variant>
      <vt:variant>
        <vt:i4>0</vt:i4>
      </vt:variant>
      <vt:variant>
        <vt:i4>5</vt:i4>
      </vt:variant>
      <vt:variant>
        <vt:lpwstr/>
      </vt:variant>
      <vt:variant>
        <vt:lpwstr>_Toc528331718</vt:lpwstr>
      </vt:variant>
      <vt:variant>
        <vt:i4>1441849</vt:i4>
      </vt:variant>
      <vt:variant>
        <vt:i4>614</vt:i4>
      </vt:variant>
      <vt:variant>
        <vt:i4>0</vt:i4>
      </vt:variant>
      <vt:variant>
        <vt:i4>5</vt:i4>
      </vt:variant>
      <vt:variant>
        <vt:lpwstr/>
      </vt:variant>
      <vt:variant>
        <vt:lpwstr>_Toc528331717</vt:lpwstr>
      </vt:variant>
      <vt:variant>
        <vt:i4>1441849</vt:i4>
      </vt:variant>
      <vt:variant>
        <vt:i4>608</vt:i4>
      </vt:variant>
      <vt:variant>
        <vt:i4>0</vt:i4>
      </vt:variant>
      <vt:variant>
        <vt:i4>5</vt:i4>
      </vt:variant>
      <vt:variant>
        <vt:lpwstr/>
      </vt:variant>
      <vt:variant>
        <vt:lpwstr>_Toc528331716</vt:lpwstr>
      </vt:variant>
      <vt:variant>
        <vt:i4>1441849</vt:i4>
      </vt:variant>
      <vt:variant>
        <vt:i4>602</vt:i4>
      </vt:variant>
      <vt:variant>
        <vt:i4>0</vt:i4>
      </vt:variant>
      <vt:variant>
        <vt:i4>5</vt:i4>
      </vt:variant>
      <vt:variant>
        <vt:lpwstr/>
      </vt:variant>
      <vt:variant>
        <vt:lpwstr>_Toc528331715</vt:lpwstr>
      </vt:variant>
      <vt:variant>
        <vt:i4>1441849</vt:i4>
      </vt:variant>
      <vt:variant>
        <vt:i4>596</vt:i4>
      </vt:variant>
      <vt:variant>
        <vt:i4>0</vt:i4>
      </vt:variant>
      <vt:variant>
        <vt:i4>5</vt:i4>
      </vt:variant>
      <vt:variant>
        <vt:lpwstr/>
      </vt:variant>
      <vt:variant>
        <vt:lpwstr>_Toc528331714</vt:lpwstr>
      </vt:variant>
      <vt:variant>
        <vt:i4>1441849</vt:i4>
      </vt:variant>
      <vt:variant>
        <vt:i4>590</vt:i4>
      </vt:variant>
      <vt:variant>
        <vt:i4>0</vt:i4>
      </vt:variant>
      <vt:variant>
        <vt:i4>5</vt:i4>
      </vt:variant>
      <vt:variant>
        <vt:lpwstr/>
      </vt:variant>
      <vt:variant>
        <vt:lpwstr>_Toc528331713</vt:lpwstr>
      </vt:variant>
      <vt:variant>
        <vt:i4>1441849</vt:i4>
      </vt:variant>
      <vt:variant>
        <vt:i4>584</vt:i4>
      </vt:variant>
      <vt:variant>
        <vt:i4>0</vt:i4>
      </vt:variant>
      <vt:variant>
        <vt:i4>5</vt:i4>
      </vt:variant>
      <vt:variant>
        <vt:lpwstr/>
      </vt:variant>
      <vt:variant>
        <vt:lpwstr>_Toc528331712</vt:lpwstr>
      </vt:variant>
      <vt:variant>
        <vt:i4>1441849</vt:i4>
      </vt:variant>
      <vt:variant>
        <vt:i4>578</vt:i4>
      </vt:variant>
      <vt:variant>
        <vt:i4>0</vt:i4>
      </vt:variant>
      <vt:variant>
        <vt:i4>5</vt:i4>
      </vt:variant>
      <vt:variant>
        <vt:lpwstr/>
      </vt:variant>
      <vt:variant>
        <vt:lpwstr>_Toc528331711</vt:lpwstr>
      </vt:variant>
      <vt:variant>
        <vt:i4>1441849</vt:i4>
      </vt:variant>
      <vt:variant>
        <vt:i4>572</vt:i4>
      </vt:variant>
      <vt:variant>
        <vt:i4>0</vt:i4>
      </vt:variant>
      <vt:variant>
        <vt:i4>5</vt:i4>
      </vt:variant>
      <vt:variant>
        <vt:lpwstr/>
      </vt:variant>
      <vt:variant>
        <vt:lpwstr>_Toc528331710</vt:lpwstr>
      </vt:variant>
      <vt:variant>
        <vt:i4>1507385</vt:i4>
      </vt:variant>
      <vt:variant>
        <vt:i4>566</vt:i4>
      </vt:variant>
      <vt:variant>
        <vt:i4>0</vt:i4>
      </vt:variant>
      <vt:variant>
        <vt:i4>5</vt:i4>
      </vt:variant>
      <vt:variant>
        <vt:lpwstr/>
      </vt:variant>
      <vt:variant>
        <vt:lpwstr>_Toc528331709</vt:lpwstr>
      </vt:variant>
      <vt:variant>
        <vt:i4>1507385</vt:i4>
      </vt:variant>
      <vt:variant>
        <vt:i4>560</vt:i4>
      </vt:variant>
      <vt:variant>
        <vt:i4>0</vt:i4>
      </vt:variant>
      <vt:variant>
        <vt:i4>5</vt:i4>
      </vt:variant>
      <vt:variant>
        <vt:lpwstr/>
      </vt:variant>
      <vt:variant>
        <vt:lpwstr>_Toc528331708</vt:lpwstr>
      </vt:variant>
      <vt:variant>
        <vt:i4>1507385</vt:i4>
      </vt:variant>
      <vt:variant>
        <vt:i4>554</vt:i4>
      </vt:variant>
      <vt:variant>
        <vt:i4>0</vt:i4>
      </vt:variant>
      <vt:variant>
        <vt:i4>5</vt:i4>
      </vt:variant>
      <vt:variant>
        <vt:lpwstr/>
      </vt:variant>
      <vt:variant>
        <vt:lpwstr>_Toc528331707</vt:lpwstr>
      </vt:variant>
      <vt:variant>
        <vt:i4>1507385</vt:i4>
      </vt:variant>
      <vt:variant>
        <vt:i4>548</vt:i4>
      </vt:variant>
      <vt:variant>
        <vt:i4>0</vt:i4>
      </vt:variant>
      <vt:variant>
        <vt:i4>5</vt:i4>
      </vt:variant>
      <vt:variant>
        <vt:lpwstr/>
      </vt:variant>
      <vt:variant>
        <vt:lpwstr>_Toc528331706</vt:lpwstr>
      </vt:variant>
      <vt:variant>
        <vt:i4>1507385</vt:i4>
      </vt:variant>
      <vt:variant>
        <vt:i4>542</vt:i4>
      </vt:variant>
      <vt:variant>
        <vt:i4>0</vt:i4>
      </vt:variant>
      <vt:variant>
        <vt:i4>5</vt:i4>
      </vt:variant>
      <vt:variant>
        <vt:lpwstr/>
      </vt:variant>
      <vt:variant>
        <vt:lpwstr>_Toc528331705</vt:lpwstr>
      </vt:variant>
      <vt:variant>
        <vt:i4>1507385</vt:i4>
      </vt:variant>
      <vt:variant>
        <vt:i4>536</vt:i4>
      </vt:variant>
      <vt:variant>
        <vt:i4>0</vt:i4>
      </vt:variant>
      <vt:variant>
        <vt:i4>5</vt:i4>
      </vt:variant>
      <vt:variant>
        <vt:lpwstr/>
      </vt:variant>
      <vt:variant>
        <vt:lpwstr>_Toc528331704</vt:lpwstr>
      </vt:variant>
      <vt:variant>
        <vt:i4>1507385</vt:i4>
      </vt:variant>
      <vt:variant>
        <vt:i4>530</vt:i4>
      </vt:variant>
      <vt:variant>
        <vt:i4>0</vt:i4>
      </vt:variant>
      <vt:variant>
        <vt:i4>5</vt:i4>
      </vt:variant>
      <vt:variant>
        <vt:lpwstr/>
      </vt:variant>
      <vt:variant>
        <vt:lpwstr>_Toc528331703</vt:lpwstr>
      </vt:variant>
      <vt:variant>
        <vt:i4>1507385</vt:i4>
      </vt:variant>
      <vt:variant>
        <vt:i4>524</vt:i4>
      </vt:variant>
      <vt:variant>
        <vt:i4>0</vt:i4>
      </vt:variant>
      <vt:variant>
        <vt:i4>5</vt:i4>
      </vt:variant>
      <vt:variant>
        <vt:lpwstr/>
      </vt:variant>
      <vt:variant>
        <vt:lpwstr>_Toc528331702</vt:lpwstr>
      </vt:variant>
      <vt:variant>
        <vt:i4>1507385</vt:i4>
      </vt:variant>
      <vt:variant>
        <vt:i4>518</vt:i4>
      </vt:variant>
      <vt:variant>
        <vt:i4>0</vt:i4>
      </vt:variant>
      <vt:variant>
        <vt:i4>5</vt:i4>
      </vt:variant>
      <vt:variant>
        <vt:lpwstr/>
      </vt:variant>
      <vt:variant>
        <vt:lpwstr>_Toc528331701</vt:lpwstr>
      </vt:variant>
      <vt:variant>
        <vt:i4>1507385</vt:i4>
      </vt:variant>
      <vt:variant>
        <vt:i4>512</vt:i4>
      </vt:variant>
      <vt:variant>
        <vt:i4>0</vt:i4>
      </vt:variant>
      <vt:variant>
        <vt:i4>5</vt:i4>
      </vt:variant>
      <vt:variant>
        <vt:lpwstr/>
      </vt:variant>
      <vt:variant>
        <vt:lpwstr>_Toc528331700</vt:lpwstr>
      </vt:variant>
      <vt:variant>
        <vt:i4>1966136</vt:i4>
      </vt:variant>
      <vt:variant>
        <vt:i4>506</vt:i4>
      </vt:variant>
      <vt:variant>
        <vt:i4>0</vt:i4>
      </vt:variant>
      <vt:variant>
        <vt:i4>5</vt:i4>
      </vt:variant>
      <vt:variant>
        <vt:lpwstr/>
      </vt:variant>
      <vt:variant>
        <vt:lpwstr>_Toc528331699</vt:lpwstr>
      </vt:variant>
      <vt:variant>
        <vt:i4>1966136</vt:i4>
      </vt:variant>
      <vt:variant>
        <vt:i4>500</vt:i4>
      </vt:variant>
      <vt:variant>
        <vt:i4>0</vt:i4>
      </vt:variant>
      <vt:variant>
        <vt:i4>5</vt:i4>
      </vt:variant>
      <vt:variant>
        <vt:lpwstr/>
      </vt:variant>
      <vt:variant>
        <vt:lpwstr>_Toc528331698</vt:lpwstr>
      </vt:variant>
      <vt:variant>
        <vt:i4>1966136</vt:i4>
      </vt:variant>
      <vt:variant>
        <vt:i4>494</vt:i4>
      </vt:variant>
      <vt:variant>
        <vt:i4>0</vt:i4>
      </vt:variant>
      <vt:variant>
        <vt:i4>5</vt:i4>
      </vt:variant>
      <vt:variant>
        <vt:lpwstr/>
      </vt:variant>
      <vt:variant>
        <vt:lpwstr>_Toc528331697</vt:lpwstr>
      </vt:variant>
      <vt:variant>
        <vt:i4>1966136</vt:i4>
      </vt:variant>
      <vt:variant>
        <vt:i4>488</vt:i4>
      </vt:variant>
      <vt:variant>
        <vt:i4>0</vt:i4>
      </vt:variant>
      <vt:variant>
        <vt:i4>5</vt:i4>
      </vt:variant>
      <vt:variant>
        <vt:lpwstr/>
      </vt:variant>
      <vt:variant>
        <vt:lpwstr>_Toc528331696</vt:lpwstr>
      </vt:variant>
      <vt:variant>
        <vt:i4>1966136</vt:i4>
      </vt:variant>
      <vt:variant>
        <vt:i4>482</vt:i4>
      </vt:variant>
      <vt:variant>
        <vt:i4>0</vt:i4>
      </vt:variant>
      <vt:variant>
        <vt:i4>5</vt:i4>
      </vt:variant>
      <vt:variant>
        <vt:lpwstr/>
      </vt:variant>
      <vt:variant>
        <vt:lpwstr>_Toc528331695</vt:lpwstr>
      </vt:variant>
      <vt:variant>
        <vt:i4>1966136</vt:i4>
      </vt:variant>
      <vt:variant>
        <vt:i4>476</vt:i4>
      </vt:variant>
      <vt:variant>
        <vt:i4>0</vt:i4>
      </vt:variant>
      <vt:variant>
        <vt:i4>5</vt:i4>
      </vt:variant>
      <vt:variant>
        <vt:lpwstr/>
      </vt:variant>
      <vt:variant>
        <vt:lpwstr>_Toc528331694</vt:lpwstr>
      </vt:variant>
      <vt:variant>
        <vt:i4>1966136</vt:i4>
      </vt:variant>
      <vt:variant>
        <vt:i4>470</vt:i4>
      </vt:variant>
      <vt:variant>
        <vt:i4>0</vt:i4>
      </vt:variant>
      <vt:variant>
        <vt:i4>5</vt:i4>
      </vt:variant>
      <vt:variant>
        <vt:lpwstr/>
      </vt:variant>
      <vt:variant>
        <vt:lpwstr>_Toc528331693</vt:lpwstr>
      </vt:variant>
      <vt:variant>
        <vt:i4>1966136</vt:i4>
      </vt:variant>
      <vt:variant>
        <vt:i4>464</vt:i4>
      </vt:variant>
      <vt:variant>
        <vt:i4>0</vt:i4>
      </vt:variant>
      <vt:variant>
        <vt:i4>5</vt:i4>
      </vt:variant>
      <vt:variant>
        <vt:lpwstr/>
      </vt:variant>
      <vt:variant>
        <vt:lpwstr>_Toc528331692</vt:lpwstr>
      </vt:variant>
      <vt:variant>
        <vt:i4>1966136</vt:i4>
      </vt:variant>
      <vt:variant>
        <vt:i4>458</vt:i4>
      </vt:variant>
      <vt:variant>
        <vt:i4>0</vt:i4>
      </vt:variant>
      <vt:variant>
        <vt:i4>5</vt:i4>
      </vt:variant>
      <vt:variant>
        <vt:lpwstr/>
      </vt:variant>
      <vt:variant>
        <vt:lpwstr>_Toc528331691</vt:lpwstr>
      </vt:variant>
      <vt:variant>
        <vt:i4>1966136</vt:i4>
      </vt:variant>
      <vt:variant>
        <vt:i4>452</vt:i4>
      </vt:variant>
      <vt:variant>
        <vt:i4>0</vt:i4>
      </vt:variant>
      <vt:variant>
        <vt:i4>5</vt:i4>
      </vt:variant>
      <vt:variant>
        <vt:lpwstr/>
      </vt:variant>
      <vt:variant>
        <vt:lpwstr>_Toc528331690</vt:lpwstr>
      </vt:variant>
      <vt:variant>
        <vt:i4>2031672</vt:i4>
      </vt:variant>
      <vt:variant>
        <vt:i4>446</vt:i4>
      </vt:variant>
      <vt:variant>
        <vt:i4>0</vt:i4>
      </vt:variant>
      <vt:variant>
        <vt:i4>5</vt:i4>
      </vt:variant>
      <vt:variant>
        <vt:lpwstr/>
      </vt:variant>
      <vt:variant>
        <vt:lpwstr>_Toc528331689</vt:lpwstr>
      </vt:variant>
      <vt:variant>
        <vt:i4>2031672</vt:i4>
      </vt:variant>
      <vt:variant>
        <vt:i4>440</vt:i4>
      </vt:variant>
      <vt:variant>
        <vt:i4>0</vt:i4>
      </vt:variant>
      <vt:variant>
        <vt:i4>5</vt:i4>
      </vt:variant>
      <vt:variant>
        <vt:lpwstr/>
      </vt:variant>
      <vt:variant>
        <vt:lpwstr>_Toc528331688</vt:lpwstr>
      </vt:variant>
      <vt:variant>
        <vt:i4>2031672</vt:i4>
      </vt:variant>
      <vt:variant>
        <vt:i4>434</vt:i4>
      </vt:variant>
      <vt:variant>
        <vt:i4>0</vt:i4>
      </vt:variant>
      <vt:variant>
        <vt:i4>5</vt:i4>
      </vt:variant>
      <vt:variant>
        <vt:lpwstr/>
      </vt:variant>
      <vt:variant>
        <vt:lpwstr>_Toc528331687</vt:lpwstr>
      </vt:variant>
      <vt:variant>
        <vt:i4>2031672</vt:i4>
      </vt:variant>
      <vt:variant>
        <vt:i4>428</vt:i4>
      </vt:variant>
      <vt:variant>
        <vt:i4>0</vt:i4>
      </vt:variant>
      <vt:variant>
        <vt:i4>5</vt:i4>
      </vt:variant>
      <vt:variant>
        <vt:lpwstr/>
      </vt:variant>
      <vt:variant>
        <vt:lpwstr>_Toc528331686</vt:lpwstr>
      </vt:variant>
      <vt:variant>
        <vt:i4>2031672</vt:i4>
      </vt:variant>
      <vt:variant>
        <vt:i4>422</vt:i4>
      </vt:variant>
      <vt:variant>
        <vt:i4>0</vt:i4>
      </vt:variant>
      <vt:variant>
        <vt:i4>5</vt:i4>
      </vt:variant>
      <vt:variant>
        <vt:lpwstr/>
      </vt:variant>
      <vt:variant>
        <vt:lpwstr>_Toc528331685</vt:lpwstr>
      </vt:variant>
      <vt:variant>
        <vt:i4>2031672</vt:i4>
      </vt:variant>
      <vt:variant>
        <vt:i4>416</vt:i4>
      </vt:variant>
      <vt:variant>
        <vt:i4>0</vt:i4>
      </vt:variant>
      <vt:variant>
        <vt:i4>5</vt:i4>
      </vt:variant>
      <vt:variant>
        <vt:lpwstr/>
      </vt:variant>
      <vt:variant>
        <vt:lpwstr>_Toc528331684</vt:lpwstr>
      </vt:variant>
      <vt:variant>
        <vt:i4>2031672</vt:i4>
      </vt:variant>
      <vt:variant>
        <vt:i4>410</vt:i4>
      </vt:variant>
      <vt:variant>
        <vt:i4>0</vt:i4>
      </vt:variant>
      <vt:variant>
        <vt:i4>5</vt:i4>
      </vt:variant>
      <vt:variant>
        <vt:lpwstr/>
      </vt:variant>
      <vt:variant>
        <vt:lpwstr>_Toc528331683</vt:lpwstr>
      </vt:variant>
      <vt:variant>
        <vt:i4>2031672</vt:i4>
      </vt:variant>
      <vt:variant>
        <vt:i4>404</vt:i4>
      </vt:variant>
      <vt:variant>
        <vt:i4>0</vt:i4>
      </vt:variant>
      <vt:variant>
        <vt:i4>5</vt:i4>
      </vt:variant>
      <vt:variant>
        <vt:lpwstr/>
      </vt:variant>
      <vt:variant>
        <vt:lpwstr>_Toc528331682</vt:lpwstr>
      </vt:variant>
      <vt:variant>
        <vt:i4>2031672</vt:i4>
      </vt:variant>
      <vt:variant>
        <vt:i4>398</vt:i4>
      </vt:variant>
      <vt:variant>
        <vt:i4>0</vt:i4>
      </vt:variant>
      <vt:variant>
        <vt:i4>5</vt:i4>
      </vt:variant>
      <vt:variant>
        <vt:lpwstr/>
      </vt:variant>
      <vt:variant>
        <vt:lpwstr>_Toc528331681</vt:lpwstr>
      </vt:variant>
      <vt:variant>
        <vt:i4>2031672</vt:i4>
      </vt:variant>
      <vt:variant>
        <vt:i4>392</vt:i4>
      </vt:variant>
      <vt:variant>
        <vt:i4>0</vt:i4>
      </vt:variant>
      <vt:variant>
        <vt:i4>5</vt:i4>
      </vt:variant>
      <vt:variant>
        <vt:lpwstr/>
      </vt:variant>
      <vt:variant>
        <vt:lpwstr>_Toc528331680</vt:lpwstr>
      </vt:variant>
      <vt:variant>
        <vt:i4>1048632</vt:i4>
      </vt:variant>
      <vt:variant>
        <vt:i4>386</vt:i4>
      </vt:variant>
      <vt:variant>
        <vt:i4>0</vt:i4>
      </vt:variant>
      <vt:variant>
        <vt:i4>5</vt:i4>
      </vt:variant>
      <vt:variant>
        <vt:lpwstr/>
      </vt:variant>
      <vt:variant>
        <vt:lpwstr>_Toc528331679</vt:lpwstr>
      </vt:variant>
      <vt:variant>
        <vt:i4>1048632</vt:i4>
      </vt:variant>
      <vt:variant>
        <vt:i4>380</vt:i4>
      </vt:variant>
      <vt:variant>
        <vt:i4>0</vt:i4>
      </vt:variant>
      <vt:variant>
        <vt:i4>5</vt:i4>
      </vt:variant>
      <vt:variant>
        <vt:lpwstr/>
      </vt:variant>
      <vt:variant>
        <vt:lpwstr>_Toc528331678</vt:lpwstr>
      </vt:variant>
      <vt:variant>
        <vt:i4>1048632</vt:i4>
      </vt:variant>
      <vt:variant>
        <vt:i4>374</vt:i4>
      </vt:variant>
      <vt:variant>
        <vt:i4>0</vt:i4>
      </vt:variant>
      <vt:variant>
        <vt:i4>5</vt:i4>
      </vt:variant>
      <vt:variant>
        <vt:lpwstr/>
      </vt:variant>
      <vt:variant>
        <vt:lpwstr>_Toc528331677</vt:lpwstr>
      </vt:variant>
      <vt:variant>
        <vt:i4>1048632</vt:i4>
      </vt:variant>
      <vt:variant>
        <vt:i4>368</vt:i4>
      </vt:variant>
      <vt:variant>
        <vt:i4>0</vt:i4>
      </vt:variant>
      <vt:variant>
        <vt:i4>5</vt:i4>
      </vt:variant>
      <vt:variant>
        <vt:lpwstr/>
      </vt:variant>
      <vt:variant>
        <vt:lpwstr>_Toc528331676</vt:lpwstr>
      </vt:variant>
      <vt:variant>
        <vt:i4>1048632</vt:i4>
      </vt:variant>
      <vt:variant>
        <vt:i4>362</vt:i4>
      </vt:variant>
      <vt:variant>
        <vt:i4>0</vt:i4>
      </vt:variant>
      <vt:variant>
        <vt:i4>5</vt:i4>
      </vt:variant>
      <vt:variant>
        <vt:lpwstr/>
      </vt:variant>
      <vt:variant>
        <vt:lpwstr>_Toc528331675</vt:lpwstr>
      </vt:variant>
      <vt:variant>
        <vt:i4>1048632</vt:i4>
      </vt:variant>
      <vt:variant>
        <vt:i4>356</vt:i4>
      </vt:variant>
      <vt:variant>
        <vt:i4>0</vt:i4>
      </vt:variant>
      <vt:variant>
        <vt:i4>5</vt:i4>
      </vt:variant>
      <vt:variant>
        <vt:lpwstr/>
      </vt:variant>
      <vt:variant>
        <vt:lpwstr>_Toc528331674</vt:lpwstr>
      </vt:variant>
      <vt:variant>
        <vt:i4>1048632</vt:i4>
      </vt:variant>
      <vt:variant>
        <vt:i4>350</vt:i4>
      </vt:variant>
      <vt:variant>
        <vt:i4>0</vt:i4>
      </vt:variant>
      <vt:variant>
        <vt:i4>5</vt:i4>
      </vt:variant>
      <vt:variant>
        <vt:lpwstr/>
      </vt:variant>
      <vt:variant>
        <vt:lpwstr>_Toc528331673</vt:lpwstr>
      </vt:variant>
      <vt:variant>
        <vt:i4>1048632</vt:i4>
      </vt:variant>
      <vt:variant>
        <vt:i4>344</vt:i4>
      </vt:variant>
      <vt:variant>
        <vt:i4>0</vt:i4>
      </vt:variant>
      <vt:variant>
        <vt:i4>5</vt:i4>
      </vt:variant>
      <vt:variant>
        <vt:lpwstr/>
      </vt:variant>
      <vt:variant>
        <vt:lpwstr>_Toc528331672</vt:lpwstr>
      </vt:variant>
      <vt:variant>
        <vt:i4>1048632</vt:i4>
      </vt:variant>
      <vt:variant>
        <vt:i4>338</vt:i4>
      </vt:variant>
      <vt:variant>
        <vt:i4>0</vt:i4>
      </vt:variant>
      <vt:variant>
        <vt:i4>5</vt:i4>
      </vt:variant>
      <vt:variant>
        <vt:lpwstr/>
      </vt:variant>
      <vt:variant>
        <vt:lpwstr>_Toc528331671</vt:lpwstr>
      </vt:variant>
      <vt:variant>
        <vt:i4>1048632</vt:i4>
      </vt:variant>
      <vt:variant>
        <vt:i4>332</vt:i4>
      </vt:variant>
      <vt:variant>
        <vt:i4>0</vt:i4>
      </vt:variant>
      <vt:variant>
        <vt:i4>5</vt:i4>
      </vt:variant>
      <vt:variant>
        <vt:lpwstr/>
      </vt:variant>
      <vt:variant>
        <vt:lpwstr>_Toc528331670</vt:lpwstr>
      </vt:variant>
      <vt:variant>
        <vt:i4>1114168</vt:i4>
      </vt:variant>
      <vt:variant>
        <vt:i4>326</vt:i4>
      </vt:variant>
      <vt:variant>
        <vt:i4>0</vt:i4>
      </vt:variant>
      <vt:variant>
        <vt:i4>5</vt:i4>
      </vt:variant>
      <vt:variant>
        <vt:lpwstr/>
      </vt:variant>
      <vt:variant>
        <vt:lpwstr>_Toc528331669</vt:lpwstr>
      </vt:variant>
      <vt:variant>
        <vt:i4>1114168</vt:i4>
      </vt:variant>
      <vt:variant>
        <vt:i4>320</vt:i4>
      </vt:variant>
      <vt:variant>
        <vt:i4>0</vt:i4>
      </vt:variant>
      <vt:variant>
        <vt:i4>5</vt:i4>
      </vt:variant>
      <vt:variant>
        <vt:lpwstr/>
      </vt:variant>
      <vt:variant>
        <vt:lpwstr>_Toc528331668</vt:lpwstr>
      </vt:variant>
      <vt:variant>
        <vt:i4>1114168</vt:i4>
      </vt:variant>
      <vt:variant>
        <vt:i4>314</vt:i4>
      </vt:variant>
      <vt:variant>
        <vt:i4>0</vt:i4>
      </vt:variant>
      <vt:variant>
        <vt:i4>5</vt:i4>
      </vt:variant>
      <vt:variant>
        <vt:lpwstr/>
      </vt:variant>
      <vt:variant>
        <vt:lpwstr>_Toc528331667</vt:lpwstr>
      </vt:variant>
      <vt:variant>
        <vt:i4>1114168</vt:i4>
      </vt:variant>
      <vt:variant>
        <vt:i4>308</vt:i4>
      </vt:variant>
      <vt:variant>
        <vt:i4>0</vt:i4>
      </vt:variant>
      <vt:variant>
        <vt:i4>5</vt:i4>
      </vt:variant>
      <vt:variant>
        <vt:lpwstr/>
      </vt:variant>
      <vt:variant>
        <vt:lpwstr>_Toc528331666</vt:lpwstr>
      </vt:variant>
      <vt:variant>
        <vt:i4>1114168</vt:i4>
      </vt:variant>
      <vt:variant>
        <vt:i4>302</vt:i4>
      </vt:variant>
      <vt:variant>
        <vt:i4>0</vt:i4>
      </vt:variant>
      <vt:variant>
        <vt:i4>5</vt:i4>
      </vt:variant>
      <vt:variant>
        <vt:lpwstr/>
      </vt:variant>
      <vt:variant>
        <vt:lpwstr>_Toc528331665</vt:lpwstr>
      </vt:variant>
      <vt:variant>
        <vt:i4>1114168</vt:i4>
      </vt:variant>
      <vt:variant>
        <vt:i4>296</vt:i4>
      </vt:variant>
      <vt:variant>
        <vt:i4>0</vt:i4>
      </vt:variant>
      <vt:variant>
        <vt:i4>5</vt:i4>
      </vt:variant>
      <vt:variant>
        <vt:lpwstr/>
      </vt:variant>
      <vt:variant>
        <vt:lpwstr>_Toc528331664</vt:lpwstr>
      </vt:variant>
      <vt:variant>
        <vt:i4>1114168</vt:i4>
      </vt:variant>
      <vt:variant>
        <vt:i4>290</vt:i4>
      </vt:variant>
      <vt:variant>
        <vt:i4>0</vt:i4>
      </vt:variant>
      <vt:variant>
        <vt:i4>5</vt:i4>
      </vt:variant>
      <vt:variant>
        <vt:lpwstr/>
      </vt:variant>
      <vt:variant>
        <vt:lpwstr>_Toc528331663</vt:lpwstr>
      </vt:variant>
      <vt:variant>
        <vt:i4>1114168</vt:i4>
      </vt:variant>
      <vt:variant>
        <vt:i4>284</vt:i4>
      </vt:variant>
      <vt:variant>
        <vt:i4>0</vt:i4>
      </vt:variant>
      <vt:variant>
        <vt:i4>5</vt:i4>
      </vt:variant>
      <vt:variant>
        <vt:lpwstr/>
      </vt:variant>
      <vt:variant>
        <vt:lpwstr>_Toc528331662</vt:lpwstr>
      </vt:variant>
      <vt:variant>
        <vt:i4>1114168</vt:i4>
      </vt:variant>
      <vt:variant>
        <vt:i4>278</vt:i4>
      </vt:variant>
      <vt:variant>
        <vt:i4>0</vt:i4>
      </vt:variant>
      <vt:variant>
        <vt:i4>5</vt:i4>
      </vt:variant>
      <vt:variant>
        <vt:lpwstr/>
      </vt:variant>
      <vt:variant>
        <vt:lpwstr>_Toc528331661</vt:lpwstr>
      </vt:variant>
      <vt:variant>
        <vt:i4>1114168</vt:i4>
      </vt:variant>
      <vt:variant>
        <vt:i4>272</vt:i4>
      </vt:variant>
      <vt:variant>
        <vt:i4>0</vt:i4>
      </vt:variant>
      <vt:variant>
        <vt:i4>5</vt:i4>
      </vt:variant>
      <vt:variant>
        <vt:lpwstr/>
      </vt:variant>
      <vt:variant>
        <vt:lpwstr>_Toc528331660</vt:lpwstr>
      </vt:variant>
      <vt:variant>
        <vt:i4>1179704</vt:i4>
      </vt:variant>
      <vt:variant>
        <vt:i4>266</vt:i4>
      </vt:variant>
      <vt:variant>
        <vt:i4>0</vt:i4>
      </vt:variant>
      <vt:variant>
        <vt:i4>5</vt:i4>
      </vt:variant>
      <vt:variant>
        <vt:lpwstr/>
      </vt:variant>
      <vt:variant>
        <vt:lpwstr>_Toc528331659</vt:lpwstr>
      </vt:variant>
      <vt:variant>
        <vt:i4>1179704</vt:i4>
      </vt:variant>
      <vt:variant>
        <vt:i4>260</vt:i4>
      </vt:variant>
      <vt:variant>
        <vt:i4>0</vt:i4>
      </vt:variant>
      <vt:variant>
        <vt:i4>5</vt:i4>
      </vt:variant>
      <vt:variant>
        <vt:lpwstr/>
      </vt:variant>
      <vt:variant>
        <vt:lpwstr>_Toc528331658</vt:lpwstr>
      </vt:variant>
      <vt:variant>
        <vt:i4>1179704</vt:i4>
      </vt:variant>
      <vt:variant>
        <vt:i4>254</vt:i4>
      </vt:variant>
      <vt:variant>
        <vt:i4>0</vt:i4>
      </vt:variant>
      <vt:variant>
        <vt:i4>5</vt:i4>
      </vt:variant>
      <vt:variant>
        <vt:lpwstr/>
      </vt:variant>
      <vt:variant>
        <vt:lpwstr>_Toc528331657</vt:lpwstr>
      </vt:variant>
      <vt:variant>
        <vt:i4>1179704</vt:i4>
      </vt:variant>
      <vt:variant>
        <vt:i4>248</vt:i4>
      </vt:variant>
      <vt:variant>
        <vt:i4>0</vt:i4>
      </vt:variant>
      <vt:variant>
        <vt:i4>5</vt:i4>
      </vt:variant>
      <vt:variant>
        <vt:lpwstr/>
      </vt:variant>
      <vt:variant>
        <vt:lpwstr>_Toc528331656</vt:lpwstr>
      </vt:variant>
      <vt:variant>
        <vt:i4>1179704</vt:i4>
      </vt:variant>
      <vt:variant>
        <vt:i4>242</vt:i4>
      </vt:variant>
      <vt:variant>
        <vt:i4>0</vt:i4>
      </vt:variant>
      <vt:variant>
        <vt:i4>5</vt:i4>
      </vt:variant>
      <vt:variant>
        <vt:lpwstr/>
      </vt:variant>
      <vt:variant>
        <vt:lpwstr>_Toc528331655</vt:lpwstr>
      </vt:variant>
      <vt:variant>
        <vt:i4>1179704</vt:i4>
      </vt:variant>
      <vt:variant>
        <vt:i4>236</vt:i4>
      </vt:variant>
      <vt:variant>
        <vt:i4>0</vt:i4>
      </vt:variant>
      <vt:variant>
        <vt:i4>5</vt:i4>
      </vt:variant>
      <vt:variant>
        <vt:lpwstr/>
      </vt:variant>
      <vt:variant>
        <vt:lpwstr>_Toc528331654</vt:lpwstr>
      </vt:variant>
      <vt:variant>
        <vt:i4>1179704</vt:i4>
      </vt:variant>
      <vt:variant>
        <vt:i4>230</vt:i4>
      </vt:variant>
      <vt:variant>
        <vt:i4>0</vt:i4>
      </vt:variant>
      <vt:variant>
        <vt:i4>5</vt:i4>
      </vt:variant>
      <vt:variant>
        <vt:lpwstr/>
      </vt:variant>
      <vt:variant>
        <vt:lpwstr>_Toc528331653</vt:lpwstr>
      </vt:variant>
      <vt:variant>
        <vt:i4>1179704</vt:i4>
      </vt:variant>
      <vt:variant>
        <vt:i4>224</vt:i4>
      </vt:variant>
      <vt:variant>
        <vt:i4>0</vt:i4>
      </vt:variant>
      <vt:variant>
        <vt:i4>5</vt:i4>
      </vt:variant>
      <vt:variant>
        <vt:lpwstr/>
      </vt:variant>
      <vt:variant>
        <vt:lpwstr>_Toc528331652</vt:lpwstr>
      </vt:variant>
      <vt:variant>
        <vt:i4>1179704</vt:i4>
      </vt:variant>
      <vt:variant>
        <vt:i4>218</vt:i4>
      </vt:variant>
      <vt:variant>
        <vt:i4>0</vt:i4>
      </vt:variant>
      <vt:variant>
        <vt:i4>5</vt:i4>
      </vt:variant>
      <vt:variant>
        <vt:lpwstr/>
      </vt:variant>
      <vt:variant>
        <vt:lpwstr>_Toc528331651</vt:lpwstr>
      </vt:variant>
      <vt:variant>
        <vt:i4>1179704</vt:i4>
      </vt:variant>
      <vt:variant>
        <vt:i4>212</vt:i4>
      </vt:variant>
      <vt:variant>
        <vt:i4>0</vt:i4>
      </vt:variant>
      <vt:variant>
        <vt:i4>5</vt:i4>
      </vt:variant>
      <vt:variant>
        <vt:lpwstr/>
      </vt:variant>
      <vt:variant>
        <vt:lpwstr>_Toc528331650</vt:lpwstr>
      </vt:variant>
      <vt:variant>
        <vt:i4>1245240</vt:i4>
      </vt:variant>
      <vt:variant>
        <vt:i4>206</vt:i4>
      </vt:variant>
      <vt:variant>
        <vt:i4>0</vt:i4>
      </vt:variant>
      <vt:variant>
        <vt:i4>5</vt:i4>
      </vt:variant>
      <vt:variant>
        <vt:lpwstr/>
      </vt:variant>
      <vt:variant>
        <vt:lpwstr>_Toc528331649</vt:lpwstr>
      </vt:variant>
      <vt:variant>
        <vt:i4>1245240</vt:i4>
      </vt:variant>
      <vt:variant>
        <vt:i4>200</vt:i4>
      </vt:variant>
      <vt:variant>
        <vt:i4>0</vt:i4>
      </vt:variant>
      <vt:variant>
        <vt:i4>5</vt:i4>
      </vt:variant>
      <vt:variant>
        <vt:lpwstr/>
      </vt:variant>
      <vt:variant>
        <vt:lpwstr>_Toc528331648</vt:lpwstr>
      </vt:variant>
      <vt:variant>
        <vt:i4>1245240</vt:i4>
      </vt:variant>
      <vt:variant>
        <vt:i4>194</vt:i4>
      </vt:variant>
      <vt:variant>
        <vt:i4>0</vt:i4>
      </vt:variant>
      <vt:variant>
        <vt:i4>5</vt:i4>
      </vt:variant>
      <vt:variant>
        <vt:lpwstr/>
      </vt:variant>
      <vt:variant>
        <vt:lpwstr>_Toc528331647</vt:lpwstr>
      </vt:variant>
      <vt:variant>
        <vt:i4>1245240</vt:i4>
      </vt:variant>
      <vt:variant>
        <vt:i4>188</vt:i4>
      </vt:variant>
      <vt:variant>
        <vt:i4>0</vt:i4>
      </vt:variant>
      <vt:variant>
        <vt:i4>5</vt:i4>
      </vt:variant>
      <vt:variant>
        <vt:lpwstr/>
      </vt:variant>
      <vt:variant>
        <vt:lpwstr>_Toc528331646</vt:lpwstr>
      </vt:variant>
      <vt:variant>
        <vt:i4>1245240</vt:i4>
      </vt:variant>
      <vt:variant>
        <vt:i4>182</vt:i4>
      </vt:variant>
      <vt:variant>
        <vt:i4>0</vt:i4>
      </vt:variant>
      <vt:variant>
        <vt:i4>5</vt:i4>
      </vt:variant>
      <vt:variant>
        <vt:lpwstr/>
      </vt:variant>
      <vt:variant>
        <vt:lpwstr>_Toc528331645</vt:lpwstr>
      </vt:variant>
      <vt:variant>
        <vt:i4>1245240</vt:i4>
      </vt:variant>
      <vt:variant>
        <vt:i4>176</vt:i4>
      </vt:variant>
      <vt:variant>
        <vt:i4>0</vt:i4>
      </vt:variant>
      <vt:variant>
        <vt:i4>5</vt:i4>
      </vt:variant>
      <vt:variant>
        <vt:lpwstr/>
      </vt:variant>
      <vt:variant>
        <vt:lpwstr>_Toc528331644</vt:lpwstr>
      </vt:variant>
      <vt:variant>
        <vt:i4>1245240</vt:i4>
      </vt:variant>
      <vt:variant>
        <vt:i4>170</vt:i4>
      </vt:variant>
      <vt:variant>
        <vt:i4>0</vt:i4>
      </vt:variant>
      <vt:variant>
        <vt:i4>5</vt:i4>
      </vt:variant>
      <vt:variant>
        <vt:lpwstr/>
      </vt:variant>
      <vt:variant>
        <vt:lpwstr>_Toc528331643</vt:lpwstr>
      </vt:variant>
      <vt:variant>
        <vt:i4>1245240</vt:i4>
      </vt:variant>
      <vt:variant>
        <vt:i4>164</vt:i4>
      </vt:variant>
      <vt:variant>
        <vt:i4>0</vt:i4>
      </vt:variant>
      <vt:variant>
        <vt:i4>5</vt:i4>
      </vt:variant>
      <vt:variant>
        <vt:lpwstr/>
      </vt:variant>
      <vt:variant>
        <vt:lpwstr>_Toc528331642</vt:lpwstr>
      </vt:variant>
      <vt:variant>
        <vt:i4>1245240</vt:i4>
      </vt:variant>
      <vt:variant>
        <vt:i4>158</vt:i4>
      </vt:variant>
      <vt:variant>
        <vt:i4>0</vt:i4>
      </vt:variant>
      <vt:variant>
        <vt:i4>5</vt:i4>
      </vt:variant>
      <vt:variant>
        <vt:lpwstr/>
      </vt:variant>
      <vt:variant>
        <vt:lpwstr>_Toc528331641</vt:lpwstr>
      </vt:variant>
      <vt:variant>
        <vt:i4>1245240</vt:i4>
      </vt:variant>
      <vt:variant>
        <vt:i4>152</vt:i4>
      </vt:variant>
      <vt:variant>
        <vt:i4>0</vt:i4>
      </vt:variant>
      <vt:variant>
        <vt:i4>5</vt:i4>
      </vt:variant>
      <vt:variant>
        <vt:lpwstr/>
      </vt:variant>
      <vt:variant>
        <vt:lpwstr>_Toc528331640</vt:lpwstr>
      </vt:variant>
      <vt:variant>
        <vt:i4>1310776</vt:i4>
      </vt:variant>
      <vt:variant>
        <vt:i4>146</vt:i4>
      </vt:variant>
      <vt:variant>
        <vt:i4>0</vt:i4>
      </vt:variant>
      <vt:variant>
        <vt:i4>5</vt:i4>
      </vt:variant>
      <vt:variant>
        <vt:lpwstr/>
      </vt:variant>
      <vt:variant>
        <vt:lpwstr>_Toc528331639</vt:lpwstr>
      </vt:variant>
      <vt:variant>
        <vt:i4>1310776</vt:i4>
      </vt:variant>
      <vt:variant>
        <vt:i4>140</vt:i4>
      </vt:variant>
      <vt:variant>
        <vt:i4>0</vt:i4>
      </vt:variant>
      <vt:variant>
        <vt:i4>5</vt:i4>
      </vt:variant>
      <vt:variant>
        <vt:lpwstr/>
      </vt:variant>
      <vt:variant>
        <vt:lpwstr>_Toc528331638</vt:lpwstr>
      </vt:variant>
      <vt:variant>
        <vt:i4>1310776</vt:i4>
      </vt:variant>
      <vt:variant>
        <vt:i4>134</vt:i4>
      </vt:variant>
      <vt:variant>
        <vt:i4>0</vt:i4>
      </vt:variant>
      <vt:variant>
        <vt:i4>5</vt:i4>
      </vt:variant>
      <vt:variant>
        <vt:lpwstr/>
      </vt:variant>
      <vt:variant>
        <vt:lpwstr>_Toc528331637</vt:lpwstr>
      </vt:variant>
      <vt:variant>
        <vt:i4>1310776</vt:i4>
      </vt:variant>
      <vt:variant>
        <vt:i4>128</vt:i4>
      </vt:variant>
      <vt:variant>
        <vt:i4>0</vt:i4>
      </vt:variant>
      <vt:variant>
        <vt:i4>5</vt:i4>
      </vt:variant>
      <vt:variant>
        <vt:lpwstr/>
      </vt:variant>
      <vt:variant>
        <vt:lpwstr>_Toc528331636</vt:lpwstr>
      </vt:variant>
      <vt:variant>
        <vt:i4>1310776</vt:i4>
      </vt:variant>
      <vt:variant>
        <vt:i4>122</vt:i4>
      </vt:variant>
      <vt:variant>
        <vt:i4>0</vt:i4>
      </vt:variant>
      <vt:variant>
        <vt:i4>5</vt:i4>
      </vt:variant>
      <vt:variant>
        <vt:lpwstr/>
      </vt:variant>
      <vt:variant>
        <vt:lpwstr>_Toc528331635</vt:lpwstr>
      </vt:variant>
      <vt:variant>
        <vt:i4>1310776</vt:i4>
      </vt:variant>
      <vt:variant>
        <vt:i4>116</vt:i4>
      </vt:variant>
      <vt:variant>
        <vt:i4>0</vt:i4>
      </vt:variant>
      <vt:variant>
        <vt:i4>5</vt:i4>
      </vt:variant>
      <vt:variant>
        <vt:lpwstr/>
      </vt:variant>
      <vt:variant>
        <vt:lpwstr>_Toc528331634</vt:lpwstr>
      </vt:variant>
      <vt:variant>
        <vt:i4>1310776</vt:i4>
      </vt:variant>
      <vt:variant>
        <vt:i4>110</vt:i4>
      </vt:variant>
      <vt:variant>
        <vt:i4>0</vt:i4>
      </vt:variant>
      <vt:variant>
        <vt:i4>5</vt:i4>
      </vt:variant>
      <vt:variant>
        <vt:lpwstr/>
      </vt:variant>
      <vt:variant>
        <vt:lpwstr>_Toc528331633</vt:lpwstr>
      </vt:variant>
      <vt:variant>
        <vt:i4>1310776</vt:i4>
      </vt:variant>
      <vt:variant>
        <vt:i4>104</vt:i4>
      </vt:variant>
      <vt:variant>
        <vt:i4>0</vt:i4>
      </vt:variant>
      <vt:variant>
        <vt:i4>5</vt:i4>
      </vt:variant>
      <vt:variant>
        <vt:lpwstr/>
      </vt:variant>
      <vt:variant>
        <vt:lpwstr>_Toc528331632</vt:lpwstr>
      </vt:variant>
      <vt:variant>
        <vt:i4>1310776</vt:i4>
      </vt:variant>
      <vt:variant>
        <vt:i4>98</vt:i4>
      </vt:variant>
      <vt:variant>
        <vt:i4>0</vt:i4>
      </vt:variant>
      <vt:variant>
        <vt:i4>5</vt:i4>
      </vt:variant>
      <vt:variant>
        <vt:lpwstr/>
      </vt:variant>
      <vt:variant>
        <vt:lpwstr>_Toc528331631</vt:lpwstr>
      </vt:variant>
      <vt:variant>
        <vt:i4>1310776</vt:i4>
      </vt:variant>
      <vt:variant>
        <vt:i4>92</vt:i4>
      </vt:variant>
      <vt:variant>
        <vt:i4>0</vt:i4>
      </vt:variant>
      <vt:variant>
        <vt:i4>5</vt:i4>
      </vt:variant>
      <vt:variant>
        <vt:lpwstr/>
      </vt:variant>
      <vt:variant>
        <vt:lpwstr>_Toc528331630</vt:lpwstr>
      </vt:variant>
      <vt:variant>
        <vt:i4>1376312</vt:i4>
      </vt:variant>
      <vt:variant>
        <vt:i4>86</vt:i4>
      </vt:variant>
      <vt:variant>
        <vt:i4>0</vt:i4>
      </vt:variant>
      <vt:variant>
        <vt:i4>5</vt:i4>
      </vt:variant>
      <vt:variant>
        <vt:lpwstr/>
      </vt:variant>
      <vt:variant>
        <vt:lpwstr>_Toc528331629</vt:lpwstr>
      </vt:variant>
      <vt:variant>
        <vt:i4>1376312</vt:i4>
      </vt:variant>
      <vt:variant>
        <vt:i4>80</vt:i4>
      </vt:variant>
      <vt:variant>
        <vt:i4>0</vt:i4>
      </vt:variant>
      <vt:variant>
        <vt:i4>5</vt:i4>
      </vt:variant>
      <vt:variant>
        <vt:lpwstr/>
      </vt:variant>
      <vt:variant>
        <vt:lpwstr>_Toc528331628</vt:lpwstr>
      </vt:variant>
      <vt:variant>
        <vt:i4>1376312</vt:i4>
      </vt:variant>
      <vt:variant>
        <vt:i4>74</vt:i4>
      </vt:variant>
      <vt:variant>
        <vt:i4>0</vt:i4>
      </vt:variant>
      <vt:variant>
        <vt:i4>5</vt:i4>
      </vt:variant>
      <vt:variant>
        <vt:lpwstr/>
      </vt:variant>
      <vt:variant>
        <vt:lpwstr>_Toc528331627</vt:lpwstr>
      </vt:variant>
      <vt:variant>
        <vt:i4>1376312</vt:i4>
      </vt:variant>
      <vt:variant>
        <vt:i4>68</vt:i4>
      </vt:variant>
      <vt:variant>
        <vt:i4>0</vt:i4>
      </vt:variant>
      <vt:variant>
        <vt:i4>5</vt:i4>
      </vt:variant>
      <vt:variant>
        <vt:lpwstr/>
      </vt:variant>
      <vt:variant>
        <vt:lpwstr>_Toc528331626</vt:lpwstr>
      </vt:variant>
      <vt:variant>
        <vt:i4>1376312</vt:i4>
      </vt:variant>
      <vt:variant>
        <vt:i4>62</vt:i4>
      </vt:variant>
      <vt:variant>
        <vt:i4>0</vt:i4>
      </vt:variant>
      <vt:variant>
        <vt:i4>5</vt:i4>
      </vt:variant>
      <vt:variant>
        <vt:lpwstr/>
      </vt:variant>
      <vt:variant>
        <vt:lpwstr>_Toc528331625</vt:lpwstr>
      </vt:variant>
      <vt:variant>
        <vt:i4>1376312</vt:i4>
      </vt:variant>
      <vt:variant>
        <vt:i4>56</vt:i4>
      </vt:variant>
      <vt:variant>
        <vt:i4>0</vt:i4>
      </vt:variant>
      <vt:variant>
        <vt:i4>5</vt:i4>
      </vt:variant>
      <vt:variant>
        <vt:lpwstr/>
      </vt:variant>
      <vt:variant>
        <vt:lpwstr>_Toc528331624</vt:lpwstr>
      </vt:variant>
      <vt:variant>
        <vt:i4>1376312</vt:i4>
      </vt:variant>
      <vt:variant>
        <vt:i4>50</vt:i4>
      </vt:variant>
      <vt:variant>
        <vt:i4>0</vt:i4>
      </vt:variant>
      <vt:variant>
        <vt:i4>5</vt:i4>
      </vt:variant>
      <vt:variant>
        <vt:lpwstr/>
      </vt:variant>
      <vt:variant>
        <vt:lpwstr>_Toc528331623</vt:lpwstr>
      </vt:variant>
      <vt:variant>
        <vt:i4>1376312</vt:i4>
      </vt:variant>
      <vt:variant>
        <vt:i4>44</vt:i4>
      </vt:variant>
      <vt:variant>
        <vt:i4>0</vt:i4>
      </vt:variant>
      <vt:variant>
        <vt:i4>5</vt:i4>
      </vt:variant>
      <vt:variant>
        <vt:lpwstr/>
      </vt:variant>
      <vt:variant>
        <vt:lpwstr>_Toc528331622</vt:lpwstr>
      </vt:variant>
      <vt:variant>
        <vt:i4>1376312</vt:i4>
      </vt:variant>
      <vt:variant>
        <vt:i4>38</vt:i4>
      </vt:variant>
      <vt:variant>
        <vt:i4>0</vt:i4>
      </vt:variant>
      <vt:variant>
        <vt:i4>5</vt:i4>
      </vt:variant>
      <vt:variant>
        <vt:lpwstr/>
      </vt:variant>
      <vt:variant>
        <vt:lpwstr>_Toc528331621</vt:lpwstr>
      </vt:variant>
      <vt:variant>
        <vt:i4>1376312</vt:i4>
      </vt:variant>
      <vt:variant>
        <vt:i4>32</vt:i4>
      </vt:variant>
      <vt:variant>
        <vt:i4>0</vt:i4>
      </vt:variant>
      <vt:variant>
        <vt:i4>5</vt:i4>
      </vt:variant>
      <vt:variant>
        <vt:lpwstr/>
      </vt:variant>
      <vt:variant>
        <vt:lpwstr>_Toc528331620</vt:lpwstr>
      </vt:variant>
      <vt:variant>
        <vt:i4>1441848</vt:i4>
      </vt:variant>
      <vt:variant>
        <vt:i4>26</vt:i4>
      </vt:variant>
      <vt:variant>
        <vt:i4>0</vt:i4>
      </vt:variant>
      <vt:variant>
        <vt:i4>5</vt:i4>
      </vt:variant>
      <vt:variant>
        <vt:lpwstr/>
      </vt:variant>
      <vt:variant>
        <vt:lpwstr>_Toc528331619</vt:lpwstr>
      </vt:variant>
      <vt:variant>
        <vt:i4>1441848</vt:i4>
      </vt:variant>
      <vt:variant>
        <vt:i4>20</vt:i4>
      </vt:variant>
      <vt:variant>
        <vt:i4>0</vt:i4>
      </vt:variant>
      <vt:variant>
        <vt:i4>5</vt:i4>
      </vt:variant>
      <vt:variant>
        <vt:lpwstr/>
      </vt:variant>
      <vt:variant>
        <vt:lpwstr>_Toc528331618</vt:lpwstr>
      </vt:variant>
      <vt:variant>
        <vt:i4>1441848</vt:i4>
      </vt:variant>
      <vt:variant>
        <vt:i4>14</vt:i4>
      </vt:variant>
      <vt:variant>
        <vt:i4>0</vt:i4>
      </vt:variant>
      <vt:variant>
        <vt:i4>5</vt:i4>
      </vt:variant>
      <vt:variant>
        <vt:lpwstr/>
      </vt:variant>
      <vt:variant>
        <vt:lpwstr>_Toc528331617</vt:lpwstr>
      </vt:variant>
      <vt:variant>
        <vt:i4>1441848</vt:i4>
      </vt:variant>
      <vt:variant>
        <vt:i4>8</vt:i4>
      </vt:variant>
      <vt:variant>
        <vt:i4>0</vt:i4>
      </vt:variant>
      <vt:variant>
        <vt:i4>5</vt:i4>
      </vt:variant>
      <vt:variant>
        <vt:lpwstr/>
      </vt:variant>
      <vt:variant>
        <vt:lpwstr>_Toc528331616</vt:lpwstr>
      </vt:variant>
      <vt:variant>
        <vt:i4>1441848</vt:i4>
      </vt:variant>
      <vt:variant>
        <vt:i4>2</vt:i4>
      </vt:variant>
      <vt:variant>
        <vt:i4>0</vt:i4>
      </vt:variant>
      <vt:variant>
        <vt:i4>5</vt:i4>
      </vt:variant>
      <vt:variant>
        <vt:lpwstr/>
      </vt:variant>
      <vt:variant>
        <vt:lpwstr>_Toc528331615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Objaśnienia 2024-2050</dc:title>
  <dc:subject/>
  <dc:creator>Biuro Planowania Budżetowego</dc:creator>
  <cp:keywords/>
  <dc:description/>
  <cp:lastModifiedBy>Zieliński Zbigniew (PB)</cp:lastModifiedBy>
  <cp:revision>4</cp:revision>
  <cp:lastPrinted>2023-12-19T08:19:00Z</cp:lastPrinted>
  <dcterms:created xsi:type="dcterms:W3CDTF">2023-12-20T09:15:00Z</dcterms:created>
  <dcterms:modified xsi:type="dcterms:W3CDTF">2023-12-20T09:24:00Z</dcterms:modified>
</cp:coreProperties>
</file>