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D760" w14:textId="77777777" w:rsidR="004B3C7A" w:rsidRPr="007B56A2" w:rsidRDefault="004B3C7A" w:rsidP="005307D6">
      <w:pPr>
        <w:pStyle w:val="Nagwek3"/>
        <w:numPr>
          <w:ilvl w:val="0"/>
          <w:numId w:val="0"/>
        </w:numPr>
        <w:ind w:left="720"/>
        <w:rPr>
          <w:rFonts w:asciiTheme="minorHAnsi" w:hAnsiTheme="minorHAnsi" w:cstheme="minorHAnsi"/>
        </w:rPr>
      </w:pPr>
    </w:p>
    <w:p w14:paraId="5A0E5816" w14:textId="77777777" w:rsidR="00A63E65" w:rsidRPr="007B56A2" w:rsidRDefault="00A63E65" w:rsidP="008C7440">
      <w:pPr>
        <w:spacing w:after="240" w:line="300" w:lineRule="auto"/>
        <w:ind w:left="4956" w:firstLine="709"/>
        <w:rPr>
          <w:rFonts w:cstheme="minorHAnsi"/>
          <w:b/>
          <w:sz w:val="24"/>
          <w:szCs w:val="24"/>
        </w:rPr>
      </w:pPr>
      <w:r w:rsidRPr="007B56A2">
        <w:rPr>
          <w:rFonts w:cstheme="minorHAnsi"/>
          <w:b/>
          <w:sz w:val="24"/>
          <w:szCs w:val="24"/>
        </w:rPr>
        <w:t>Załącznik nr 20</w:t>
      </w:r>
    </w:p>
    <w:p w14:paraId="73563881" w14:textId="77777777" w:rsidR="00A63E65" w:rsidRPr="007B56A2" w:rsidRDefault="00A63E65" w:rsidP="00A63E65">
      <w:pPr>
        <w:ind w:left="5664"/>
        <w:rPr>
          <w:rFonts w:cstheme="minorHAnsi"/>
          <w:sz w:val="24"/>
          <w:szCs w:val="24"/>
        </w:rPr>
      </w:pPr>
      <w:r w:rsidRPr="007B56A2">
        <w:rPr>
          <w:rFonts w:cstheme="minorHAnsi"/>
          <w:sz w:val="24"/>
          <w:szCs w:val="24"/>
        </w:rPr>
        <w:t>Do zasad obiegu oraz kontroli sprawozdań budżetowych, sprawozdań w zakresie operacji finansowych w Urzędzie m.st. Warszawy i jednostkach organizacyjnych m.st. Warszawy</w:t>
      </w:r>
    </w:p>
    <w:p w14:paraId="4DC29803" w14:textId="77777777" w:rsidR="00A63E65" w:rsidRPr="007B56A2" w:rsidRDefault="00A63E65" w:rsidP="00A63E65">
      <w:pPr>
        <w:rPr>
          <w:rFonts w:cstheme="minorHAnsi"/>
          <w:sz w:val="24"/>
          <w:szCs w:val="24"/>
        </w:rPr>
      </w:pPr>
    </w:p>
    <w:p w14:paraId="3D4E7B57"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Informacje o Urzędzie Dzielnicy Żoliborz m.st. Warszawy</w:t>
      </w:r>
    </w:p>
    <w:p w14:paraId="20FBAFBD" w14:textId="4210E8F0"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Nazwa jednostki</w:t>
      </w:r>
      <w:r w:rsidR="00531F01">
        <w:rPr>
          <w:rFonts w:cstheme="minorHAnsi"/>
          <w:sz w:val="24"/>
          <w:szCs w:val="24"/>
        </w:rPr>
        <w:br/>
      </w:r>
      <w:r w:rsidRPr="00531F01">
        <w:rPr>
          <w:rFonts w:cstheme="minorHAnsi"/>
          <w:sz w:val="24"/>
          <w:szCs w:val="24"/>
        </w:rPr>
        <w:t>Urząd Dzielnicy Żoliborz</w:t>
      </w:r>
    </w:p>
    <w:p w14:paraId="21C82F97" w14:textId="67556301"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Siedziba jednostki</w:t>
      </w:r>
      <w:r w:rsidR="00531F01" w:rsidRPr="00531F01">
        <w:rPr>
          <w:rFonts w:cstheme="minorHAnsi"/>
          <w:sz w:val="24"/>
          <w:szCs w:val="24"/>
        </w:rPr>
        <w:br/>
      </w:r>
      <w:r w:rsidRPr="00531F01">
        <w:rPr>
          <w:rFonts w:cstheme="minorHAnsi"/>
          <w:sz w:val="24"/>
          <w:szCs w:val="24"/>
        </w:rPr>
        <w:t>01-657 Warszawa</w:t>
      </w:r>
      <w:r w:rsidR="00531F01">
        <w:rPr>
          <w:rFonts w:cstheme="minorHAnsi"/>
          <w:sz w:val="24"/>
          <w:szCs w:val="24"/>
        </w:rPr>
        <w:br/>
      </w:r>
      <w:r w:rsidRPr="00531F01">
        <w:rPr>
          <w:rFonts w:cstheme="minorHAnsi"/>
          <w:sz w:val="24"/>
          <w:szCs w:val="24"/>
        </w:rPr>
        <w:t>ul. Słowackiego 6/8</w:t>
      </w:r>
    </w:p>
    <w:p w14:paraId="480F7C93" w14:textId="1F3E28CE" w:rsidR="00A63E65" w:rsidRPr="00531F01" w:rsidRDefault="00A63E65" w:rsidP="00531F01">
      <w:pPr>
        <w:pStyle w:val="Akapitzlist"/>
        <w:numPr>
          <w:ilvl w:val="1"/>
          <w:numId w:val="2"/>
        </w:numPr>
        <w:spacing w:after="240" w:line="300" w:lineRule="auto"/>
        <w:ind w:left="1134" w:hanging="567"/>
        <w:contextualSpacing w:val="0"/>
        <w:rPr>
          <w:rFonts w:cstheme="minorHAnsi"/>
          <w:sz w:val="24"/>
          <w:szCs w:val="24"/>
        </w:rPr>
      </w:pPr>
      <w:r w:rsidRPr="00531F01">
        <w:rPr>
          <w:rFonts w:cstheme="minorHAnsi"/>
          <w:sz w:val="24"/>
          <w:szCs w:val="24"/>
        </w:rPr>
        <w:t>Adres jednostki</w:t>
      </w:r>
      <w:r w:rsidR="00531F01" w:rsidRPr="00531F01">
        <w:rPr>
          <w:rFonts w:cstheme="minorHAnsi"/>
          <w:sz w:val="24"/>
          <w:szCs w:val="24"/>
        </w:rPr>
        <w:br/>
        <w:t>0</w:t>
      </w:r>
      <w:r w:rsidRPr="00531F01">
        <w:rPr>
          <w:rFonts w:cstheme="minorHAnsi"/>
          <w:sz w:val="24"/>
          <w:szCs w:val="24"/>
        </w:rPr>
        <w:t>1-657 Warszawa</w:t>
      </w:r>
      <w:r w:rsidR="00531F01">
        <w:rPr>
          <w:rFonts w:cstheme="minorHAnsi"/>
          <w:sz w:val="24"/>
          <w:szCs w:val="24"/>
        </w:rPr>
        <w:br/>
      </w:r>
      <w:r w:rsidRPr="00531F01">
        <w:rPr>
          <w:rFonts w:cstheme="minorHAnsi"/>
          <w:sz w:val="24"/>
          <w:szCs w:val="24"/>
        </w:rPr>
        <w:t>ul. Słowackiego 6/8</w:t>
      </w:r>
    </w:p>
    <w:p w14:paraId="2A91788F" w14:textId="77777777" w:rsidR="00A63E65" w:rsidRPr="007B56A2" w:rsidRDefault="00A63E65" w:rsidP="00531F01">
      <w:pPr>
        <w:pStyle w:val="Akapitzlist"/>
        <w:numPr>
          <w:ilvl w:val="1"/>
          <w:numId w:val="2"/>
        </w:numPr>
        <w:spacing w:after="240" w:line="300" w:lineRule="auto"/>
        <w:ind w:left="1134" w:hanging="567"/>
        <w:contextualSpacing w:val="0"/>
        <w:rPr>
          <w:rFonts w:cstheme="minorHAnsi"/>
          <w:sz w:val="24"/>
          <w:szCs w:val="24"/>
        </w:rPr>
      </w:pPr>
      <w:r w:rsidRPr="007B56A2">
        <w:rPr>
          <w:rFonts w:cstheme="minorHAnsi"/>
          <w:sz w:val="24"/>
          <w:szCs w:val="24"/>
        </w:rPr>
        <w:t>Podstawowy przedmiot działalności jednostki</w:t>
      </w:r>
    </w:p>
    <w:p w14:paraId="29CAD766"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Jednostka pomocnicza miasta stołecznego warszawy.</w:t>
      </w:r>
    </w:p>
    <w:p w14:paraId="65B6288A" w14:textId="77777777" w:rsidR="00A63E65" w:rsidRPr="007B56A2" w:rsidRDefault="00A63E65" w:rsidP="00531F01">
      <w:pPr>
        <w:pStyle w:val="Akapitzlist"/>
        <w:spacing w:after="240" w:line="300" w:lineRule="auto"/>
        <w:ind w:left="1134"/>
        <w:contextualSpacing w:val="0"/>
        <w:rPr>
          <w:rFonts w:cstheme="minorHAnsi"/>
          <w:sz w:val="24"/>
          <w:szCs w:val="24"/>
        </w:rPr>
      </w:pPr>
      <w:r w:rsidRPr="007B56A2">
        <w:rPr>
          <w:rFonts w:cstheme="minorHAnsi"/>
          <w:sz w:val="24"/>
          <w:szCs w:val="24"/>
        </w:rPr>
        <w:t xml:space="preserve">Zakres działania określony został w Rozdz. II statutu </w:t>
      </w:r>
      <w:r w:rsidR="009E3751" w:rsidRPr="007B56A2">
        <w:rPr>
          <w:rFonts w:cstheme="minorHAnsi"/>
          <w:sz w:val="24"/>
          <w:szCs w:val="24"/>
        </w:rPr>
        <w:t xml:space="preserve">dzielnicy Żoliborz będącego załącznikiem Nr 18 do Uchwały Nr LXX/2182/2010 Rady m.st. Warszawy z dn. 14 stycznia 2010 r. </w:t>
      </w:r>
    </w:p>
    <w:p w14:paraId="201453D6"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okresu objętego sprawozdaniem</w:t>
      </w:r>
    </w:p>
    <w:p w14:paraId="46E10F49" w14:textId="77777777"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w:t>
      </w:r>
      <w:r w:rsidR="004E20DD" w:rsidRPr="007B56A2">
        <w:rPr>
          <w:rFonts w:cstheme="minorHAnsi"/>
          <w:sz w:val="24"/>
          <w:szCs w:val="24"/>
        </w:rPr>
        <w:t>nie obejmuje okres od 01.01.2020</w:t>
      </w:r>
      <w:r w:rsidRPr="007B56A2">
        <w:rPr>
          <w:rFonts w:cstheme="minorHAnsi"/>
          <w:sz w:val="24"/>
          <w:szCs w:val="24"/>
        </w:rPr>
        <w:t xml:space="preserve"> r.</w:t>
      </w:r>
      <w:r w:rsidR="004E20DD" w:rsidRPr="007B56A2">
        <w:rPr>
          <w:rFonts w:cstheme="minorHAnsi"/>
          <w:sz w:val="24"/>
          <w:szCs w:val="24"/>
        </w:rPr>
        <w:t xml:space="preserve"> do 31.12.2020</w:t>
      </w:r>
      <w:r w:rsidRPr="007B56A2">
        <w:rPr>
          <w:rFonts w:cstheme="minorHAnsi"/>
          <w:sz w:val="24"/>
          <w:szCs w:val="24"/>
        </w:rPr>
        <w:t xml:space="preserve"> r.</w:t>
      </w:r>
    </w:p>
    <w:p w14:paraId="7954F1AB"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Wskazanie, że sprawozdanie zawiera dane łączne</w:t>
      </w:r>
    </w:p>
    <w:p w14:paraId="4AC83797" w14:textId="77777777" w:rsidR="00A63E65" w:rsidRPr="007B56A2" w:rsidRDefault="00A63E65" w:rsidP="00531F01">
      <w:pPr>
        <w:pStyle w:val="Akapitzlist"/>
        <w:spacing w:after="240" w:line="300" w:lineRule="auto"/>
        <w:ind w:left="567"/>
        <w:contextualSpacing w:val="0"/>
        <w:rPr>
          <w:rFonts w:cstheme="minorHAnsi"/>
          <w:sz w:val="24"/>
          <w:szCs w:val="24"/>
        </w:rPr>
      </w:pPr>
      <w:r w:rsidRPr="007B56A2">
        <w:rPr>
          <w:rFonts w:cstheme="minorHAnsi"/>
          <w:sz w:val="24"/>
          <w:szCs w:val="24"/>
        </w:rPr>
        <w:t>Sprawozdanie nie zawiera danych łącznych.</w:t>
      </w:r>
    </w:p>
    <w:p w14:paraId="4A121510" w14:textId="77777777" w:rsidR="00A63E65" w:rsidRPr="007B56A2" w:rsidRDefault="00A63E65" w:rsidP="00531F01">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 xml:space="preserve">Przyjęte zasady (polityki) rachunkowości, w tym metody wyceny aktywów </w:t>
      </w:r>
      <w:r w:rsidRPr="007B56A2">
        <w:rPr>
          <w:rFonts w:cstheme="minorHAnsi"/>
          <w:b/>
          <w:sz w:val="24"/>
          <w:szCs w:val="24"/>
        </w:rPr>
        <w:br/>
        <w:t>i pasywów</w:t>
      </w:r>
    </w:p>
    <w:p w14:paraId="32BEE227"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 xml:space="preserve">Zapasy magazynowe materiałów wycenia się według cen nabycia, powiększone o nie podlegający odliczeniu podatek VAT. </w:t>
      </w:r>
    </w:p>
    <w:p w14:paraId="5FF6B5C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Rozchód materiałów z magazynu wycenia się według zasady „pierwsze przyszło – pierwsze wyszło” tj. w cenie zakupu materiałów nabytych najwcześniej.</w:t>
      </w:r>
    </w:p>
    <w:p w14:paraId="16A780D0"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Środki trwałe oraz wartości niematerialne i prawne wycenia się według cen nabycia lub kosztów wytworzenia, pomniejszonej o dotychczasowe dokonane odpisy umorzeniowe a także odpisy z tytułu ewentualnej utraty wartości oraz skorygowanej o przeszacowania dokonane na podstawie odrębnych przepisów.</w:t>
      </w:r>
    </w:p>
    <w:p w14:paraId="33055AEB"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Ustalona w wyniku przeszacowania księgowa wartość netto środka trwałego nie powinna być wyższa od jego wartości godziwej, której odpisanie w przewidywanym okresie jego dalszego użytkowania jest ekonomicznie uzasadnione.</w:t>
      </w:r>
    </w:p>
    <w:p w14:paraId="6F7DBB6A"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Powstałą na skutek przeszacowania wyceny różnicę wartości netto środków trwałych odnosi się na fundusz jednostki.</w:t>
      </w:r>
    </w:p>
    <w:p w14:paraId="458BCDBD" w14:textId="77777777"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 xml:space="preserve">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 odnoszone są w pozostałe koszty operacyjne. </w:t>
      </w:r>
    </w:p>
    <w:p w14:paraId="1F60ABCC" w14:textId="6FF2F024" w:rsidR="005A4D0B" w:rsidRPr="007B56A2" w:rsidRDefault="005A4D0B" w:rsidP="008C7440">
      <w:pPr>
        <w:numPr>
          <w:ilvl w:val="1"/>
          <w:numId w:val="10"/>
        </w:numPr>
        <w:tabs>
          <w:tab w:val="clear" w:pos="1620"/>
        </w:tabs>
        <w:spacing w:after="240" w:line="300" w:lineRule="auto"/>
        <w:ind w:left="1134" w:hanging="567"/>
        <w:rPr>
          <w:rFonts w:cstheme="minorHAnsi"/>
        </w:rPr>
      </w:pPr>
      <w:r w:rsidRPr="007B56A2">
        <w:rPr>
          <w:rFonts w:cstheme="minorHAnsi"/>
        </w:rPr>
        <w:t>W przypadku podjęcia decyzji o czasowym wstrzymaniu budowy środka trwałego w budowie, jednakże z zamiarem wznowienia jej realizacji (np. ze względu na chwilowy, tj. nieprzekraczający okres 36 miesięcy, brak w planie środków na dalszą realizację oraz brak środków w WPF), poniesione dotychczas koszty rozpoczętej budowy nadal ujmowane są jako środki trwałe w budowie, a ewentualne koszty związane z zabezpieczeniem czasowo wstrzymanej budowy środka trwałego nie zwiększają wartości środka trwałego w budowie, są natomiast odnoszone w pozostałe koszty operacyjne.</w:t>
      </w:r>
    </w:p>
    <w:p w14:paraId="5AAB664F" w14:textId="77777777"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i pozostałych nieruchomości, których cenę ustala się w sposób przyjęty w pkt 1 i 2 poniżej), ustala się na podstawie cen wynikających z bieżących ofert sprzedaży takich samych przedmiotów notowanych na rynku (z uwzględnieniem stopnia ich zużycia), dokumentując źródło pochodzenia informacji o cenie.</w:t>
      </w:r>
      <w:r w:rsidRPr="007B56A2">
        <w:rPr>
          <w:rFonts w:eastAsia="Times New Roman" w:cstheme="minorHAnsi"/>
          <w:lang w:eastAsia="pl-PL"/>
        </w:rPr>
        <w:br/>
        <w:t>Cenę sprzedaży ustalają biura merytoryczne/wydziały merytoryczne dla dzielnic w następujący sposób:</w:t>
      </w:r>
    </w:p>
    <w:p w14:paraId="25191EE8" w14:textId="77777777"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grunty - zgodnie z wyceną sporządzaną przez uprawnionego rzeczoznawcę lub w oparciu o średnie ceny gruntu z rynku lokalnego, na którym ten grunt się znajduje w przypadku braku wyceny sporządzonej przez rzeczoznawcę. Podstawą do określenia średniej ceny </w:t>
      </w:r>
      <w:smartTag w:uri="urn:schemas-microsoft-com:office:smarttags" w:element="metricconverter">
        <w:smartTagPr>
          <w:attr w:name="ProductID" w:val="1 mﾲ"/>
        </w:smartTagPr>
        <w:r w:rsidRPr="007B56A2">
          <w:rPr>
            <w:rFonts w:eastAsia="Times New Roman" w:cstheme="minorHAnsi"/>
            <w:lang w:eastAsia="pl-PL"/>
          </w:rPr>
          <w:t>1 m²</w:t>
        </w:r>
      </w:smartTag>
      <w:r w:rsidRPr="007B56A2">
        <w:rPr>
          <w:rFonts w:eastAsia="Times New Roman" w:cstheme="minorHAnsi"/>
          <w:lang w:eastAsia="pl-PL"/>
        </w:rPr>
        <w:t xml:space="preserve"> gruntu na rynku lokalnym jest średnia cena m</w:t>
      </w:r>
      <w:r w:rsidRPr="007B56A2">
        <w:rPr>
          <w:rFonts w:eastAsia="Times New Roman" w:cstheme="minorHAnsi"/>
          <w:vertAlign w:val="superscript"/>
          <w:lang w:eastAsia="pl-PL"/>
        </w:rPr>
        <w:t>2</w:t>
      </w:r>
      <w:r w:rsidRPr="007B56A2">
        <w:rPr>
          <w:rFonts w:eastAsia="Times New Roman" w:cstheme="minorHAnsi"/>
          <w:lang w:eastAsia="pl-PL"/>
        </w:rPr>
        <w:t xml:space="preserve"> gruntów ustalona w oparciu o dane dotyczące maksymalnie dużego zbioru nieruchomości podobnych, ale nie więcej niż 100 pozycji, według cen nieruchomości odpowiednich dla danego okresu (okresu, w którym m.st. Warszawy stało się właścicielem gruntu). </w:t>
      </w:r>
      <w:r w:rsidRPr="007B56A2">
        <w:rPr>
          <w:rFonts w:eastAsia="Times New Roman" w:cstheme="minorHAnsi"/>
          <w:bCs/>
          <w:lang w:eastAsia="pl-PL"/>
        </w:rPr>
        <w:t xml:space="preserve">W przypadku braku danych o średnich cenach nieruchomości, dane pozyskuje się z Rejestru cen i wartości nieruchomości prowadzonego przez Biuro Geodezji i Katastru Urzędu m.st. Warszawy w trybie § 74 Rozporządzenia Ministra Rozwoju Regionalnego i Budownictwa z dnia 29 marca 2001 r. w sprawie prowadzenia ewidencji gruntów i budynków. Za zbiór nieruchomości podobnych uznaje się zbiór nieruchomości położonych na terenie dzielnicy, w którym różnica pomiędzy najmniejszą powierzchnią a medianą nie odbiega w sposób rażący od różnicy pomiędzy największą powierzchnią a medianą. Średnią cenę 1 m² gruntów ustala się z wykluczeniem ze zbioru nieruchomości podobnych transakcji, których cena za 1 m² w sposób rażący odbiega od średniej wartości gruntów w zbiorze nieruchomości podobnych. </w:t>
      </w:r>
      <w:r w:rsidRPr="007B56A2">
        <w:rPr>
          <w:rFonts w:eastAsia="Times New Roman" w:cstheme="minorHAnsi"/>
          <w:bCs/>
          <w:lang w:eastAsia="pl-PL"/>
        </w:rPr>
        <w:br/>
      </w:r>
      <w:r w:rsidRPr="007B56A2">
        <w:rPr>
          <w:rFonts w:eastAsia="Times New Roman" w:cstheme="minorHAnsi"/>
          <w:lang w:eastAsia="pl-PL"/>
        </w:rPr>
        <w:t>Wyliczona wartość gruntu w oparciu o średnią cenę gruntu występującą na rynku lokalnym przed wprowadzeniem do ewidencji wymaga akceptacji Dyrektora Biura Mienia Miasta i Skarbu Państwa, bądź osoby upoważnionej przez niego lub w przypadku gruntów ewidencjonowanych w dzielnicach przez naczelnika/kierownika wewnętrznej komórki</w:t>
      </w:r>
      <w:r w:rsidRPr="007B56A2">
        <w:rPr>
          <w:rFonts w:eastAsia="Times New Roman" w:cstheme="minorHAnsi"/>
          <w:sz w:val="24"/>
          <w:szCs w:val="24"/>
          <w:lang w:eastAsia="pl-PL"/>
        </w:rPr>
        <w:t xml:space="preserve"> </w:t>
      </w:r>
      <w:r w:rsidRPr="007B56A2">
        <w:rPr>
          <w:rFonts w:eastAsia="Times New Roman" w:cstheme="minorHAnsi"/>
          <w:lang w:eastAsia="pl-PL"/>
        </w:rPr>
        <w:t>organizacyjnej urzędu dzielnicy właściwej do prowadzenia zasobu nieruchomości m.st. Warszawy, bądź osoby przez niego upoważnionej;</w:t>
      </w:r>
    </w:p>
    <w:p w14:paraId="309C2A6F" w14:textId="77777777" w:rsid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pozostałe nieruchomości (np. budynek) - zgodnie z wyceną sporządzoną przez</w:t>
      </w:r>
      <w:r w:rsidRPr="007B56A2">
        <w:rPr>
          <w:rFonts w:eastAsia="Times New Roman" w:cstheme="minorHAnsi"/>
          <w:lang w:eastAsia="pl-PL"/>
        </w:rPr>
        <w:br/>
        <w:t>uprawnionego rzeczoznawcę lub cena sprzedaży może zostać określona przez</w:t>
      </w:r>
      <w:r w:rsidRPr="007B56A2">
        <w:rPr>
          <w:rFonts w:eastAsia="Times New Roman" w:cstheme="minorHAnsi"/>
          <w:lang w:eastAsia="pl-PL"/>
        </w:rPr>
        <w:br/>
        <w:t>specjalistę zatrudnionego w Urzędzie m.st. Warszawy np. inspektora nadzoru</w:t>
      </w:r>
      <w:r w:rsidRPr="007B56A2">
        <w:rPr>
          <w:rFonts w:eastAsia="Times New Roman" w:cstheme="minorHAnsi"/>
          <w:lang w:eastAsia="pl-PL"/>
        </w:rPr>
        <w:br/>
        <w:t>budowlanego, z uwzględnieniem aktualnych ekspertyz technicznych oceniających</w:t>
      </w:r>
      <w:r w:rsidRPr="007B56A2">
        <w:rPr>
          <w:rFonts w:eastAsia="Times New Roman" w:cstheme="minorHAnsi"/>
          <w:lang w:eastAsia="pl-PL"/>
        </w:rPr>
        <w:br/>
        <w:t>stan nieruchomości. Należy również porównać aktualną cenę rynkową takiej samej</w:t>
      </w:r>
      <w:r w:rsidRPr="007B56A2">
        <w:rPr>
          <w:rFonts w:eastAsia="Times New Roman" w:cstheme="minorHAnsi"/>
          <w:lang w:eastAsia="pl-PL"/>
        </w:rPr>
        <w:br/>
        <w:t>lub podobnej nieruchomości z uwzględnieniem jej lokalizacji i przeznaczenia oraz</w:t>
      </w:r>
      <w:r w:rsidRPr="007B56A2">
        <w:rPr>
          <w:rFonts w:eastAsia="Times New Roman" w:cstheme="minorHAnsi"/>
          <w:lang w:eastAsia="pl-PL"/>
        </w:rPr>
        <w:br/>
        <w:t>stopnia zużycia;</w:t>
      </w:r>
    </w:p>
    <w:p w14:paraId="7C80BD30" w14:textId="13772998" w:rsidR="005A4D0B" w:rsidRPr="007B56A2" w:rsidRDefault="005A4D0B" w:rsidP="008C7440">
      <w:pPr>
        <w:numPr>
          <w:ilvl w:val="0"/>
          <w:numId w:val="12"/>
        </w:numPr>
        <w:spacing w:after="240" w:line="300" w:lineRule="auto"/>
        <w:ind w:left="1701" w:hanging="567"/>
        <w:rPr>
          <w:rFonts w:eastAsia="Times New Roman" w:cstheme="minorHAnsi"/>
          <w:lang w:eastAsia="pl-PL"/>
        </w:rPr>
      </w:pPr>
      <w:r w:rsidRPr="007B56A2">
        <w:rPr>
          <w:rFonts w:eastAsia="Times New Roman" w:cstheme="minorHAnsi"/>
          <w:lang w:eastAsia="pl-PL"/>
        </w:rPr>
        <w:t>inne środki trwałe niewymienione w pkt 1 i 2 (np. samochód) - zgodnie z wyceną przez uprawnionego rzeczoznawcę lub cena sprzedaży może zostać określona przez zespół powołany w Urzędzie m.st. Warszawy spośród pracowników posiadających wiedzę i doświadczenie w zakresie oceny wartości tego rodzaju środków trwałych, np. w oparciu o ekspertyzę stanu technicznego pojazdu lub opinię ubezpieczyciela pojazdu. Należy również porównać aktualną cenę rynkową takiego samego lub podobnego środka trwałego, z uwzględnieniem parametrów, które mogą mieć wpływ na wysokość ceny sprzedaży np. roku produkcji pojazdu, przebiegu.</w:t>
      </w:r>
    </w:p>
    <w:p w14:paraId="71E6C821" w14:textId="2C576B62" w:rsidR="005A4D0B" w:rsidRPr="007B56A2" w:rsidRDefault="005A4D0B"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Wartość</w:t>
      </w:r>
      <w:r w:rsidRPr="007B56A2">
        <w:rPr>
          <w:rFonts w:eastAsia="Times New Roman" w:cstheme="minorHAnsi"/>
          <w:lang w:eastAsia="pl-PL"/>
        </w:rPr>
        <w:t xml:space="preserve">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21ED20B9" w14:textId="390E149F" w:rsidR="005A4D0B" w:rsidRPr="007B56A2" w:rsidRDefault="005A4D0B" w:rsidP="008C7440">
      <w:pPr>
        <w:numPr>
          <w:ilvl w:val="0"/>
          <w:numId w:val="10"/>
        </w:numPr>
        <w:tabs>
          <w:tab w:val="clear" w:pos="397"/>
        </w:tabs>
        <w:spacing w:after="240" w:line="300" w:lineRule="auto"/>
        <w:ind w:left="1134" w:hanging="567"/>
        <w:rPr>
          <w:rFonts w:cstheme="minorHAnsi"/>
        </w:rPr>
      </w:pPr>
      <w:r w:rsidRPr="007B56A2">
        <w:rPr>
          <w:rFonts w:cstheme="minorHAnsi"/>
        </w:rPr>
        <w:t>Środki trwałe w budowie wycenia się w cenie nabycia lub po koszcie wytworzenia, pomniejszonych o odpisy z tytułu trwałej utraty wartości ‘</w:t>
      </w:r>
    </w:p>
    <w:p w14:paraId="0F5B6857" w14:textId="08A649F0"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Odsetki od należności i zobowiązań, w tym również tych, do których stosuje się przepisy </w:t>
      </w:r>
      <w:r w:rsidRPr="00F36AEE">
        <w:rPr>
          <w:rFonts w:cstheme="minorHAnsi"/>
        </w:rPr>
        <w:t>dotyczące</w:t>
      </w:r>
      <w:r w:rsidRPr="007B56A2">
        <w:rPr>
          <w:rFonts w:eastAsia="Times New Roman" w:cstheme="minorHAnsi"/>
          <w:lang w:eastAsia="pl-PL"/>
        </w:rPr>
        <w:t xml:space="preserve"> zobowiązań podatkowych, ujmuje się w księgach rachunkowych w momencie ich zapłaty, lecz nie później niż pod datą ostatniego dnia kwartału w wysokości odsetek należnych na koniec tego kwartału. </w:t>
      </w:r>
    </w:p>
    <w:p w14:paraId="40BE9125" w14:textId="0771B80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Zasady </w:t>
      </w:r>
      <w:r w:rsidRPr="00F36AEE">
        <w:rPr>
          <w:rFonts w:cstheme="minorHAnsi"/>
        </w:rPr>
        <w:t>dokonywania</w:t>
      </w:r>
      <w:r w:rsidRPr="007B56A2">
        <w:rPr>
          <w:rFonts w:eastAsia="Times New Roman" w:cstheme="minorHAnsi"/>
          <w:lang w:eastAsia="pl-PL"/>
        </w:rPr>
        <w:t xml:space="preserve"> odpisów aktualizujących wartość należności. </w:t>
      </w:r>
    </w:p>
    <w:p w14:paraId="69D3137A" w14:textId="77777777"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Wartość należności aktualizuje się uwzględniając stopień prawdopodobieństwa ich zapłaty poprzez dokonanie odpisu aktualizującego, nie później niż na dzień bilansowy w odniesieniu do: </w:t>
      </w:r>
    </w:p>
    <w:p w14:paraId="619F23C2"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312BADA8"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od dłużników w przypadku oddalenia wniosku o ogłoszenie upadłości, jeżeli majątek dłużnika nie wystarcza lub jedynie wystarcza na zaspokojenie kosztów postępowania upadłościowego – w pełnej wysokości należności,</w:t>
      </w:r>
    </w:p>
    <w:p w14:paraId="73B1DA3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090EA963"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stanowiących równowartość kwot podwyższających należności (np.: odsetki, kary, koszty sądowe), w stosunku do których uprzednio dokonano odpisu aktualizującego – w wysokości tych kwot, do czasu ich otrzymania lub odpisania,</w:t>
      </w:r>
    </w:p>
    <w:p w14:paraId="1284F03E"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nieprzeterminowanych od stron trzecich, w przypadku których utworzono już dla wcześniejszych należności odpisy aktualizujące,</w:t>
      </w:r>
    </w:p>
    <w:p w14:paraId="1101339F" w14:textId="77777777"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należności przeterminowanych o znacznym stopniu prawdopodobieństwa nieściągalności – dokonuje się:</w:t>
      </w:r>
      <w:r w:rsidRPr="007B56A2">
        <w:rPr>
          <w:rFonts w:eastAsia="Times New Roman" w:cstheme="minorHAnsi"/>
          <w:lang w:eastAsia="pl-PL"/>
        </w:rPr>
        <w:br/>
        <w:t>- indywidualnego odpisu aktualizującego dla należności od dłużników, których kwota zaległości jest równa lub wyższa od kwoty 500.000 zł,</w:t>
      </w:r>
      <w:r w:rsidRPr="007B56A2">
        <w:rPr>
          <w:rFonts w:eastAsia="Times New Roman" w:cstheme="minorHAnsi"/>
          <w:lang w:eastAsia="pl-PL"/>
        </w:rPr>
        <w:br/>
        <w:t>- ogólnego odpisu aktualizującego dla pozostałych należności, według zasad opisanych poniżej,</w:t>
      </w:r>
    </w:p>
    <w:p w14:paraId="76261DF8" w14:textId="3AE1983E" w:rsidR="004E20DD" w:rsidRPr="007B56A2" w:rsidRDefault="004E20DD" w:rsidP="008C7440">
      <w:pPr>
        <w:numPr>
          <w:ilvl w:val="0"/>
          <w:numId w:val="18"/>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należności nieprzeterminowanych o znacznym stopniu prawdopodobieństwa nieściągalności – dokonuje się indywidualnego odpisu aktualizującego. </w:t>
      </w:r>
    </w:p>
    <w:p w14:paraId="2F58B0AD" w14:textId="6C3B1F04"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787EA0CE" w14:textId="250FA10D" w:rsidR="004E20DD" w:rsidRPr="007B56A2" w:rsidRDefault="004E20DD" w:rsidP="008C7440">
      <w:pPr>
        <w:numPr>
          <w:ilvl w:val="0"/>
          <w:numId w:val="17"/>
        </w:numPr>
        <w:spacing w:after="240" w:line="300" w:lineRule="auto"/>
        <w:ind w:left="1701" w:hanging="567"/>
        <w:rPr>
          <w:rFonts w:eastAsia="Times New Roman" w:cstheme="minorHAnsi"/>
          <w:lang w:eastAsia="pl-PL"/>
        </w:rPr>
      </w:pPr>
      <w:r w:rsidRPr="007B56A2">
        <w:rPr>
          <w:rFonts w:eastAsia="Times New Roman" w:cstheme="minorHAnsi"/>
          <w:lang w:eastAsia="pl-PL"/>
        </w:rPr>
        <w:t>Ogólny odpis aktualizujący wartość należności, dokonywany jest metodą wiekowania należności. Przy tworzeniu odpisu ogólnego nie uwzględnia się już należności objętych odpisem indywidualnym i postępuje się według następujących zasad:</w:t>
      </w:r>
    </w:p>
    <w:p w14:paraId="2CEBF560"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poniżej 180 dni włącznie – nie są objęte odpisem;</w:t>
      </w:r>
    </w:p>
    <w:p w14:paraId="7331252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od 181 do 365 dni włącznie – objęte są odpisem aktualizującym w wysokości 50% wartości tych należności;</w:t>
      </w:r>
    </w:p>
    <w:p w14:paraId="3F6A9192" w14:textId="77777777" w:rsidR="004E20DD" w:rsidRPr="007B56A2" w:rsidRDefault="004E20DD" w:rsidP="008C7440">
      <w:pPr>
        <w:numPr>
          <w:ilvl w:val="0"/>
          <w:numId w:val="15"/>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należności przeterminowane powyżej 365 dni – objęte są odpisem aktualizującym w wysokości 100% wartości tych należności.</w:t>
      </w:r>
    </w:p>
    <w:p w14:paraId="765F7091" w14:textId="76C029A3" w:rsidR="004E20DD" w:rsidRPr="007B56A2" w:rsidRDefault="004E20DD" w:rsidP="008C7440">
      <w:pPr>
        <w:numPr>
          <w:ilvl w:val="0"/>
          <w:numId w:val="17"/>
        </w:numPr>
        <w:spacing w:after="240" w:line="300" w:lineRule="auto"/>
        <w:ind w:left="1701" w:hanging="567"/>
        <w:rPr>
          <w:rFonts w:eastAsia="Arial" w:cstheme="minorHAnsi"/>
        </w:rPr>
      </w:pPr>
      <w:r w:rsidRPr="007B56A2">
        <w:rPr>
          <w:rFonts w:eastAsia="Arial" w:cstheme="minorHAnsi"/>
          <w:color w:val="000000"/>
        </w:rPr>
        <w:t>Odpisu aktualizującego dla odsetek za zwłokę dokonuje się w pełnej wysokości naliczonych odsetek za zwłokę, zarówno do odsetek naliczonych od należności objętych indywidualnym i ogólnym odpisem</w:t>
      </w:r>
      <w:r w:rsidRPr="007B56A2">
        <w:rPr>
          <w:rFonts w:eastAsia="Arial" w:cstheme="minorHAnsi"/>
        </w:rPr>
        <w:t xml:space="preserve"> aktualizującym.</w:t>
      </w:r>
    </w:p>
    <w:p w14:paraId="466E6569" w14:textId="323AC0C6" w:rsidR="004E20DD" w:rsidRPr="007B56A2" w:rsidRDefault="004E20DD" w:rsidP="008C7440">
      <w:pPr>
        <w:numPr>
          <w:ilvl w:val="0"/>
          <w:numId w:val="17"/>
        </w:numPr>
        <w:spacing w:after="240" w:line="300" w:lineRule="auto"/>
        <w:ind w:left="1701" w:hanging="567"/>
        <w:rPr>
          <w:rFonts w:eastAsia="Arial" w:cstheme="minorHAnsi"/>
          <w:color w:val="000000"/>
        </w:rPr>
      </w:pPr>
      <w:r w:rsidRPr="007B56A2">
        <w:rPr>
          <w:rFonts w:eastAsia="Arial" w:cstheme="minorHAnsi"/>
          <w:color w:val="000000"/>
        </w:rPr>
        <w:t xml:space="preserve">W </w:t>
      </w:r>
      <w:r w:rsidRPr="00922E5C">
        <w:rPr>
          <w:rFonts w:eastAsia="Times New Roman" w:cstheme="minorHAnsi"/>
          <w:lang w:eastAsia="pl-PL"/>
        </w:rPr>
        <w:t>przypadku</w:t>
      </w:r>
      <w:r w:rsidRPr="007B56A2">
        <w:rPr>
          <w:rFonts w:eastAsia="Arial" w:cstheme="minorHAnsi"/>
          <w:color w:val="000000"/>
        </w:rPr>
        <w:t xml:space="preserve">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1435350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583F2241" w14:textId="77777777" w:rsidR="004E20DD" w:rsidRPr="007B56A2" w:rsidRDefault="004E20DD" w:rsidP="008C7440">
      <w:pPr>
        <w:numPr>
          <w:ilvl w:val="0"/>
          <w:numId w:val="16"/>
        </w:numPr>
        <w:autoSpaceDE w:val="0"/>
        <w:autoSpaceDN w:val="0"/>
        <w:adjustRightInd w:val="0"/>
        <w:spacing w:after="240" w:line="300" w:lineRule="auto"/>
        <w:ind w:left="2268" w:hanging="567"/>
        <w:rPr>
          <w:rFonts w:eastAsia="Arial" w:cstheme="minorHAnsi"/>
          <w:lang w:eastAsia="pl-PL"/>
        </w:rPr>
      </w:pPr>
      <w:r w:rsidRPr="007B56A2">
        <w:rPr>
          <w:rFonts w:eastAsia="Arial" w:cstheme="minorHAnsi"/>
          <w:lang w:eastAsia="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EFA6185" w14:textId="77777777" w:rsidR="00922E5C" w:rsidRPr="00922E5C" w:rsidRDefault="004E20DD" w:rsidP="008C7440">
      <w:pPr>
        <w:numPr>
          <w:ilvl w:val="0"/>
          <w:numId w:val="17"/>
        </w:numPr>
        <w:spacing w:after="240" w:line="300" w:lineRule="auto"/>
        <w:ind w:left="1701" w:hanging="567"/>
        <w:rPr>
          <w:rFonts w:eastAsia="Times New Roman" w:cstheme="minorHAnsi"/>
          <w:strike/>
          <w:lang w:eastAsia="pl-PL"/>
        </w:rPr>
      </w:pPr>
      <w:r w:rsidRPr="007B56A2">
        <w:rPr>
          <w:rFonts w:eastAsia="Times New Roman" w:cstheme="minorHAnsi"/>
          <w:lang w:eastAsia="pl-PL"/>
        </w:rPr>
        <w:t>Odpis aktualizujący dla należności z tytułu zaliczki alimentacyjnej i funduszu alimentacyjnego dokonywany jest:</w:t>
      </w:r>
    </w:p>
    <w:p w14:paraId="5D82DAAC" w14:textId="77777777" w:rsidR="00922E5C" w:rsidRPr="00922E5C"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indywidualnie - na podstawie otrzymanych od komornika sądowego informacji określających stopień ich nieściągalności w odniesieniu do poszczególnych dłużników alimentacyjnych,</w:t>
      </w:r>
    </w:p>
    <w:p w14:paraId="09120EFA" w14:textId="2FF889A4" w:rsidR="004E20DD" w:rsidRPr="007B56A2" w:rsidRDefault="004E20DD" w:rsidP="008C7440">
      <w:pPr>
        <w:numPr>
          <w:ilvl w:val="1"/>
          <w:numId w:val="17"/>
        </w:numPr>
        <w:spacing w:after="240" w:line="300" w:lineRule="auto"/>
        <w:ind w:left="2268" w:hanging="567"/>
        <w:rPr>
          <w:rFonts w:eastAsia="Times New Roman" w:cstheme="minorHAnsi"/>
          <w:strike/>
          <w:lang w:eastAsia="pl-PL"/>
        </w:rPr>
      </w:pPr>
      <w:r w:rsidRPr="007B56A2">
        <w:rPr>
          <w:rFonts w:eastAsia="Times New Roman" w:cstheme="minorHAnsi"/>
          <w:lang w:eastAsia="pl-PL"/>
        </w:rPr>
        <w:t>dla pozostałych należności (do których nie otrzymano informacji od komorników sądowych) – ogólnym odpisem według raportu wiekowania.</w:t>
      </w:r>
      <w:r w:rsidRPr="007B56A2">
        <w:rPr>
          <w:rFonts w:eastAsia="Times New Roman" w:cstheme="minorHAnsi"/>
          <w:lang w:eastAsia="pl-PL"/>
        </w:rPr>
        <w:b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7B56A2">
        <w:rPr>
          <w:rFonts w:eastAsia="Times New Roman" w:cstheme="minorHAnsi"/>
          <w:strike/>
          <w:lang w:eastAsia="pl-PL"/>
        </w:rPr>
        <w:t xml:space="preserve"> </w:t>
      </w:r>
    </w:p>
    <w:p w14:paraId="14D54DDC" w14:textId="5CBE25A7" w:rsidR="004E20DD" w:rsidRPr="007B56A2" w:rsidRDefault="004E20DD" w:rsidP="008C7440">
      <w:pPr>
        <w:numPr>
          <w:ilvl w:val="0"/>
          <w:numId w:val="17"/>
        </w:numPr>
        <w:spacing w:after="240" w:line="300" w:lineRule="auto"/>
        <w:ind w:left="1701" w:hanging="567"/>
        <w:rPr>
          <w:rFonts w:eastAsia="Arial" w:cstheme="minorHAnsi"/>
        </w:rPr>
      </w:pPr>
      <w:r w:rsidRPr="00922E5C">
        <w:rPr>
          <w:rFonts w:eastAsia="Times New Roman" w:cstheme="minorHAnsi"/>
          <w:lang w:eastAsia="pl-PL"/>
        </w:rPr>
        <w:t>Zgodnie</w:t>
      </w:r>
      <w:r w:rsidRPr="007B56A2">
        <w:rPr>
          <w:rFonts w:eastAsia="Arial" w:cstheme="minorHAnsi"/>
        </w:rPr>
        <w:t xml:space="preserv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5618BDDF" w14:textId="77777777" w:rsidR="004E20DD" w:rsidRPr="007B56A2" w:rsidRDefault="004E20DD" w:rsidP="008C7440">
      <w:pPr>
        <w:spacing w:after="240" w:line="300" w:lineRule="auto"/>
        <w:ind w:left="1134"/>
        <w:rPr>
          <w:rFonts w:eastAsia="Times New Roman" w:cstheme="minorHAnsi"/>
          <w:lang w:eastAsia="pl-PL"/>
        </w:rPr>
      </w:pPr>
      <w:r w:rsidRPr="007B56A2">
        <w:rPr>
          <w:rFonts w:eastAsia="Times New Roman" w:cstheme="minorHAnsi"/>
          <w:lang w:eastAsia="pl-PL"/>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0E3902C2" w14:textId="497E8E11"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Ewidencja w księgach rachunkowych odpisu aktualizującego wartość należności i prezentacja w rachunku zysków i strat.</w:t>
      </w:r>
    </w:p>
    <w:p w14:paraId="3C2B91C9"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E84A688"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odpisy aktualizujące wartość należności z tytułu rozchodów budżetu zalicza się do wyników na pozostałych operacjach </w:t>
      </w:r>
      <w:proofErr w:type="spellStart"/>
      <w:r w:rsidRPr="007B56A2">
        <w:rPr>
          <w:rFonts w:eastAsia="Times New Roman" w:cstheme="minorHAnsi"/>
          <w:lang w:eastAsia="pl-PL"/>
        </w:rPr>
        <w:t>niekasowych</w:t>
      </w:r>
      <w:proofErr w:type="spellEnd"/>
      <w:r w:rsidRPr="007B56A2">
        <w:rPr>
          <w:rFonts w:eastAsia="Times New Roman" w:cstheme="minorHAnsi"/>
          <w:lang w:eastAsia="pl-PL"/>
        </w:rPr>
        <w:t>,</w:t>
      </w:r>
    </w:p>
    <w:p w14:paraId="71F5996D" w14:textId="77777777" w:rsidR="004E20DD" w:rsidRPr="007B56A2" w:rsidRDefault="004E20DD" w:rsidP="008C7440">
      <w:pPr>
        <w:numPr>
          <w:ilvl w:val="0"/>
          <w:numId w:val="20"/>
        </w:numPr>
        <w:spacing w:after="240" w:line="300" w:lineRule="auto"/>
        <w:ind w:left="2268" w:hanging="567"/>
        <w:rPr>
          <w:rFonts w:eastAsia="Times New Roman" w:cstheme="minorHAnsi"/>
          <w:lang w:eastAsia="pl-PL"/>
        </w:rPr>
      </w:pPr>
      <w:r w:rsidRPr="007B56A2">
        <w:rPr>
          <w:rFonts w:eastAsia="Times New Roman" w:cstheme="minorHAnsi"/>
          <w:lang w:eastAsia="pl-PL"/>
        </w:rPr>
        <w:t>odpisy aktualizujące wartość należności dotyczących funduszy tworzonych na podstawie ustaw obciążają fundusze.</w:t>
      </w:r>
    </w:p>
    <w:p w14:paraId="760BEBB2"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Wykorzystanie odpisu aktualizującego następuje w wyniku zmniejszenia wartości odpisu aktualizacyjnego w przypadku umorzenia, przedawnienia, nieściągalności należności.</w:t>
      </w:r>
    </w:p>
    <w:p w14:paraId="425E0AAB" w14:textId="77777777" w:rsidR="004E20DD" w:rsidRPr="007B56A2" w:rsidRDefault="004E20DD" w:rsidP="008C7440">
      <w:pPr>
        <w:numPr>
          <w:ilvl w:val="0"/>
          <w:numId w:val="28"/>
        </w:numPr>
        <w:spacing w:after="240" w:line="300" w:lineRule="auto"/>
        <w:ind w:left="1701" w:hanging="567"/>
        <w:rPr>
          <w:rFonts w:eastAsia="Times New Roman" w:cstheme="minorHAnsi"/>
          <w:color w:val="000000"/>
          <w:lang w:eastAsia="pl-PL"/>
        </w:rPr>
      </w:pPr>
      <w:r w:rsidRPr="007B56A2">
        <w:rPr>
          <w:rFonts w:eastAsia="Times New Roman" w:cstheme="minorHAnsi"/>
          <w:lang w:eastAsia="pl-PL"/>
        </w:rPr>
        <w:t xml:space="preserve">Rozwiązanie odpisu aktualizującego następuje w wyniku </w:t>
      </w:r>
      <w:r w:rsidRPr="007B56A2">
        <w:rPr>
          <w:rFonts w:eastAsia="Times New Roman" w:cstheme="minorHAnsi"/>
          <w:color w:val="000000"/>
          <w:lang w:eastAsia="pl-PL"/>
        </w:rPr>
        <w:t xml:space="preserve">ustania przyczyny, dla której dokonano odpisu aktualizacyjnego należności, tj. dokonania zapłaty przez dłużnika. </w:t>
      </w:r>
    </w:p>
    <w:p w14:paraId="2CCC1777" w14:textId="77777777" w:rsidR="004E20DD" w:rsidRPr="007B56A2" w:rsidRDefault="004E20DD" w:rsidP="008C7440">
      <w:pPr>
        <w:numPr>
          <w:ilvl w:val="0"/>
          <w:numId w:val="28"/>
        </w:numPr>
        <w:spacing w:after="240" w:line="300" w:lineRule="auto"/>
        <w:ind w:left="1701" w:hanging="567"/>
        <w:rPr>
          <w:rFonts w:eastAsia="Arial" w:cstheme="minorHAnsi"/>
          <w:color w:val="000000"/>
        </w:rPr>
      </w:pPr>
      <w:r w:rsidRPr="007B56A2">
        <w:rPr>
          <w:rFonts w:eastAsia="Times New Roman" w:cstheme="minorHAnsi"/>
          <w:lang w:eastAsia="pl-PL"/>
        </w:rPr>
        <w:t xml:space="preserve">Odpis aktualizujący księguje się poprzez zmniejszenie </w:t>
      </w:r>
      <w:r w:rsidRPr="007B56A2">
        <w:rPr>
          <w:rFonts w:eastAsia="Arial" w:cstheme="minorHAnsi"/>
          <w:color w:val="000000"/>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2CAD05CD"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4C44D96"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 xml:space="preserve">Dokonując prezentacji w rachunku zysków i strat, powstałe przychody i koszty wynikające z powyższych księgowań nie podlegają kompensacie tj.: </w:t>
      </w:r>
    </w:p>
    <w:p w14:paraId="79E12B3C"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przyrost wartości odpisu aktualizującego należności od danego kontrahenta prezentowany jest w rachunku zysków i strat w pozostałych kosztach operacyjnych lub kosztach finansowych,</w:t>
      </w:r>
    </w:p>
    <w:p w14:paraId="4E44A265"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brak zmiany wartości odpisu aktualizującego należności od danego kontrahenta skutkuje brakiem wpływu na rachunek zysków i strat, </w:t>
      </w:r>
    </w:p>
    <w:p w14:paraId="3A16D170" w14:textId="77777777" w:rsidR="004E20DD" w:rsidRPr="007B56A2" w:rsidRDefault="004E20DD" w:rsidP="008C7440">
      <w:pPr>
        <w:numPr>
          <w:ilvl w:val="0"/>
          <w:numId w:val="21"/>
        </w:numPr>
        <w:spacing w:after="240" w:line="300" w:lineRule="auto"/>
        <w:ind w:left="2268" w:hanging="567"/>
        <w:rPr>
          <w:rFonts w:eastAsia="Times New Roman" w:cstheme="minorHAnsi"/>
          <w:lang w:eastAsia="pl-PL"/>
        </w:rPr>
      </w:pPr>
      <w:r w:rsidRPr="007B56A2">
        <w:rPr>
          <w:rFonts w:eastAsia="Times New Roman" w:cstheme="minorHAnsi"/>
          <w:lang w:eastAsia="pl-PL"/>
        </w:rPr>
        <w:t xml:space="preserve">zmniejszenie wartości odpisu aktualizującego należności od danego kontrahenta prezentowane jest w rachunku zysków i strat w pozostałych przychodach operacyjnych lub przychodach finansowych. </w:t>
      </w:r>
    </w:p>
    <w:p w14:paraId="186D79E0" w14:textId="77777777" w:rsidR="004E20DD" w:rsidRPr="007B56A2" w:rsidRDefault="004E20DD" w:rsidP="008C7440">
      <w:pPr>
        <w:numPr>
          <w:ilvl w:val="0"/>
          <w:numId w:val="28"/>
        </w:numPr>
        <w:spacing w:after="240" w:line="300" w:lineRule="auto"/>
        <w:ind w:left="1701" w:hanging="567"/>
        <w:rPr>
          <w:rFonts w:eastAsia="Times New Roman" w:cstheme="minorHAnsi"/>
          <w:lang w:eastAsia="pl-PL"/>
        </w:rPr>
      </w:pPr>
      <w:r w:rsidRPr="007B56A2">
        <w:rPr>
          <w:rFonts w:eastAsia="Times New Roman" w:cstheme="minorHAnsi"/>
          <w:lang w:eastAsia="pl-PL"/>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r w:rsidRPr="007B56A2">
        <w:rPr>
          <w:rFonts w:eastAsia="Times New Roman" w:cstheme="minorHAnsi"/>
          <w:lang w:eastAsia="pl-PL"/>
        </w:rPr>
        <w:br/>
        <w:t>Dokonując prezentacji w rachunku zysków i strat prezentuje się różnicę pomiędzy ogólną wartością na dzień ustalenia nowej aktualizacji a wartością uprzednio zaksięgowanego odpisu aktualizującego należności tj.:</w:t>
      </w:r>
    </w:p>
    <w:p w14:paraId="3AE94517"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przyrost odpisu aktualizującego należności prezentowany jest w rachunku zysków i strat w pozostałych kosztach operacyjnych lub kosztach finansowych;</w:t>
      </w:r>
    </w:p>
    <w:p w14:paraId="220C5E78" w14:textId="77777777" w:rsidR="004E20DD" w:rsidRPr="007B56A2" w:rsidRDefault="004E20DD" w:rsidP="008C7440">
      <w:pPr>
        <w:numPr>
          <w:ilvl w:val="0"/>
          <w:numId w:val="22"/>
        </w:numPr>
        <w:spacing w:after="240" w:line="300" w:lineRule="auto"/>
        <w:ind w:left="2268" w:hanging="567"/>
        <w:rPr>
          <w:rFonts w:eastAsia="Times New Roman" w:cstheme="minorHAnsi"/>
          <w:lang w:eastAsia="pl-PL"/>
        </w:rPr>
      </w:pPr>
      <w:r w:rsidRPr="007B56A2">
        <w:rPr>
          <w:rFonts w:eastAsia="Times New Roman" w:cstheme="minorHAnsi"/>
          <w:lang w:eastAsia="pl-PL"/>
        </w:rPr>
        <w:t>zmniejszenie odpisu aktualizującego należności prezentowane jest w rachunku zysków i strat w pozostałych przychodach operacyjnych lub przychodach finansowych.</w:t>
      </w:r>
    </w:p>
    <w:p w14:paraId="4F90F6A3" w14:textId="11635D0C"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Należności </w:t>
      </w:r>
      <w:r w:rsidRPr="00F36AEE">
        <w:rPr>
          <w:rFonts w:cstheme="minorHAnsi"/>
        </w:rPr>
        <w:t>przedawnione</w:t>
      </w:r>
      <w:r w:rsidRPr="007B56A2">
        <w:rPr>
          <w:rFonts w:eastAsia="Times New Roman" w:cstheme="minorHAnsi"/>
          <w:lang w:eastAsia="pl-PL"/>
        </w:rPr>
        <w:t>, umorzone zmniejszają wartość dokonanych uprzednio odpisów aktualizujących.</w:t>
      </w:r>
      <w:r w:rsidRPr="007B56A2">
        <w:rPr>
          <w:rFonts w:eastAsia="Times New Roman" w:cstheme="minorHAnsi"/>
          <w:lang w:eastAsia="pl-PL"/>
        </w:rPr>
        <w:br/>
        <w:t xml:space="preserve">Należności przedawnione, umorzone, od których nie dokonano odpisów aktualizujących ich wartość lub dokonano ich w niepełnej wysokości, zalicza się odpowiednio do pozostałych kosztów operacyjnych lub kosztów finansowych. </w:t>
      </w:r>
    </w:p>
    <w:p w14:paraId="0752AB47" w14:textId="74CCEEC5"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Odpisane, przedawnione i umorzone zobowiązania wycenia się w kwocie wymagającej zapłaty i odnosi w pozostałe przychody operacyjne.</w:t>
      </w:r>
    </w:p>
    <w:p w14:paraId="09817107" w14:textId="405A768E"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Otrzymane</w:t>
      </w:r>
      <w:r w:rsidRPr="007B56A2">
        <w:rPr>
          <w:rFonts w:eastAsia="Times New Roman" w:cstheme="minorHAnsi"/>
          <w:lang w:eastAsia="pl-PL"/>
        </w:rPr>
        <w:t xml:space="preserve"> darowizny w postaci rzeczowych składników aktywów obrotowych wycenia się w kwocie nie wyższej od ich cen rynkowych w momencie otrzymania.</w:t>
      </w:r>
    </w:p>
    <w:p w14:paraId="45D9CFCB" w14:textId="3F1415A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Należne </w:t>
      </w:r>
      <w:r w:rsidRPr="00F36AEE">
        <w:rPr>
          <w:rFonts w:cstheme="minorHAnsi"/>
        </w:rPr>
        <w:t>odszkodowania</w:t>
      </w:r>
      <w:r w:rsidRPr="007B56A2">
        <w:rPr>
          <w:rFonts w:eastAsia="Times New Roman" w:cstheme="minorHAnsi"/>
          <w:lang w:eastAsia="pl-PL"/>
        </w:rPr>
        <w:t>, grzywny i kary wycenia się w kwocie wymagalnej zapłaty.</w:t>
      </w:r>
    </w:p>
    <w:p w14:paraId="500565B4" w14:textId="46C3C9D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Nadwyżki/niedobory inwentaryzacyjne składników majątkowych należy powiązać </w:t>
      </w:r>
      <w:r w:rsidRPr="007B56A2">
        <w:rPr>
          <w:rFonts w:eastAsia="Times New Roman" w:cstheme="minorHAnsi"/>
          <w:lang w:eastAsia="pl-PL"/>
        </w:rPr>
        <w:br/>
        <w:t xml:space="preserve">z zapisami ksiąg rachunkowych, a ustalone różnice między stanem wykazanym </w:t>
      </w:r>
      <w:r w:rsidRPr="007B56A2">
        <w:rPr>
          <w:rFonts w:eastAsia="Times New Roman" w:cstheme="minorHAnsi"/>
          <w:lang w:eastAsia="pl-PL"/>
        </w:rPr>
        <w:br/>
        <w:t xml:space="preserve">w </w:t>
      </w:r>
      <w:r w:rsidRPr="00F36AEE">
        <w:rPr>
          <w:rFonts w:cstheme="minorHAnsi"/>
        </w:rPr>
        <w:t>księgach</w:t>
      </w:r>
      <w:r w:rsidRPr="007B56A2">
        <w:rPr>
          <w:rFonts w:eastAsia="Times New Roman" w:cstheme="minorHAnsi"/>
          <w:lang w:eastAsia="pl-PL"/>
        </w:rPr>
        <w:t xml:space="preserve"> rachunkowych, a ich stanem rzeczowym należy rozliczyć w księgach tego roku obrotowego, na który przypadł termin inwentaryzacji - zgodnie z zasadami wyceny dla danej grupy pozycji finansowych oraz ująć je w pozostałych przychodach/kosztach operacyjnych lub obciążyć osobę materialnie odpowiedzialną, zgodnie z wnioskiem przewodniczącego komisji inwentaryzacyjnej i decyzją Prezydenta.</w:t>
      </w:r>
    </w:p>
    <w:p w14:paraId="7A1B84C0" w14:textId="6F73B8DB"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F36AEE">
        <w:rPr>
          <w:rFonts w:cstheme="minorHAnsi"/>
        </w:rPr>
        <w:t>Rzeczowe</w:t>
      </w:r>
      <w:r w:rsidRPr="007B56A2">
        <w:rPr>
          <w:rFonts w:eastAsia="Times New Roman" w:cstheme="minorHAnsi"/>
          <w:lang w:eastAsia="pl-PL"/>
        </w:rPr>
        <w:t xml:space="preserve"> składniki majątku obrotowego wycenia się na dzień bilansowy według ich wartości wynikającej z ewidencji.</w:t>
      </w:r>
    </w:p>
    <w:p w14:paraId="0CC0BC34" w14:textId="47DA19B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Nie </w:t>
      </w:r>
      <w:r w:rsidRPr="00F36AEE">
        <w:rPr>
          <w:rFonts w:cstheme="minorHAnsi"/>
        </w:rPr>
        <w:t>zużyte</w:t>
      </w:r>
      <w:r w:rsidRPr="007B56A2">
        <w:rPr>
          <w:rFonts w:eastAsia="Times New Roman" w:cstheme="minorHAnsi"/>
          <w:lang w:eastAsia="pl-PL"/>
        </w:rPr>
        <w:t xml:space="preserve"> druki komunikacyjne i tablice rejestracyjne, o których mowa w pkt. II ust. 15a. pkt. 4, na koniec roku obrotowego podlegają spisowi i wycenie wg ceny zakupu z ostatniej faktury zakupu.</w:t>
      </w:r>
    </w:p>
    <w:p w14:paraId="5900D382" w14:textId="5AF39BA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 xml:space="preserve">Czeki i weksle obce jako ekwiwalent środków pieniężnych o okresie ich wymagalności do 12 </w:t>
      </w:r>
      <w:r w:rsidRPr="00F36AEE">
        <w:rPr>
          <w:rFonts w:cstheme="minorHAnsi"/>
        </w:rPr>
        <w:t>miesięcy</w:t>
      </w:r>
      <w:r w:rsidRPr="007B56A2">
        <w:rPr>
          <w:rFonts w:eastAsia="Times New Roman" w:cstheme="minorHAnsi"/>
          <w:lang w:eastAsia="pl-PL"/>
        </w:rPr>
        <w:t xml:space="preserve"> ewidencjonuje się jako inne środki pieniężne i wycenia w wartości nominalnej.</w:t>
      </w:r>
    </w:p>
    <w:p w14:paraId="0FBEFA0C" w14:textId="16EA6C4F"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Rozliczenia międzyokresowe przychodów dokonywane z zachowaniem zasady ostrożności obejmują w szczególności równowartość otrzymanych od kontrahentów środków z tytułu świadczeń, których wykonanie nastąpi w następnych okresach sprawozdawczych.</w:t>
      </w:r>
    </w:p>
    <w:p w14:paraId="2C8B4D57" w14:textId="2FC65544"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Fundusze własne i specjalne, rozliczenia międzyokresowe kosztów oraz pozostałe nie wymienione wyżej aktywa i pasywa wycenia się w wartości nominalnej.</w:t>
      </w:r>
    </w:p>
    <w:p w14:paraId="7722D82C" w14:textId="08FA0DE7"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Wartości poszczególnych składników aktywów i pasywów, przychodów i kosztów ustala się oddzielnie i nie można ich ze sobą kompensować.</w:t>
      </w:r>
    </w:p>
    <w:p w14:paraId="12F5E7A6" w14:textId="77777777" w:rsidR="00922E5C"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W przypadku, gdy na dzień bilansowy w księgach występują należności i zobowiązania od tego i wobec tego samego kontrahenta, wartości te w bilansie wykazuje się rozłącznie (w szyku rozwartym). Wartości te można jednakże ze sobą skompensować i wykazać w bilansie w kwocie netto (tj. w wartości bezwzględnej różnicy pomiędzy należnościami i zobowiązaniami) wtedy i tylko wtedy gdy podmiot:</w:t>
      </w:r>
    </w:p>
    <w:p w14:paraId="601FD8E2" w14:textId="77777777" w:rsidR="00922E5C" w:rsidRPr="00922E5C"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posiada ważny tytuł prawny do dokonania kompensaty ujętych kwot (np. na możliwość taką wskazuje treść umowy); oraz</w:t>
      </w:r>
    </w:p>
    <w:p w14:paraId="0ECBFA76" w14:textId="2F0D2063" w:rsidR="004E20DD" w:rsidRPr="007B56A2" w:rsidRDefault="004E20DD" w:rsidP="008C7440">
      <w:pPr>
        <w:numPr>
          <w:ilvl w:val="0"/>
          <w:numId w:val="29"/>
        </w:numPr>
        <w:spacing w:after="240" w:line="300" w:lineRule="auto"/>
        <w:ind w:left="1701" w:hanging="567"/>
        <w:rPr>
          <w:rFonts w:eastAsia="Times New Roman" w:cstheme="minorHAnsi"/>
          <w:lang w:eastAsia="pl-PL"/>
        </w:rPr>
      </w:pPr>
      <w:r w:rsidRPr="007B56A2">
        <w:rPr>
          <w:rFonts w:eastAsia="Times New Roman" w:cstheme="minorHAnsi"/>
          <w:szCs w:val="24"/>
          <w:lang w:eastAsia="pl-PL"/>
        </w:rPr>
        <w:t>zamierza rozliczyć się w kwocie netto albo jednocześnie rozliczyć należność i wykonać zobowiązanie.</w:t>
      </w:r>
      <w:r w:rsidRPr="007B56A2">
        <w:rPr>
          <w:rFonts w:eastAsia="Times New Roman" w:cstheme="minorHAnsi"/>
          <w:szCs w:val="24"/>
          <w:lang w:eastAsia="pl-PL"/>
        </w:rPr>
        <w:br/>
      </w:r>
      <w:r w:rsidRPr="007B56A2">
        <w:rPr>
          <w:rFonts w:eastAsia="Times New Roman" w:cstheme="minorHAnsi"/>
          <w:lang w:eastAsia="pl-PL"/>
        </w:rPr>
        <w:t>Tytuł prawny do dokonania kompensaty występuje wówczas, gdy przedmiotem obu wierzytelności są pieniądze lub rzeczy tej samej jakości oznaczone tylko co do gatunku, a obie wierzytelności są wymagalne i mogą być dochodzone przed sądem lub przed innym organem państwowym. Wskutek potrącenia obie wierzytelności umarzają się nawzajem do wysokości wierzytelności niższej.</w:t>
      </w:r>
    </w:p>
    <w:p w14:paraId="425438B0" w14:textId="5C5B3992" w:rsidR="004E20DD" w:rsidRPr="007B56A2" w:rsidRDefault="004E20DD" w:rsidP="008C7440">
      <w:pPr>
        <w:numPr>
          <w:ilvl w:val="0"/>
          <w:numId w:val="10"/>
        </w:numPr>
        <w:tabs>
          <w:tab w:val="clear" w:pos="397"/>
        </w:tabs>
        <w:spacing w:after="240" w:line="300" w:lineRule="auto"/>
        <w:ind w:left="1134" w:hanging="567"/>
        <w:rPr>
          <w:rFonts w:eastAsia="Times New Roman" w:cstheme="minorHAnsi"/>
          <w:lang w:eastAsia="pl-PL"/>
        </w:rPr>
      </w:pPr>
      <w:r w:rsidRPr="007B56A2">
        <w:rPr>
          <w:rFonts w:eastAsia="Times New Roman" w:cstheme="minorHAnsi"/>
          <w:lang w:eastAsia="pl-PL"/>
        </w:rPr>
        <w:t>Ustalenie wyniku finansowego jednostki następuje poprzez przeksięgowanie w końcu roku obrotowego:</w:t>
      </w:r>
    </w:p>
    <w:p w14:paraId="340F9E24"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 xml:space="preserve">na stronie </w:t>
      </w:r>
      <w:proofErr w:type="spellStart"/>
      <w:r w:rsidRPr="007B56A2">
        <w:rPr>
          <w:rFonts w:eastAsia="Times New Roman" w:cstheme="minorHAnsi"/>
          <w:lang w:eastAsia="pl-PL"/>
        </w:rPr>
        <w:t>Wn</w:t>
      </w:r>
      <w:proofErr w:type="spellEnd"/>
      <w:r w:rsidRPr="007B56A2">
        <w:rPr>
          <w:rFonts w:eastAsia="Times New Roman" w:cstheme="minorHAnsi"/>
          <w:lang w:eastAsia="pl-PL"/>
        </w:rPr>
        <w:t xml:space="preserve"> konta 860 „Wynik finansowy”:</w:t>
      </w:r>
    </w:p>
    <w:p w14:paraId="56329BA0"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operacyjnych w korespondencji z kontami zespołu 4 „Koszty według rodzajów i ich rozliczenie”,</w:t>
      </w:r>
    </w:p>
    <w:p w14:paraId="6E892D14" w14:textId="77777777" w:rsidR="004E20DD" w:rsidRPr="007B56A2" w:rsidRDefault="004E20DD" w:rsidP="008C7440">
      <w:pPr>
        <w:numPr>
          <w:ilvl w:val="0"/>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F933DF2" w14:textId="77777777" w:rsidR="004E20DD" w:rsidRPr="007B56A2" w:rsidRDefault="004E20DD" w:rsidP="008C7440">
      <w:pPr>
        <w:numPr>
          <w:ilvl w:val="0"/>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poniesionych kosztów w korespondencji z poszczególnymi kontami zespołu 7.</w:t>
      </w:r>
    </w:p>
    <w:p w14:paraId="6EBC331F" w14:textId="77777777" w:rsidR="004E20DD" w:rsidRPr="007B56A2" w:rsidRDefault="004E20DD" w:rsidP="008C7440">
      <w:pPr>
        <w:numPr>
          <w:ilvl w:val="0"/>
          <w:numId w:val="23"/>
        </w:numPr>
        <w:tabs>
          <w:tab w:val="clear" w:pos="794"/>
        </w:tabs>
        <w:spacing w:after="240" w:line="300" w:lineRule="auto"/>
        <w:ind w:left="1701" w:hanging="567"/>
        <w:rPr>
          <w:rFonts w:eastAsia="Times New Roman" w:cstheme="minorHAnsi"/>
          <w:lang w:eastAsia="pl-PL"/>
        </w:rPr>
      </w:pPr>
      <w:r w:rsidRPr="007B56A2">
        <w:rPr>
          <w:rFonts w:eastAsia="Times New Roman" w:cstheme="minorHAnsi"/>
          <w:lang w:eastAsia="pl-PL"/>
        </w:rPr>
        <w:t>na stronie Ma konta 860 „Wynik finansowy”:</w:t>
      </w:r>
    </w:p>
    <w:p w14:paraId="45020DAB" w14:textId="77777777" w:rsidR="004E20DD" w:rsidRPr="007B56A2" w:rsidRDefault="004E20DD" w:rsidP="008C7440">
      <w:pPr>
        <w:numPr>
          <w:ilvl w:val="1"/>
          <w:numId w:val="24"/>
        </w:numPr>
        <w:spacing w:after="240" w:line="300" w:lineRule="auto"/>
        <w:ind w:left="2268" w:hanging="567"/>
        <w:rPr>
          <w:rFonts w:eastAsia="Times New Roman" w:cstheme="minorHAnsi"/>
          <w:lang w:eastAsia="pl-PL"/>
        </w:rPr>
      </w:pPr>
      <w:r w:rsidRPr="007B56A2">
        <w:rPr>
          <w:rFonts w:eastAsia="Times New Roman" w:cstheme="minorHAnsi"/>
          <w:lang w:eastAsia="pl-PL"/>
        </w:rPr>
        <w:t>sumy uzyskanych przychodów w korespondencji z poszczególnymi kontami zespołu 7,</w:t>
      </w:r>
    </w:p>
    <w:p w14:paraId="7AD3380D" w14:textId="77777777" w:rsidR="004E20DD" w:rsidRPr="007B56A2" w:rsidRDefault="004E20DD" w:rsidP="008C7440">
      <w:pPr>
        <w:numPr>
          <w:ilvl w:val="1"/>
          <w:numId w:val="24"/>
        </w:numPr>
        <w:tabs>
          <w:tab w:val="num" w:pos="1260"/>
        </w:tabs>
        <w:spacing w:after="240" w:line="300" w:lineRule="auto"/>
        <w:ind w:left="2268" w:hanging="567"/>
        <w:rPr>
          <w:rFonts w:eastAsia="Times New Roman" w:cstheme="minorHAnsi"/>
          <w:lang w:eastAsia="pl-PL"/>
        </w:rPr>
      </w:pPr>
      <w:r w:rsidRPr="007B56A2">
        <w:rPr>
          <w:rFonts w:eastAsia="Times New Roman" w:cstheme="minorHAnsi"/>
          <w:lang w:eastAsia="pl-PL"/>
        </w:rPr>
        <w:t>zmianę stanu międzyokresowych rozliczeń kosztów w korespondencji z kontem 490 „Rozliczenie kosztów”.</w:t>
      </w:r>
    </w:p>
    <w:p w14:paraId="141A503F" w14:textId="21125320"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cstheme="minorHAnsi"/>
        </w:rPr>
        <w:t>Urząd m.st. Warszawy nie dokonuje biernych rozliczeń międzyokresowych kosztów wynikających z obowiązku wykonania przyszłych świadczeń na rzecz pracowników, w tym świadczeń emerytalnych.</w:t>
      </w:r>
    </w:p>
    <w:p w14:paraId="50854EBD" w14:textId="5ACD0CF3"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252A77F0" w14:textId="0F07C977" w:rsidR="004E20DD" w:rsidRPr="007B56A2" w:rsidRDefault="004E20DD"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Rezerwy</w:t>
      </w:r>
      <w:r w:rsidRPr="007B56A2">
        <w:rPr>
          <w:rFonts w:cstheme="minorHAnsi"/>
        </w:rPr>
        <w:t xml:space="preserve"> na sprawy sądowe dotyczące </w:t>
      </w:r>
      <w:proofErr w:type="spellStart"/>
      <w:r w:rsidRPr="007B56A2">
        <w:rPr>
          <w:rFonts w:cstheme="minorHAnsi"/>
        </w:rPr>
        <w:t>zasiedzeń</w:t>
      </w:r>
      <w:proofErr w:type="spellEnd"/>
      <w:r w:rsidRPr="007B56A2">
        <w:rPr>
          <w:rFonts w:cstheme="minorHAnsi"/>
        </w:rPr>
        <w:t xml:space="preserve"> bądź wydania nieruchomości wycenia się wg wartości księgowej danej nieruchomości i odnosi w ciężar funduszu jednostki.</w:t>
      </w:r>
    </w:p>
    <w:p w14:paraId="6947EC68" w14:textId="350EF302" w:rsidR="000E7B12" w:rsidRPr="007B56A2" w:rsidRDefault="00DE465B" w:rsidP="008C7440">
      <w:pPr>
        <w:numPr>
          <w:ilvl w:val="0"/>
          <w:numId w:val="10"/>
        </w:numPr>
        <w:tabs>
          <w:tab w:val="clear" w:pos="397"/>
        </w:tabs>
        <w:spacing w:after="240" w:line="300" w:lineRule="auto"/>
        <w:ind w:left="1134" w:hanging="567"/>
        <w:rPr>
          <w:rFonts w:cstheme="minorHAnsi"/>
        </w:rPr>
      </w:pPr>
      <w:r w:rsidRPr="007B56A2">
        <w:rPr>
          <w:rFonts w:eastAsia="Times New Roman" w:cstheme="minorHAnsi"/>
          <w:lang w:eastAsia="pl-PL"/>
        </w:rPr>
        <w:t>Wydziały</w:t>
      </w:r>
      <w:r w:rsidR="004E20DD" w:rsidRPr="007B56A2">
        <w:rPr>
          <w:rFonts w:cstheme="minorHAnsi"/>
        </w:rPr>
        <w:t xml:space="preserve"> merytoryczne nie rzadziej niż na dzień bilansowy tj. 31.12 dokonują oceny (weryfikacji) zaewidencjonowanych pozabilansowo zobowiązań war</w:t>
      </w:r>
      <w:r w:rsidR="005307D6" w:rsidRPr="007B56A2">
        <w:rPr>
          <w:rFonts w:cstheme="minorHAnsi"/>
        </w:rPr>
        <w:t>unkowych w celu ich urealnienia.</w:t>
      </w:r>
    </w:p>
    <w:p w14:paraId="046D9B84" w14:textId="77777777" w:rsidR="000E7B12" w:rsidRPr="007B56A2" w:rsidRDefault="00817358" w:rsidP="008C7440">
      <w:pPr>
        <w:pStyle w:val="Akapitzlist"/>
        <w:numPr>
          <w:ilvl w:val="0"/>
          <w:numId w:val="2"/>
        </w:numPr>
        <w:spacing w:after="240" w:line="300" w:lineRule="auto"/>
        <w:ind w:left="567" w:hanging="567"/>
        <w:contextualSpacing w:val="0"/>
        <w:rPr>
          <w:rFonts w:cstheme="minorHAnsi"/>
          <w:b/>
          <w:sz w:val="24"/>
          <w:szCs w:val="24"/>
        </w:rPr>
      </w:pPr>
      <w:r w:rsidRPr="007B56A2">
        <w:rPr>
          <w:rFonts w:cstheme="minorHAnsi"/>
          <w:b/>
          <w:sz w:val="24"/>
          <w:szCs w:val="24"/>
        </w:rPr>
        <w:t>Inne informacje</w:t>
      </w:r>
    </w:p>
    <w:p w14:paraId="7BF3BA2B" w14:textId="77777777" w:rsidR="000E7B12" w:rsidRPr="007B56A2" w:rsidRDefault="00817358" w:rsidP="00F36AEE">
      <w:pPr>
        <w:tabs>
          <w:tab w:val="left" w:pos="3495"/>
        </w:tabs>
        <w:spacing w:after="240" w:line="300" w:lineRule="auto"/>
        <w:rPr>
          <w:rFonts w:cstheme="minorHAnsi"/>
          <w:sz w:val="24"/>
          <w:szCs w:val="24"/>
        </w:rPr>
      </w:pPr>
      <w:r w:rsidRPr="007B56A2">
        <w:rPr>
          <w:rFonts w:cstheme="minorHAnsi"/>
          <w:sz w:val="24"/>
          <w:szCs w:val="24"/>
        </w:rPr>
        <w:t>Nie występowała korekta bilansu otwarcia 2020 roku.</w:t>
      </w:r>
    </w:p>
    <w:sectPr w:rsidR="000E7B12" w:rsidRPr="007B56A2" w:rsidSect="007B56A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BE6C" w14:textId="77777777" w:rsidR="00C376C6" w:rsidRDefault="00C376C6" w:rsidP="009E3751">
      <w:pPr>
        <w:spacing w:after="0" w:line="240" w:lineRule="auto"/>
      </w:pPr>
      <w:r>
        <w:separator/>
      </w:r>
    </w:p>
  </w:endnote>
  <w:endnote w:type="continuationSeparator" w:id="0">
    <w:p w14:paraId="2BCAD2EA" w14:textId="77777777" w:rsidR="00C376C6" w:rsidRDefault="00C376C6"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2ABC" w14:textId="77777777"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EBB2" w14:textId="77777777" w:rsidR="00C376C6" w:rsidRDefault="00C376C6" w:rsidP="009E3751">
      <w:pPr>
        <w:spacing w:after="0" w:line="240" w:lineRule="auto"/>
      </w:pPr>
      <w:r>
        <w:separator/>
      </w:r>
    </w:p>
  </w:footnote>
  <w:footnote w:type="continuationSeparator" w:id="0">
    <w:p w14:paraId="6D13039E" w14:textId="77777777" w:rsidR="00C376C6" w:rsidRDefault="00C376C6"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CE09" w14:textId="77777777" w:rsidR="007B56A2" w:rsidRPr="007B56A2" w:rsidRDefault="007B56A2" w:rsidP="007B56A2">
    <w:pPr>
      <w:pStyle w:val="Nagwek"/>
      <w:rPr>
        <w:rFonts w:cstheme="minorHAnsi"/>
        <w:b/>
        <w:sz w:val="24"/>
        <w:szCs w:val="24"/>
      </w:rPr>
    </w:pPr>
    <w:r w:rsidRPr="007B56A2">
      <w:rPr>
        <w:rFonts w:cstheme="minorHAnsi"/>
        <w:b/>
        <w:sz w:val="24"/>
        <w:szCs w:val="24"/>
      </w:rPr>
      <w:t>Urząd Dzielnicy Żoliborz m.st. Warszawy</w:t>
    </w:r>
  </w:p>
  <w:p w14:paraId="3F3DE2D2" w14:textId="77777777" w:rsidR="007B56A2" w:rsidRPr="007B56A2" w:rsidRDefault="007B56A2" w:rsidP="007B56A2">
    <w:pPr>
      <w:pStyle w:val="Nagwek"/>
      <w:rPr>
        <w:rFonts w:cstheme="minorHAnsi"/>
        <w:b/>
        <w:sz w:val="24"/>
        <w:szCs w:val="24"/>
      </w:rPr>
    </w:pPr>
    <w:r w:rsidRPr="007B56A2">
      <w:rPr>
        <w:rFonts w:cstheme="minorHAnsi"/>
        <w:b/>
        <w:sz w:val="24"/>
        <w:szCs w:val="24"/>
      </w:rPr>
      <w:t xml:space="preserve">Informacja dodatkowa do sprawozdania finansowego za rok obrotowy zakończony </w:t>
    </w:r>
  </w:p>
  <w:p w14:paraId="44336AEE" w14:textId="77777777" w:rsidR="007B56A2" w:rsidRPr="007B56A2" w:rsidRDefault="007B56A2" w:rsidP="007B56A2">
    <w:pPr>
      <w:pStyle w:val="Nagwek"/>
      <w:rPr>
        <w:rFonts w:cstheme="minorHAnsi"/>
        <w:b/>
        <w:sz w:val="24"/>
        <w:szCs w:val="24"/>
      </w:rPr>
    </w:pPr>
    <w:r w:rsidRPr="007B56A2">
      <w:rPr>
        <w:rFonts w:cstheme="minorHAnsi"/>
        <w:b/>
        <w:sz w:val="24"/>
        <w:szCs w:val="24"/>
      </w:rPr>
      <w:t>31 grudnia 2020r.</w:t>
    </w:r>
  </w:p>
  <w:p w14:paraId="4CA58077" w14:textId="12FBAB24" w:rsidR="007B56A2" w:rsidRPr="007B56A2" w:rsidRDefault="007B56A2" w:rsidP="007B56A2">
    <w:pPr>
      <w:pStyle w:val="Nagwek"/>
      <w:numPr>
        <w:ilvl w:val="0"/>
        <w:numId w:val="27"/>
      </w:numPr>
      <w:ind w:left="709"/>
      <w:rPr>
        <w:rFonts w:cstheme="minorHAnsi"/>
      </w:rPr>
    </w:pPr>
    <w:r w:rsidRPr="007B56A2">
      <w:rPr>
        <w:rFonts w:cstheme="minorHAnsi"/>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0292D54"/>
    <w:multiLevelType w:val="hybridMultilevel"/>
    <w:tmpl w:val="2E945670"/>
    <w:lvl w:ilvl="0" w:tplc="1562A8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CE3CDD"/>
    <w:multiLevelType w:val="hybridMultilevel"/>
    <w:tmpl w:val="990C049A"/>
    <w:lvl w:ilvl="0" w:tplc="D8CECEA0">
      <w:start w:val="45"/>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6F72CA"/>
    <w:multiLevelType w:val="hybridMultilevel"/>
    <w:tmpl w:val="6DF4AA70"/>
    <w:lvl w:ilvl="0" w:tplc="FB687204">
      <w:start w:val="1"/>
      <w:numFmt w:val="lowerLetter"/>
      <w:lvlText w:val="%1."/>
      <w:lvlJc w:val="left"/>
      <w:pPr>
        <w:tabs>
          <w:tab w:val="num" w:pos="1500"/>
        </w:tabs>
        <w:ind w:left="1500" w:hanging="360"/>
      </w:pPr>
      <w:rPr>
        <w:rFonts w:ascii="Times New Roman" w:eastAsiaTheme="minorHAnsi" w:hAnsi="Times New Roman" w:cs="Times New Roman"/>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24968"/>
    <w:multiLevelType w:val="hybridMultilevel"/>
    <w:tmpl w:val="D728D9DC"/>
    <w:lvl w:ilvl="0" w:tplc="79ECBAF4">
      <w:start w:val="24"/>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9014B47"/>
    <w:multiLevelType w:val="hybridMultilevel"/>
    <w:tmpl w:val="F3B405CA"/>
    <w:lvl w:ilvl="0" w:tplc="5C7207EA">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929A7"/>
    <w:multiLevelType w:val="hybridMultilevel"/>
    <w:tmpl w:val="AC2C996C"/>
    <w:lvl w:ilvl="0" w:tplc="B706F374">
      <w:start w:val="1"/>
      <w:numFmt w:val="lowerLetter"/>
      <w:lvlText w:val="%1)"/>
      <w:lvlJc w:val="left"/>
      <w:pPr>
        <w:ind w:left="1418" w:hanging="284"/>
      </w:pPr>
      <w:rPr>
        <w:rFonts w:asciiTheme="minorHAnsi" w:hAnsiTheme="minorHAnsi" w:cstheme="minorHAnsi" w:hint="default"/>
        <w:b w:val="0"/>
        <w:i w:val="0"/>
      </w:rPr>
    </w:lvl>
    <w:lvl w:ilvl="1" w:tplc="D1EA76B6">
      <w:start w:val="1"/>
      <w:numFmt w:val="lowerLetter"/>
      <w:lvlText w:val="%2)"/>
      <w:lvlJc w:val="left"/>
      <w:pPr>
        <w:ind w:left="1418" w:hanging="284"/>
      </w:pPr>
      <w:rPr>
        <w:rFonts w:asciiTheme="minorHAnsi" w:hAnsiTheme="minorHAnsi" w:cstheme="minorHAnsi"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02A6737"/>
    <w:multiLevelType w:val="hybridMultilevel"/>
    <w:tmpl w:val="EE2CA9AE"/>
    <w:lvl w:ilvl="0" w:tplc="F0B4B286">
      <w:start w:val="3"/>
      <w:numFmt w:val="decimal"/>
      <w:lvlText w:val="%1)"/>
      <w:lvlJc w:val="left"/>
      <w:pPr>
        <w:tabs>
          <w:tab w:val="num" w:pos="794"/>
        </w:tabs>
        <w:ind w:left="794" w:hanging="437"/>
      </w:pPr>
      <w:rPr>
        <w:rFonts w:hint="default"/>
      </w:rPr>
    </w:lvl>
    <w:lvl w:ilvl="1" w:tplc="F0A8FCDC">
      <w:start w:val="13"/>
      <w:numFmt w:val="decimal"/>
      <w:lvlText w:val="%2."/>
      <w:lvlJc w:val="left"/>
      <w:pPr>
        <w:tabs>
          <w:tab w:val="num" w:pos="397"/>
        </w:tabs>
        <w:ind w:left="397" w:hanging="397"/>
      </w:pPr>
      <w:rPr>
        <w:rFonts w:ascii="Times New (W1)" w:hAnsi="Times New (W1)" w:hint="default"/>
        <w:b w:val="0"/>
        <w:i w:val="0"/>
        <w:strike w:val="0"/>
        <w:color w:val="auto"/>
        <w:sz w:val="24"/>
      </w:rPr>
    </w:lvl>
    <w:lvl w:ilvl="2" w:tplc="1EB8FAFE">
      <w:start w:val="14"/>
      <w:numFmt w:val="decimal"/>
      <w:lvlText w:val="%3."/>
      <w:lvlJc w:val="left"/>
      <w:pPr>
        <w:tabs>
          <w:tab w:val="num" w:pos="284"/>
        </w:tabs>
        <w:ind w:left="397" w:hanging="397"/>
      </w:pPr>
      <w:rPr>
        <w:rFonts w:ascii="Calibri" w:hAnsi="Calibri" w:cs="Calibri" w:hint="default"/>
        <w:b w:val="0"/>
        <w:i w:val="0"/>
        <w:strike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12D5935"/>
    <w:multiLevelType w:val="hybridMultilevel"/>
    <w:tmpl w:val="0AA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39B75606"/>
    <w:multiLevelType w:val="hybridMultilevel"/>
    <w:tmpl w:val="9190CE34"/>
    <w:lvl w:ilvl="0" w:tplc="25209ADC">
      <w:start w:val="1"/>
      <w:numFmt w:val="decimal"/>
      <w:lvlText w:val="%1."/>
      <w:lvlJc w:val="left"/>
      <w:pPr>
        <w:tabs>
          <w:tab w:val="num" w:pos="397"/>
        </w:tabs>
        <w:ind w:left="397" w:hanging="397"/>
      </w:pPr>
      <w:rPr>
        <w:rFonts w:hint="default"/>
        <w:b w:val="0"/>
      </w:rPr>
    </w:lvl>
    <w:lvl w:ilvl="1" w:tplc="0790903C">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15:restartNumberingAfterBreak="0">
    <w:nsid w:val="400B2FA1"/>
    <w:multiLevelType w:val="multilevel"/>
    <w:tmpl w:val="49BE8F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44246CA7"/>
    <w:multiLevelType w:val="hybridMultilevel"/>
    <w:tmpl w:val="5BE6E7AE"/>
    <w:lvl w:ilvl="0" w:tplc="3D904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404E15"/>
    <w:multiLevelType w:val="hybridMultilevel"/>
    <w:tmpl w:val="2BB8A732"/>
    <w:lvl w:ilvl="0" w:tplc="B83C7B64">
      <w:start w:val="1"/>
      <w:numFmt w:val="upperRoman"/>
      <w:lvlText w:val="%1."/>
      <w:lvlJc w:val="left"/>
      <w:pPr>
        <w:ind w:left="1080" w:hanging="720"/>
      </w:pPr>
      <w:rPr>
        <w:rFonts w:asciiTheme="minorHAnsi" w:hAnsiTheme="minorHAnsi" w:cstheme="min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66AB4"/>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E8441D0"/>
    <w:multiLevelType w:val="hybridMultilevel"/>
    <w:tmpl w:val="881044B4"/>
    <w:lvl w:ilvl="0" w:tplc="EECE0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62DF5D1C"/>
    <w:multiLevelType w:val="hybridMultilevel"/>
    <w:tmpl w:val="50D0D2B8"/>
    <w:lvl w:ilvl="0" w:tplc="6B3EAE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1C1577"/>
    <w:multiLevelType w:val="hybridMultilevel"/>
    <w:tmpl w:val="ED30ED92"/>
    <w:lvl w:ilvl="0" w:tplc="8460CE66">
      <w:start w:val="1"/>
      <w:numFmt w:val="decimal"/>
      <w:lvlText w:val="%1)"/>
      <w:lvlJc w:val="left"/>
      <w:pPr>
        <w:ind w:left="1068" w:hanging="360"/>
      </w:pPr>
      <w:rPr>
        <w:rFonts w:hint="default"/>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8BB2DC0"/>
    <w:multiLevelType w:val="hybridMultilevel"/>
    <w:tmpl w:val="28B6463C"/>
    <w:lvl w:ilvl="0" w:tplc="E9E48BD4">
      <w:start w:val="1"/>
      <w:numFmt w:val="decimal"/>
      <w:lvlText w:val="%1)"/>
      <w:lvlJc w:val="left"/>
      <w:pPr>
        <w:ind w:left="1069" w:hanging="360"/>
      </w:pPr>
      <w:rPr>
        <w:rFonts w:hint="default"/>
        <w:strike w:val="0"/>
      </w:rPr>
    </w:lvl>
    <w:lvl w:ilvl="1" w:tplc="04150017">
      <w:start w:val="1"/>
      <w:numFmt w:val="lowerLetter"/>
      <w:lvlText w:val="%2)"/>
      <w:lvlJc w:val="left"/>
      <w:pPr>
        <w:ind w:left="1789" w:hanging="360"/>
      </w:pPr>
      <w:rPr>
        <w:strike w:val="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EFA3163"/>
    <w:multiLevelType w:val="hybridMultilevel"/>
    <w:tmpl w:val="64E067F6"/>
    <w:lvl w:ilvl="0" w:tplc="AF54DDC6">
      <w:start w:val="30"/>
      <w:numFmt w:val="decimal"/>
      <w:lvlText w:val="%1."/>
      <w:lvlJc w:val="left"/>
      <w:pPr>
        <w:tabs>
          <w:tab w:val="num" w:pos="397"/>
        </w:tabs>
        <w:ind w:left="397" w:hanging="397"/>
      </w:pPr>
      <w:rPr>
        <w:rFonts w:ascii="Calibri" w:hAnsi="Calibri" w:cs="Calibri"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F1E345E"/>
    <w:multiLevelType w:val="multilevel"/>
    <w:tmpl w:val="ABD8329C"/>
    <w:lvl w:ilvl="0">
      <w:start w:val="1"/>
      <w:numFmt w:val="decimal"/>
      <w:lvlText w:val="%1."/>
      <w:lvlJc w:val="left"/>
      <w:pPr>
        <w:tabs>
          <w:tab w:val="num" w:pos="397"/>
        </w:tabs>
        <w:ind w:left="397" w:hanging="397"/>
      </w:pPr>
      <w:rPr>
        <w:rFonts w:hint="default"/>
        <w:b w:val="0"/>
      </w:rPr>
    </w:lvl>
    <w:lvl w:ilvl="1">
      <w:start w:val="1"/>
      <w:numFmt w:val="lowerLetter"/>
      <w:lvlText w:val="%1%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28" w15:restartNumberingAfterBreak="0">
    <w:nsid w:val="72185A07"/>
    <w:multiLevelType w:val="hybridMultilevel"/>
    <w:tmpl w:val="5F6668B8"/>
    <w:lvl w:ilvl="0" w:tplc="E9E48BD4">
      <w:start w:val="1"/>
      <w:numFmt w:val="decimal"/>
      <w:lvlText w:val="%1)"/>
      <w:lvlJc w:val="left"/>
      <w:pPr>
        <w:ind w:left="1069" w:hanging="360"/>
      </w:pPr>
      <w:rPr>
        <w:rFonts w:hint="default"/>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2"/>
  </w:num>
  <w:num w:numId="2">
    <w:abstractNumId w:val="13"/>
  </w:num>
  <w:num w:numId="3">
    <w:abstractNumId w:val="9"/>
  </w:num>
  <w:num w:numId="4">
    <w:abstractNumId w:val="1"/>
  </w:num>
  <w:num w:numId="5">
    <w:abstractNumId w:val="11"/>
  </w:num>
  <w:num w:numId="6">
    <w:abstractNumId w:val="19"/>
  </w:num>
  <w:num w:numId="7">
    <w:abstractNumId w:val="3"/>
  </w:num>
  <w:num w:numId="8">
    <w:abstractNumId w:val="15"/>
  </w:num>
  <w:num w:numId="9">
    <w:abstractNumId w:val="20"/>
  </w:num>
  <w:num w:numId="10">
    <w:abstractNumId w:val="27"/>
  </w:num>
  <w:num w:numId="11">
    <w:abstractNumId w:val="12"/>
  </w:num>
  <w:num w:numId="12">
    <w:abstractNumId w:val="23"/>
  </w:num>
  <w:num w:numId="13">
    <w:abstractNumId w:val="8"/>
  </w:num>
  <w:num w:numId="14">
    <w:abstractNumId w:val="4"/>
  </w:num>
  <w:num w:numId="15">
    <w:abstractNumId w:val="14"/>
  </w:num>
  <w:num w:numId="16">
    <w:abstractNumId w:val="21"/>
  </w:num>
  <w:num w:numId="17">
    <w:abstractNumId w:val="24"/>
  </w:num>
  <w:num w:numId="18">
    <w:abstractNumId w:val="18"/>
  </w:num>
  <w:num w:numId="19">
    <w:abstractNumId w:val="10"/>
  </w:num>
  <w:num w:numId="20">
    <w:abstractNumId w:val="25"/>
  </w:num>
  <w:num w:numId="21">
    <w:abstractNumId w:val="7"/>
  </w:num>
  <w:num w:numId="22">
    <w:abstractNumId w:val="5"/>
  </w:num>
  <w:num w:numId="23">
    <w:abstractNumId w:val="0"/>
  </w:num>
  <w:num w:numId="24">
    <w:abstractNumId w:val="6"/>
  </w:num>
  <w:num w:numId="25">
    <w:abstractNumId w:val="26"/>
  </w:num>
  <w:num w:numId="26">
    <w:abstractNumId w:val="2"/>
  </w:num>
  <w:num w:numId="27">
    <w:abstractNumId w:val="16"/>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EA"/>
    <w:rsid w:val="000E7B12"/>
    <w:rsid w:val="001543DC"/>
    <w:rsid w:val="00160DF2"/>
    <w:rsid w:val="00231C28"/>
    <w:rsid w:val="00244B6B"/>
    <w:rsid w:val="002F06AB"/>
    <w:rsid w:val="00370A6B"/>
    <w:rsid w:val="003A0DEA"/>
    <w:rsid w:val="004B3C7A"/>
    <w:rsid w:val="004C0E60"/>
    <w:rsid w:val="004E20DD"/>
    <w:rsid w:val="005307D6"/>
    <w:rsid w:val="00531F01"/>
    <w:rsid w:val="005A4D0B"/>
    <w:rsid w:val="006E32E5"/>
    <w:rsid w:val="007B56A2"/>
    <w:rsid w:val="00817358"/>
    <w:rsid w:val="008C7440"/>
    <w:rsid w:val="00922E5C"/>
    <w:rsid w:val="009E3751"/>
    <w:rsid w:val="009E5CA1"/>
    <w:rsid w:val="00A63E65"/>
    <w:rsid w:val="00AE7AFC"/>
    <w:rsid w:val="00C376C6"/>
    <w:rsid w:val="00DE465B"/>
    <w:rsid w:val="00EE3D4F"/>
    <w:rsid w:val="00F36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58D6F0"/>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1543DC"/>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49D6-03A5-4C8D-B678-257231CC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3154</Words>
  <Characters>18925</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Miklaszewska Bożena</dc:creator>
  <cp:keywords/>
  <dc:description/>
  <cp:lastModifiedBy>Piotr Dziubek</cp:lastModifiedBy>
  <cp:revision>2</cp:revision>
  <cp:lastPrinted>2021-05-12T08:08:00Z</cp:lastPrinted>
  <dcterms:created xsi:type="dcterms:W3CDTF">2021-06-06T19:14:00Z</dcterms:created>
  <dcterms:modified xsi:type="dcterms:W3CDTF">2021-06-06T19:14:00Z</dcterms:modified>
</cp:coreProperties>
</file>