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A70749" w:rsidRDefault="007A35A7" w:rsidP="007E246F">
      <w:pPr>
        <w:spacing w:after="240" w:line="300" w:lineRule="auto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77777777" w:rsidR="006E53F6" w:rsidRPr="00A841BB" w:rsidRDefault="006E53F6" w:rsidP="007E246F">
      <w:pPr>
        <w:spacing w:after="240" w:line="300" w:lineRule="auto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3B18D3AF" w14:textId="77777777" w:rsidR="009D1313" w:rsidRPr="00A841BB" w:rsidRDefault="009D1313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370043" w:rsidRPr="00A841BB">
        <w:rPr>
          <w:rFonts w:ascii="Calibri" w:hAnsi="Calibri" w:cs="Calibri"/>
          <w:sz w:val="22"/>
          <w:szCs w:val="22"/>
          <w:lang w:val="pl-PL"/>
        </w:rPr>
        <w:t>&lt;nazwa jednostki&gt;</w:t>
      </w:r>
      <w:r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27DA3A3" w14:textId="3D3D21AD" w:rsidR="009D1313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9D1313" w:rsidRPr="00A841BB">
        <w:rPr>
          <w:rFonts w:ascii="Calibri" w:hAnsi="Calibri" w:cs="Calibri"/>
          <w:sz w:val="22"/>
          <w:szCs w:val="22"/>
          <w:lang w:val="pl-PL" w:bidi="ar-TN"/>
        </w:rPr>
        <w:t xml:space="preserve"> </w:t>
      </w:r>
    </w:p>
    <w:p w14:paraId="6D41C88E" w14:textId="68177D1F" w:rsidR="00B92EB6" w:rsidRPr="00A841BB" w:rsidRDefault="00B92EB6" w:rsidP="00B92EB6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>
        <w:rPr>
          <w:rFonts w:ascii="Calibri" w:hAnsi="Calibri" w:cs="Calibri"/>
          <w:sz w:val="22"/>
          <w:szCs w:val="22"/>
          <w:lang w:val="pl-PL" w:bidi="ar-TN"/>
        </w:rPr>
        <w:t>Urząd Dzielnicy Śródmieście</w:t>
      </w:r>
    </w:p>
    <w:p w14:paraId="68FB6D7E" w14:textId="682802EC" w:rsidR="005E566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</w:p>
    <w:p w14:paraId="620510D1" w14:textId="4FA2F062" w:rsidR="00B92EB6" w:rsidRPr="00A841BB" w:rsidRDefault="00B92EB6" w:rsidP="00B92EB6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Warszawa</w:t>
      </w:r>
    </w:p>
    <w:p w14:paraId="10A46D58" w14:textId="38ECC535" w:rsidR="009D1313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</w:p>
    <w:p w14:paraId="6E56416A" w14:textId="54012F97" w:rsidR="00B92EB6" w:rsidRPr="00A841BB" w:rsidRDefault="00B92EB6" w:rsidP="00B92EB6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ul. Nowogrodzka 43, 00-691 Warszawa</w:t>
      </w:r>
    </w:p>
    <w:p w14:paraId="0F037208" w14:textId="4C8B9D47" w:rsidR="009D1313" w:rsidRDefault="002B7FB2" w:rsidP="007E2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</w:p>
    <w:p w14:paraId="231D9C70" w14:textId="0DCE13B3" w:rsidR="00B92EB6" w:rsidRPr="00A841BB" w:rsidRDefault="00B92EB6" w:rsidP="00B92EB6">
      <w:pPr>
        <w:pStyle w:val="Tekstpodstawowy"/>
        <w:keepLines/>
        <w:widowControl w:val="0"/>
        <w:adjustRightInd w:val="0"/>
        <w:spacing w:after="240" w:line="300" w:lineRule="auto"/>
        <w:ind w:left="993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Kierowanie podstawowymi rodzajami działalności publicznej</w:t>
      </w:r>
    </w:p>
    <w:p w14:paraId="01C016AC" w14:textId="6CB168F3" w:rsidR="00B92EB6" w:rsidRDefault="002B7FB2" w:rsidP="00B92EB6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</w:p>
    <w:p w14:paraId="6D141E3F" w14:textId="063986F3" w:rsidR="00B92EB6" w:rsidRDefault="00B92EB6" w:rsidP="00B92EB6">
      <w:pPr>
        <w:ind w:left="924"/>
      </w:pPr>
      <w:r>
        <w:t>01.01.2021r. – 31.12.2021r.</w:t>
      </w:r>
    </w:p>
    <w:p w14:paraId="67FAD198" w14:textId="77777777" w:rsidR="00B92EB6" w:rsidRPr="00B92EB6" w:rsidRDefault="00B92EB6" w:rsidP="00B92EB6">
      <w:pPr>
        <w:ind w:left="924"/>
      </w:pPr>
    </w:p>
    <w:p w14:paraId="6543ED94" w14:textId="77777777" w:rsidR="002B7FB2" w:rsidRPr="00A841BB" w:rsidRDefault="002B7FB2" w:rsidP="00CF097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</w:t>
      </w:r>
      <w:r w:rsidR="00A11DB8" w:rsidRPr="00A841BB">
        <w:rPr>
          <w:rFonts w:ascii="Calibri" w:hAnsi="Calibri" w:cs="Calibri"/>
          <w:sz w:val="22"/>
          <w:szCs w:val="22"/>
          <w:lang w:val="pl-PL"/>
        </w:rPr>
        <w:t>e, ż</w:t>
      </w:r>
      <w:r w:rsidRPr="00A841BB">
        <w:rPr>
          <w:rFonts w:ascii="Calibri" w:hAnsi="Calibri" w:cs="Calibri"/>
          <w:sz w:val="22"/>
          <w:szCs w:val="22"/>
          <w:lang w:val="pl-PL"/>
        </w:rPr>
        <w:t>e sprawozdanie zawiera dane łączne</w:t>
      </w:r>
    </w:p>
    <w:p w14:paraId="388FE60A" w14:textId="674F46D7" w:rsidR="00B92EB6" w:rsidRPr="00B92EB6" w:rsidRDefault="003007CE" w:rsidP="00D46F1C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b w:val="0"/>
          <w:sz w:val="20"/>
          <w:lang w:val="pl-PL"/>
        </w:rPr>
      </w:pPr>
      <w:r w:rsidRPr="00B92EB6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  <w:r w:rsidR="008E6924" w:rsidRPr="00B92EB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92EB6" w:rsidRPr="00B92EB6">
        <w:rPr>
          <w:b w:val="0"/>
          <w:sz w:val="20"/>
          <w:lang w:val="pl-PL"/>
        </w:rPr>
        <w:t>Księgi rachunkowe w Urzędzie Dzielnicy Śródmieście prowadzone są przy</w:t>
      </w:r>
      <w:r w:rsidR="00B92EB6" w:rsidRPr="00DC3496">
        <w:t xml:space="preserve"> </w:t>
      </w:r>
      <w:r w:rsidR="00B92EB6" w:rsidRPr="00B92EB6">
        <w:rPr>
          <w:b w:val="0"/>
          <w:sz w:val="20"/>
          <w:lang w:val="pl-PL"/>
        </w:rPr>
        <w:t>użyciu techniki komputerowej z zastosowaniem następującego oprogramowania:</w:t>
      </w:r>
    </w:p>
    <w:p w14:paraId="0378E826" w14:textId="77777777" w:rsidR="00B92EB6" w:rsidRDefault="00B92EB6" w:rsidP="00B92EB6">
      <w:pPr>
        <w:numPr>
          <w:ilvl w:val="1"/>
          <w:numId w:val="49"/>
        </w:numPr>
        <w:jc w:val="both"/>
      </w:pPr>
      <w:r>
        <w:t xml:space="preserve">System OTAGO  - księgowość budżetu, wieczyste użytkowanie, opłata </w:t>
      </w:r>
      <w:proofErr w:type="spellStart"/>
      <w:r>
        <w:t>przekształceniowa</w:t>
      </w:r>
      <w:proofErr w:type="spellEnd"/>
      <w:r>
        <w:t>, kasa).</w:t>
      </w:r>
    </w:p>
    <w:p w14:paraId="506EBD77" w14:textId="77777777" w:rsidR="00B92EB6" w:rsidRDefault="00B92EB6" w:rsidP="00B92EB6">
      <w:pPr>
        <w:numPr>
          <w:ilvl w:val="1"/>
          <w:numId w:val="49"/>
        </w:numPr>
        <w:jc w:val="both"/>
      </w:pPr>
      <w:r>
        <w:t xml:space="preserve">MILLENIUM firmy </w:t>
      </w:r>
      <w:proofErr w:type="spellStart"/>
      <w:r>
        <w:t>Bomark</w:t>
      </w:r>
      <w:proofErr w:type="spellEnd"/>
      <w:r>
        <w:t xml:space="preserve"> – księgowość jednostki, magazyn, środki trwałe, kredyty mieszkaniowe.</w:t>
      </w:r>
    </w:p>
    <w:p w14:paraId="436758E5" w14:textId="77777777" w:rsidR="00B92EB6" w:rsidRDefault="00B92EB6" w:rsidP="00B92EB6">
      <w:pPr>
        <w:numPr>
          <w:ilvl w:val="1"/>
          <w:numId w:val="49"/>
        </w:numPr>
        <w:jc w:val="both"/>
      </w:pPr>
      <w:r>
        <w:t>JSTJB – sprawozdawczość budżetowa</w:t>
      </w:r>
    </w:p>
    <w:p w14:paraId="6ECA1AC9" w14:textId="77777777" w:rsidR="00B92EB6" w:rsidRDefault="00B92EB6" w:rsidP="00B92EB6">
      <w:pPr>
        <w:numPr>
          <w:ilvl w:val="1"/>
          <w:numId w:val="49"/>
        </w:numPr>
        <w:jc w:val="both"/>
      </w:pPr>
      <w:r>
        <w:t>SIGOK – księgowość opłat za odpady komunalne</w:t>
      </w:r>
    </w:p>
    <w:p w14:paraId="5A7289CD" w14:textId="77777777" w:rsidR="00B92EB6" w:rsidRDefault="00B92EB6" w:rsidP="00B92EB6">
      <w:pPr>
        <w:numPr>
          <w:ilvl w:val="1"/>
          <w:numId w:val="49"/>
        </w:numPr>
        <w:jc w:val="both"/>
      </w:pPr>
      <w:r>
        <w:t>STRATEG – ewidencja nieruchomości</w:t>
      </w:r>
    </w:p>
    <w:p w14:paraId="771D762E" w14:textId="77777777" w:rsidR="00B92EB6" w:rsidRDefault="00B92EB6" w:rsidP="00B92EB6">
      <w:pPr>
        <w:ind w:left="1440"/>
        <w:jc w:val="both"/>
      </w:pPr>
    </w:p>
    <w:p w14:paraId="404BB474" w14:textId="77777777" w:rsidR="00B92EB6" w:rsidRDefault="00B92EB6" w:rsidP="00C34CB0">
      <w:pPr>
        <w:ind w:left="993"/>
        <w:jc w:val="both"/>
      </w:pPr>
      <w:r>
        <w:t>Stosowane systemy informatyczne tworzą następujące zbiory:</w:t>
      </w:r>
    </w:p>
    <w:p w14:paraId="335695CA" w14:textId="77777777" w:rsidR="00B92EB6" w:rsidRDefault="00B92EB6" w:rsidP="00B92EB6">
      <w:pPr>
        <w:numPr>
          <w:ilvl w:val="2"/>
          <w:numId w:val="49"/>
        </w:numPr>
        <w:jc w:val="both"/>
      </w:pPr>
      <w:r>
        <w:t>dziennik poprzez chronologiczne grupowanie zapisów</w:t>
      </w:r>
    </w:p>
    <w:p w14:paraId="1BBD4372" w14:textId="77777777" w:rsidR="00B92EB6" w:rsidRDefault="00B92EB6" w:rsidP="00B92EB6">
      <w:pPr>
        <w:numPr>
          <w:ilvl w:val="2"/>
          <w:numId w:val="49"/>
        </w:numPr>
        <w:jc w:val="both"/>
      </w:pPr>
      <w:r>
        <w:lastRenderedPageBreak/>
        <w:t>księgę główną i księgi pomocnicze poprzez grupowanie zapisów w porządku systematycznym</w:t>
      </w:r>
    </w:p>
    <w:p w14:paraId="46D136D1" w14:textId="77777777" w:rsidR="00B92EB6" w:rsidRDefault="00B92EB6" w:rsidP="00B92EB6">
      <w:pPr>
        <w:numPr>
          <w:ilvl w:val="2"/>
          <w:numId w:val="49"/>
        </w:numPr>
        <w:jc w:val="both"/>
      </w:pPr>
      <w:r>
        <w:t>zestawienie obrotów i sald księgi głównej i ksiąg pomocniczych</w:t>
      </w:r>
    </w:p>
    <w:p w14:paraId="6330D7ED" w14:textId="77777777" w:rsidR="00B92EB6" w:rsidRDefault="00B92EB6" w:rsidP="00B92EB6">
      <w:pPr>
        <w:jc w:val="both"/>
      </w:pPr>
      <w:r>
        <w:t>Systemy posiadają funkcję automatycznej kontroli ciągłości zapisów, tworzenia bilansu zamknięcia i otwarcia, automatycznej numeracji rekordów, identyfikacji użytkownika, prowadzenia zapisów księgowych oraz przetwarzania ich zgodnie z wymogami ustawy o rachunkowości.</w:t>
      </w:r>
    </w:p>
    <w:p w14:paraId="63D87D6E" w14:textId="77777777" w:rsidR="00B92EB6" w:rsidRDefault="00B92EB6" w:rsidP="00B92EB6">
      <w:pPr>
        <w:jc w:val="both"/>
      </w:pPr>
      <w:r>
        <w:t>Zasady wyceny:</w:t>
      </w:r>
    </w:p>
    <w:p w14:paraId="0350D91B" w14:textId="77777777" w:rsidR="00B92EB6" w:rsidRDefault="00B92EB6" w:rsidP="00B92EB6">
      <w:r w:rsidRPr="00C01B5A">
        <w:t xml:space="preserve">Zapasy magazynowe materiałów wycenia się według cen </w:t>
      </w:r>
      <w:r>
        <w:t>nabycia</w:t>
      </w:r>
      <w:r w:rsidRPr="00C01B5A">
        <w:t xml:space="preserve">, </w:t>
      </w:r>
      <w:r>
        <w:t>powiększone o nie podlegający odliczeniu podatek</w:t>
      </w:r>
      <w:r w:rsidRPr="00C01B5A">
        <w:t xml:space="preserve"> VAT. Rozchód materiałów z magazynu wycenia się według zasady „pierwsze przyszło – pierwsze wyszło” tj. w cenie zakupu materiałów nabytych najwcześniej.</w:t>
      </w:r>
      <w:r>
        <w:t xml:space="preserve"> </w:t>
      </w:r>
      <w:r w:rsidRPr="00C01B5A">
        <w:t>Środki trwałe oraz wartości niematerialne i prawne wycenia się według cen nabycia lub kosztów wytworzenia,</w:t>
      </w:r>
      <w:r>
        <w:t xml:space="preserve"> pomniejszonej o dotychczasowe dokonane odpisy umorzeniowe a także odpisy z tytułu ewentualnej utraty wartości oraz skorygowanej o przeszacowania dokonane na podstawie odrębnych przepisów. </w:t>
      </w:r>
      <w:r w:rsidRPr="00806297">
        <w:t xml:space="preserve">W przypadku zaistnienia przyczyn powodujących trwałą utratę wartości środka trwałego, wartości niematerialnych i prawnych oraz środków trwałych w budowie dokonuje się  odpisu aktualizującego jego wartość. Ustalanie odpisu aktualizującego wycenę środków trwałych, wartości niematerialnych i prawnych oraz środków trwałych w budowie spowodowaną trwałą utratą przez nie wartości, odbywa się nie rzadziej niż raz w roku, na dzień 31 grudnia. Odpisy odnoszone są w pozostałe koszty operacyjne. </w:t>
      </w:r>
      <w:r w:rsidRPr="00C01B5A">
        <w:t>Środki trwałe w budowie wycenia się w cenie nabycia lub po koszcie wytworzenia, pomniejszonych o odpisy z tytułu trwałej utraty wartości. Odsetki od należności i zobowiązań, w tym również tych, do których stosuje się przepisy dotyczące zobowiązań podatkowych, ujmuj</w:t>
      </w:r>
      <w:r>
        <w:t>e się w księgach rachunkowych w </w:t>
      </w:r>
      <w:r w:rsidRPr="00C01B5A">
        <w:t>momencie ich zapłaty</w:t>
      </w:r>
      <w:r w:rsidRPr="00627E44">
        <w:t xml:space="preserve">, lecz nie później niż pod </w:t>
      </w:r>
      <w:r>
        <w:t>datą ostatniego dnia kwartału w </w:t>
      </w:r>
      <w:r w:rsidRPr="00627E44">
        <w:t>wysokości odsetek należnych na koniec tego kwartału</w:t>
      </w:r>
      <w:r>
        <w:t>.</w:t>
      </w:r>
      <w:r w:rsidRPr="00C01B5A">
        <w:t xml:space="preserve"> </w:t>
      </w:r>
      <w:r w:rsidRPr="00C13645">
        <w:t>Wartość należności aktualizuje się uwzględniając stopień prawdopodobieństwa ich</w:t>
      </w:r>
      <w:r>
        <w:t xml:space="preserve"> zapłaty </w:t>
      </w:r>
      <w:r w:rsidRPr="00957A67">
        <w:t xml:space="preserve">poprzez dokonanie odpisu aktualizującego, </w:t>
      </w:r>
      <w:r>
        <w:t xml:space="preserve">nie później niż na dzień bilansowy. </w:t>
      </w:r>
      <w:r w:rsidRPr="00C01B5A">
        <w:t>Odpisane, przedawnione i umorzone zobowiązania wycenia się</w:t>
      </w:r>
      <w:r>
        <w:t xml:space="preserve"> w kwocie wymagającej zapłaty i </w:t>
      </w:r>
      <w:r w:rsidRPr="00C01B5A">
        <w:t>odnosi w pozostałe przychody operacyjne.</w:t>
      </w:r>
      <w:r>
        <w:t xml:space="preserve"> </w:t>
      </w:r>
      <w:r w:rsidRPr="00C01B5A">
        <w:t>Otrzymane darowizny w postaci rzeczowych składników a</w:t>
      </w:r>
      <w:r>
        <w:t>ktywów obrotowych wycenia się w </w:t>
      </w:r>
      <w:r w:rsidRPr="00C01B5A">
        <w:t>kwocie nie wyższej od ich cen rynkowych w momencie otrzymania.</w:t>
      </w:r>
      <w:r>
        <w:t xml:space="preserve"> </w:t>
      </w:r>
      <w:r w:rsidRPr="000C4B9A">
        <w:t>Należne odszkodowania, grzywny i kary wycenia się w kwocie wymagalnej zapłaty</w:t>
      </w:r>
      <w:r>
        <w:t xml:space="preserve">. </w:t>
      </w:r>
      <w:r w:rsidRPr="00C01B5A">
        <w:t>Rzeczowe składniki majątku obrotowego wycenia się na dzień bilansowy według ich wartości wynikającej z ewidencji.</w:t>
      </w:r>
      <w:r>
        <w:t xml:space="preserve"> Rezerwy na zobowiązania wycenia się nie rzadziej niż na dzień bilansowy w uzasadnionej wiarygodnie oszacowanej wartości.</w:t>
      </w:r>
    </w:p>
    <w:p w14:paraId="4FA582C0" w14:textId="77777777" w:rsidR="00B92EB6" w:rsidRDefault="00B92EB6" w:rsidP="00B92EB6">
      <w:pPr>
        <w:jc w:val="both"/>
      </w:pPr>
    </w:p>
    <w:p w14:paraId="1B95E475" w14:textId="77777777" w:rsidR="00B92EB6" w:rsidRPr="00C01B5A" w:rsidRDefault="00B92EB6" w:rsidP="00B92EB6">
      <w:pPr>
        <w:tabs>
          <w:tab w:val="num" w:pos="1620"/>
        </w:tabs>
        <w:jc w:val="both"/>
      </w:pPr>
      <w:r w:rsidRPr="00C01B5A">
        <w:t>Ustalenie wyniku finansowego następuje poprzez przeksięgowanie w końcu roku obrotowego:</w:t>
      </w:r>
    </w:p>
    <w:p w14:paraId="606A2BC7" w14:textId="77777777" w:rsidR="00B92EB6" w:rsidRPr="00C01B5A" w:rsidRDefault="00B92EB6" w:rsidP="00B92EB6">
      <w:pPr>
        <w:numPr>
          <w:ilvl w:val="0"/>
          <w:numId w:val="47"/>
        </w:numPr>
        <w:tabs>
          <w:tab w:val="clear" w:pos="794"/>
          <w:tab w:val="num" w:pos="900"/>
        </w:tabs>
        <w:ind w:left="900" w:hanging="360"/>
        <w:jc w:val="both"/>
      </w:pPr>
      <w:r>
        <w:t xml:space="preserve">na stronie </w:t>
      </w:r>
      <w:proofErr w:type="spellStart"/>
      <w:r>
        <w:t>Wn</w:t>
      </w:r>
      <w:proofErr w:type="spellEnd"/>
      <w:r>
        <w:t xml:space="preserve"> konta 860 „W</w:t>
      </w:r>
      <w:r w:rsidRPr="00C01B5A">
        <w:t>ynik finansowy”:</w:t>
      </w:r>
    </w:p>
    <w:p w14:paraId="641E51E0" w14:textId="77777777" w:rsidR="00B92EB6" w:rsidRPr="00C01B5A" w:rsidRDefault="00B92EB6" w:rsidP="00B92EB6">
      <w:pPr>
        <w:numPr>
          <w:ilvl w:val="0"/>
          <w:numId w:val="48"/>
        </w:numPr>
        <w:tabs>
          <w:tab w:val="clear" w:pos="1354"/>
          <w:tab w:val="num" w:pos="1260"/>
        </w:tabs>
        <w:ind w:left="1260" w:hanging="360"/>
        <w:jc w:val="both"/>
      </w:pPr>
      <w:r w:rsidRPr="00C01B5A">
        <w:t>sumy poniesionych kosztów operac</w:t>
      </w:r>
      <w:r>
        <w:t>yjnych w korespondencji z kontami</w:t>
      </w:r>
      <w:r w:rsidRPr="00C01B5A">
        <w:t xml:space="preserve"> </w:t>
      </w:r>
      <w:r>
        <w:t>zespołu 4</w:t>
      </w:r>
      <w:r w:rsidRPr="00C01B5A">
        <w:t xml:space="preserve"> „Koszty wed</w:t>
      </w:r>
      <w:r>
        <w:t>ług rodzajów i ich rozliczenie”,</w:t>
      </w:r>
    </w:p>
    <w:p w14:paraId="7A37DD61" w14:textId="77777777" w:rsidR="00B92EB6" w:rsidRPr="00C01B5A" w:rsidRDefault="00B92EB6" w:rsidP="00B92EB6">
      <w:pPr>
        <w:numPr>
          <w:ilvl w:val="0"/>
          <w:numId w:val="48"/>
        </w:numPr>
        <w:tabs>
          <w:tab w:val="clear" w:pos="1354"/>
          <w:tab w:val="num" w:pos="1260"/>
        </w:tabs>
        <w:ind w:left="1260" w:hanging="303"/>
        <w:jc w:val="both"/>
      </w:pPr>
      <w:r w:rsidRPr="00C01B5A">
        <w:t>zmianę stanu międzyokresowych rozli</w:t>
      </w:r>
      <w:r>
        <w:t>czeń kosztów w korespondencji z </w:t>
      </w:r>
      <w:r w:rsidRPr="00C01B5A">
        <w:t>kontem 490 „Rozliczenie kosztów”,</w:t>
      </w:r>
    </w:p>
    <w:p w14:paraId="4C34DEBA" w14:textId="77777777" w:rsidR="00B92EB6" w:rsidRPr="00ED4787" w:rsidRDefault="00B92EB6" w:rsidP="00B92EB6">
      <w:pPr>
        <w:numPr>
          <w:ilvl w:val="0"/>
          <w:numId w:val="48"/>
        </w:numPr>
        <w:tabs>
          <w:tab w:val="clear" w:pos="1354"/>
          <w:tab w:val="num" w:pos="1260"/>
        </w:tabs>
        <w:ind w:left="1260" w:hanging="303"/>
        <w:jc w:val="both"/>
      </w:pPr>
      <w:r w:rsidRPr="00ED4787">
        <w:t>sumy poniesionych kosztów w korespondencji z poszczególnymi kontami zespołu 7</w:t>
      </w:r>
    </w:p>
    <w:p w14:paraId="23517597" w14:textId="77777777" w:rsidR="00B92EB6" w:rsidRPr="00C01B5A" w:rsidRDefault="00B92EB6" w:rsidP="00B92EB6">
      <w:pPr>
        <w:numPr>
          <w:ilvl w:val="0"/>
          <w:numId w:val="47"/>
        </w:numPr>
        <w:tabs>
          <w:tab w:val="clear" w:pos="794"/>
          <w:tab w:val="num" w:pos="900"/>
        </w:tabs>
        <w:ind w:left="900" w:hanging="360"/>
        <w:jc w:val="both"/>
      </w:pPr>
      <w:r>
        <w:t>n</w:t>
      </w:r>
      <w:r w:rsidRPr="00C01B5A">
        <w:t xml:space="preserve">a stronie Ma konta 860 </w:t>
      </w:r>
      <w:r>
        <w:t>„W</w:t>
      </w:r>
      <w:r w:rsidRPr="00C01B5A">
        <w:t>ynik finansowy”:</w:t>
      </w:r>
    </w:p>
    <w:p w14:paraId="0718EA8A" w14:textId="77777777" w:rsidR="00B92EB6" w:rsidRPr="00C01B5A" w:rsidRDefault="00B92EB6" w:rsidP="00B92EB6">
      <w:pPr>
        <w:numPr>
          <w:ilvl w:val="1"/>
          <w:numId w:val="48"/>
        </w:numPr>
        <w:tabs>
          <w:tab w:val="clear" w:pos="454"/>
          <w:tab w:val="num" w:pos="1260"/>
        </w:tabs>
        <w:ind w:left="1260" w:hanging="360"/>
        <w:jc w:val="both"/>
      </w:pPr>
      <w:r>
        <w:t>s</w:t>
      </w:r>
      <w:r w:rsidRPr="00C01B5A">
        <w:t>umy uzyskanych przychodów w korespondencji z poszczególnymi kontami zespołu 7,</w:t>
      </w:r>
    </w:p>
    <w:p w14:paraId="61EA6AF3" w14:textId="77777777" w:rsidR="00B92EB6" w:rsidRDefault="00B92EB6" w:rsidP="00B92EB6">
      <w:pPr>
        <w:numPr>
          <w:ilvl w:val="1"/>
          <w:numId w:val="48"/>
        </w:numPr>
        <w:tabs>
          <w:tab w:val="clear" w:pos="454"/>
          <w:tab w:val="num" w:pos="1260"/>
        </w:tabs>
        <w:ind w:left="1260" w:hanging="360"/>
        <w:jc w:val="both"/>
      </w:pPr>
      <w:r w:rsidRPr="00C01B5A">
        <w:t>zmianę stanu międzyokresowych rozli</w:t>
      </w:r>
      <w:r>
        <w:t>czeń kosztów w korespondencji z </w:t>
      </w:r>
      <w:r w:rsidRPr="00C01B5A">
        <w:t>kontem 490 „Rozliczenie kosztów”.</w:t>
      </w:r>
    </w:p>
    <w:p w14:paraId="2729D57B" w14:textId="77777777" w:rsidR="00765D4F" w:rsidRPr="00A841BB" w:rsidRDefault="007A35A7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0AEF8E8D" w14:textId="114F153A" w:rsidR="007A35A7" w:rsidRDefault="007A35A7" w:rsidP="007E246F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Informacje </w:t>
      </w:r>
      <w:r w:rsidR="00E0116F" w:rsidRPr="00A841BB">
        <w:rPr>
          <w:rFonts w:ascii="Calibri" w:hAnsi="Calibri" w:cs="Calibri"/>
          <w:b w:val="0"/>
          <w:sz w:val="22"/>
          <w:szCs w:val="22"/>
          <w:lang w:val="pl-PL"/>
        </w:rPr>
        <w:t>o korekcie bilansu otwarcia 20</w:t>
      </w:r>
      <w:r w:rsidR="00C34CB0">
        <w:rPr>
          <w:rFonts w:ascii="Calibri" w:hAnsi="Calibri" w:cs="Calibri"/>
          <w:b w:val="0"/>
          <w:sz w:val="22"/>
          <w:szCs w:val="22"/>
          <w:lang w:val="pl-PL"/>
        </w:rPr>
        <w:t>21</w:t>
      </w: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 roku w związku ze zmianą prezentacji pozycji i korektami</w:t>
      </w:r>
      <w:r w:rsidR="00C34CB0">
        <w:rPr>
          <w:rFonts w:ascii="Calibri" w:hAnsi="Calibri" w:cs="Calibri"/>
          <w:b w:val="0"/>
          <w:sz w:val="22"/>
          <w:szCs w:val="22"/>
          <w:lang w:val="pl-PL"/>
        </w:rPr>
        <w:t xml:space="preserve"> – brak korekt.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A841BB" w14:paraId="2B812ADE" w14:textId="77777777" w:rsidTr="00FE6E4D">
        <w:trPr>
          <w:trHeight w:val="114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239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Zatwierdzone sprawozdanie za rok 20….</w:t>
            </w:r>
          </w:p>
          <w:p w14:paraId="2CC3C242" w14:textId="58A6C7E2" w:rsidR="00664118" w:rsidRPr="00A841BB" w:rsidRDefault="00C34CB0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</w:t>
            </w:r>
            <w:r w:rsidR="00664118"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7BD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3C673EBA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2A59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Sprawozdanie finansowe za rok 20…..po uwzględnieniu korekt</w:t>
            </w:r>
          </w:p>
          <w:p w14:paraId="163C89DA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A841BB" w14:paraId="4D6B1E20" w14:textId="77777777" w:rsidTr="00CF0979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A841BB" w:rsidRDefault="00CF5F24" w:rsidP="00CF0979">
      <w:pPr>
        <w:rPr>
          <w:rFonts w:ascii="Calibri" w:hAnsi="Calibri" w:cs="Calibri"/>
          <w:sz w:val="22"/>
          <w:szCs w:val="22"/>
        </w:rPr>
      </w:pPr>
    </w:p>
    <w:sectPr w:rsidR="00CF5F24" w:rsidRPr="00A841BB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B8E5" w14:textId="77777777" w:rsidR="00DB4B93" w:rsidRDefault="00DB4B93">
      <w:r>
        <w:separator/>
      </w:r>
    </w:p>
  </w:endnote>
  <w:endnote w:type="continuationSeparator" w:id="0">
    <w:p w14:paraId="49908D8E" w14:textId="77777777" w:rsidR="00DB4B93" w:rsidRDefault="00DB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F41B" w14:textId="77777777" w:rsidR="00DB4B93" w:rsidRDefault="00DB4B93">
      <w:r>
        <w:separator/>
      </w:r>
    </w:p>
  </w:footnote>
  <w:footnote w:type="continuationSeparator" w:id="0">
    <w:p w14:paraId="00C5B617" w14:textId="77777777" w:rsidR="00DB4B93" w:rsidRDefault="00DB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AD26" w14:textId="77777777" w:rsidR="00A905BD" w:rsidRPr="00A841BB" w:rsidRDefault="001C1428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lang w:val="pl-PL"/>
      </w:rPr>
    </w:pPr>
    <w:r w:rsidRPr="00A841BB">
      <w:rPr>
        <w:rFonts w:ascii="Calibri" w:hAnsi="Calibri" w:cs="Calibri"/>
        <w:b/>
        <w:color w:val="000000"/>
        <w:sz w:val="28"/>
        <w:lang w:val="pl-PL"/>
      </w:rPr>
      <w:t>&lt;Nazwa jednostki&gt;</w:t>
    </w:r>
  </w:p>
  <w:p w14:paraId="065E7C7A" w14:textId="51D0403C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B92EB6">
      <w:rPr>
        <w:rFonts w:ascii="Calibri" w:hAnsi="Calibri" w:cs="Calibri"/>
        <w:b/>
        <w:sz w:val="24"/>
        <w:lang w:val="pl-PL"/>
      </w:rPr>
      <w:t>21</w:t>
    </w:r>
    <w:r w:rsidR="00D71F0D" w:rsidRPr="00A841BB">
      <w:rPr>
        <w:rFonts w:ascii="Calibri" w:hAnsi="Calibri" w:cs="Calibri"/>
        <w:b/>
        <w:sz w:val="24"/>
        <w:lang w:val="pl-PL"/>
      </w:rPr>
      <w:t xml:space="preserve">    </w:t>
    </w:r>
    <w:r w:rsidR="00A905BD" w:rsidRPr="00A841BB">
      <w:rPr>
        <w:rFonts w:ascii="Calibri" w:hAnsi="Calibri" w:cs="Calibri"/>
        <w:b/>
        <w:sz w:val="24"/>
        <w:lang w:val="pl-PL"/>
      </w:rPr>
      <w:t xml:space="preserve"> 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63E0"/>
    <w:multiLevelType w:val="hybridMultilevel"/>
    <w:tmpl w:val="DDD26238"/>
    <w:lvl w:ilvl="0" w:tplc="ABEE380E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1F381CEA">
      <w:start w:val="5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929A7"/>
    <w:multiLevelType w:val="hybridMultilevel"/>
    <w:tmpl w:val="33C6C266"/>
    <w:lvl w:ilvl="0" w:tplc="23A014E8">
      <w:start w:val="1"/>
      <w:numFmt w:val="lowerLetter"/>
      <w:lvlText w:val="%1)"/>
      <w:lvlJc w:val="left"/>
      <w:pPr>
        <w:tabs>
          <w:tab w:val="num" w:pos="1354"/>
        </w:tabs>
        <w:ind w:left="1467" w:hanging="510"/>
      </w:pPr>
      <w:rPr>
        <w:rFonts w:ascii="Times New Roman" w:hAnsi="Times New Roman" w:hint="default"/>
        <w:b w:val="0"/>
        <w:i w:val="0"/>
      </w:rPr>
    </w:lvl>
    <w:lvl w:ilvl="1" w:tplc="C38680F0">
      <w:start w:val="1"/>
      <w:numFmt w:val="lowerLetter"/>
      <w:lvlText w:val="%2)"/>
      <w:lvlJc w:val="left"/>
      <w:pPr>
        <w:tabs>
          <w:tab w:val="num" w:pos="454"/>
        </w:tabs>
        <w:ind w:left="454" w:hanging="397"/>
      </w:pPr>
      <w:rPr>
        <w:rFonts w:ascii="Times New (W1)" w:hAnsi="Times New (W1)" w:hint="default"/>
        <w:b w:val="0"/>
        <w:i w:val="0"/>
      </w:rPr>
    </w:lvl>
    <w:lvl w:ilvl="2" w:tplc="D5D880FE">
      <w:start w:val="45"/>
      <w:numFmt w:val="decimal"/>
      <w:lvlText w:val="%3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7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3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4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7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3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576E58C8"/>
    <w:multiLevelType w:val="hybridMultilevel"/>
    <w:tmpl w:val="C804CC7C"/>
    <w:lvl w:ilvl="0" w:tplc="AC62E1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1D02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86A8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9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916670758">
    <w:abstractNumId w:val="38"/>
  </w:num>
  <w:num w:numId="2" w16cid:durableId="2049254813">
    <w:abstractNumId w:val="44"/>
  </w:num>
  <w:num w:numId="3" w16cid:durableId="309477582">
    <w:abstractNumId w:val="19"/>
  </w:num>
  <w:num w:numId="4" w16cid:durableId="57947769">
    <w:abstractNumId w:val="20"/>
  </w:num>
  <w:num w:numId="5" w16cid:durableId="1418088874">
    <w:abstractNumId w:val="17"/>
  </w:num>
  <w:num w:numId="6" w16cid:durableId="1859154419">
    <w:abstractNumId w:val="0"/>
  </w:num>
  <w:num w:numId="7" w16cid:durableId="1663705312">
    <w:abstractNumId w:val="45"/>
  </w:num>
  <w:num w:numId="8" w16cid:durableId="1099332598">
    <w:abstractNumId w:val="7"/>
  </w:num>
  <w:num w:numId="9" w16cid:durableId="2013684586">
    <w:abstractNumId w:val="23"/>
  </w:num>
  <w:num w:numId="10" w16cid:durableId="1938512980">
    <w:abstractNumId w:val="33"/>
  </w:num>
  <w:num w:numId="11" w16cid:durableId="2088720160">
    <w:abstractNumId w:val="12"/>
  </w:num>
  <w:num w:numId="12" w16cid:durableId="1014918627">
    <w:abstractNumId w:val="8"/>
  </w:num>
  <w:num w:numId="13" w16cid:durableId="1422293683">
    <w:abstractNumId w:val="29"/>
  </w:num>
  <w:num w:numId="14" w16cid:durableId="1059397036">
    <w:abstractNumId w:val="14"/>
  </w:num>
  <w:num w:numId="15" w16cid:durableId="558397646">
    <w:abstractNumId w:val="24"/>
  </w:num>
  <w:num w:numId="16" w16cid:durableId="537620990">
    <w:abstractNumId w:val="9"/>
  </w:num>
  <w:num w:numId="17" w16cid:durableId="989335129">
    <w:abstractNumId w:val="18"/>
  </w:num>
  <w:num w:numId="18" w16cid:durableId="564682811">
    <w:abstractNumId w:val="27"/>
  </w:num>
  <w:num w:numId="19" w16cid:durableId="368922590">
    <w:abstractNumId w:val="28"/>
  </w:num>
  <w:num w:numId="20" w16cid:durableId="1006859760">
    <w:abstractNumId w:val="46"/>
  </w:num>
  <w:num w:numId="21" w16cid:durableId="1557353595">
    <w:abstractNumId w:val="3"/>
  </w:num>
  <w:num w:numId="22" w16cid:durableId="1773895506">
    <w:abstractNumId w:val="16"/>
  </w:num>
  <w:num w:numId="23" w16cid:durableId="1716851868">
    <w:abstractNumId w:val="13"/>
  </w:num>
  <w:num w:numId="24" w16cid:durableId="1811701511">
    <w:abstractNumId w:val="41"/>
  </w:num>
  <w:num w:numId="25" w16cid:durableId="1155875246">
    <w:abstractNumId w:val="40"/>
  </w:num>
  <w:num w:numId="26" w16cid:durableId="1973709699">
    <w:abstractNumId w:val="6"/>
  </w:num>
  <w:num w:numId="27" w16cid:durableId="1029791783">
    <w:abstractNumId w:val="34"/>
  </w:num>
  <w:num w:numId="28" w16cid:durableId="1885556163">
    <w:abstractNumId w:val="1"/>
  </w:num>
  <w:num w:numId="29" w16cid:durableId="1090076967">
    <w:abstractNumId w:val="39"/>
  </w:num>
  <w:num w:numId="30" w16cid:durableId="1782526775">
    <w:abstractNumId w:val="43"/>
  </w:num>
  <w:num w:numId="31" w16cid:durableId="449319915">
    <w:abstractNumId w:val="30"/>
  </w:num>
  <w:num w:numId="32" w16cid:durableId="2018532177">
    <w:abstractNumId w:val="31"/>
  </w:num>
  <w:num w:numId="33" w16cid:durableId="418605772">
    <w:abstractNumId w:val="2"/>
  </w:num>
  <w:num w:numId="34" w16cid:durableId="920138289">
    <w:abstractNumId w:val="25"/>
  </w:num>
  <w:num w:numId="35" w16cid:durableId="220872710">
    <w:abstractNumId w:val="42"/>
  </w:num>
  <w:num w:numId="36" w16cid:durableId="1734892204">
    <w:abstractNumId w:val="22"/>
  </w:num>
  <w:num w:numId="37" w16cid:durableId="524438626">
    <w:abstractNumId w:val="37"/>
  </w:num>
  <w:num w:numId="38" w16cid:durableId="375353971">
    <w:abstractNumId w:val="10"/>
  </w:num>
  <w:num w:numId="39" w16cid:durableId="1691712653">
    <w:abstractNumId w:val="21"/>
  </w:num>
  <w:num w:numId="40" w16cid:durableId="356123319">
    <w:abstractNumId w:val="11"/>
  </w:num>
  <w:num w:numId="41" w16cid:durableId="1925993748">
    <w:abstractNumId w:val="26"/>
  </w:num>
  <w:num w:numId="42" w16cid:durableId="1741445258">
    <w:abstractNumId w:val="19"/>
  </w:num>
  <w:num w:numId="43" w16cid:durableId="1005859427">
    <w:abstractNumId w:val="32"/>
  </w:num>
  <w:num w:numId="44" w16cid:durableId="527568434">
    <w:abstractNumId w:val="19"/>
  </w:num>
  <w:num w:numId="45" w16cid:durableId="1161000989">
    <w:abstractNumId w:val="5"/>
  </w:num>
  <w:num w:numId="46" w16cid:durableId="1020163317">
    <w:abstractNumId w:val="36"/>
  </w:num>
  <w:num w:numId="47" w16cid:durableId="1158768771">
    <w:abstractNumId w:val="4"/>
  </w:num>
  <w:num w:numId="48" w16cid:durableId="1795058146">
    <w:abstractNumId w:val="15"/>
  </w:num>
  <w:num w:numId="49" w16cid:durableId="2075085212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4E37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C55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03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50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242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EB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0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4BB8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4B93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3C4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E4D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557B-6030-4B79-8D2A-8B9FFBE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Machaj Izabela</cp:lastModifiedBy>
  <cp:revision>2</cp:revision>
  <cp:lastPrinted>2022-01-21T13:44:00Z</cp:lastPrinted>
  <dcterms:created xsi:type="dcterms:W3CDTF">2022-06-07T10:02:00Z</dcterms:created>
  <dcterms:modified xsi:type="dcterms:W3CDTF">2022-06-07T10:02:00Z</dcterms:modified>
</cp:coreProperties>
</file>