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B6" w:rsidRPr="00827B82" w:rsidRDefault="00D911DB" w:rsidP="00143A4E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>In</w:t>
      </w:r>
      <w:r w:rsidRPr="00827B82">
        <w:rPr>
          <w:rFonts w:ascii="Verdana" w:hAnsi="Verdana"/>
          <w:b/>
          <w:sz w:val="18"/>
          <w:szCs w:val="18"/>
        </w:rPr>
        <w:t>formacja</w:t>
      </w:r>
      <w:r>
        <w:rPr>
          <w:rFonts w:ascii="Verdana" w:hAnsi="Verdana"/>
          <w:b/>
          <w:sz w:val="18"/>
          <w:szCs w:val="18"/>
        </w:rPr>
        <w:t xml:space="preserve"> kwartalna </w:t>
      </w:r>
      <w:r w:rsidR="00C31D5C" w:rsidRPr="00827B82">
        <w:rPr>
          <w:rFonts w:ascii="Verdana" w:hAnsi="Verdana"/>
          <w:b/>
          <w:sz w:val="18"/>
          <w:szCs w:val="18"/>
        </w:rPr>
        <w:t>o reali</w:t>
      </w:r>
      <w:r w:rsidR="00BE09BA">
        <w:rPr>
          <w:rFonts w:ascii="Verdana" w:hAnsi="Verdana"/>
          <w:b/>
          <w:sz w:val="18"/>
          <w:szCs w:val="18"/>
        </w:rPr>
        <w:t>zacji budżetu</w:t>
      </w:r>
      <w:r>
        <w:rPr>
          <w:rFonts w:ascii="Verdana" w:hAnsi="Verdana"/>
          <w:b/>
          <w:sz w:val="18"/>
          <w:szCs w:val="18"/>
        </w:rPr>
        <w:t xml:space="preserve"> m.st. Warszawy za</w:t>
      </w:r>
      <w:r w:rsidR="00010618">
        <w:rPr>
          <w:rFonts w:ascii="Verdana" w:hAnsi="Verdana"/>
          <w:b/>
          <w:sz w:val="18"/>
          <w:szCs w:val="18"/>
        </w:rPr>
        <w:t xml:space="preserve"> </w:t>
      </w:r>
      <w:r w:rsidR="00EC5418">
        <w:rPr>
          <w:rFonts w:ascii="Verdana" w:hAnsi="Verdana"/>
          <w:b/>
          <w:sz w:val="18"/>
          <w:szCs w:val="18"/>
        </w:rPr>
        <w:t xml:space="preserve">I </w:t>
      </w:r>
      <w:r w:rsidR="00CA2FA9">
        <w:rPr>
          <w:rFonts w:ascii="Verdana" w:hAnsi="Verdana"/>
          <w:b/>
          <w:sz w:val="18"/>
          <w:szCs w:val="18"/>
        </w:rPr>
        <w:t>kwartał</w:t>
      </w:r>
      <w:r w:rsidR="00EC5418">
        <w:rPr>
          <w:rFonts w:ascii="Verdana" w:hAnsi="Verdana"/>
          <w:b/>
          <w:sz w:val="18"/>
          <w:szCs w:val="18"/>
        </w:rPr>
        <w:t xml:space="preserve"> 2020 r.</w:t>
      </w:r>
    </w:p>
    <w:p w:rsidR="00AF7EFB" w:rsidRPr="00827B82" w:rsidRDefault="00AF7EFB" w:rsidP="007C422B">
      <w:pPr>
        <w:jc w:val="both"/>
        <w:rPr>
          <w:rFonts w:ascii="Verdana" w:hAnsi="Verdana"/>
          <w:b/>
          <w:sz w:val="18"/>
          <w:szCs w:val="18"/>
        </w:rPr>
      </w:pPr>
    </w:p>
    <w:p w:rsidR="00C31D5C" w:rsidRPr="00827B82" w:rsidRDefault="00315FE6" w:rsidP="007C422B">
      <w:pPr>
        <w:jc w:val="both"/>
        <w:rPr>
          <w:rFonts w:ascii="Verdana" w:hAnsi="Verdana"/>
          <w:sz w:val="18"/>
          <w:szCs w:val="18"/>
        </w:rPr>
      </w:pPr>
      <w:r w:rsidRPr="00827B82">
        <w:rPr>
          <w:rFonts w:ascii="Verdana" w:hAnsi="Verdana"/>
          <w:sz w:val="18"/>
          <w:szCs w:val="18"/>
        </w:rPr>
        <w:t>Realizacja podstawowych wielkości budżetu m.st. Warszawy na koniec</w:t>
      </w:r>
      <w:r w:rsidR="00A60F0B">
        <w:rPr>
          <w:rFonts w:ascii="Verdana" w:hAnsi="Verdana"/>
          <w:sz w:val="18"/>
          <w:szCs w:val="18"/>
        </w:rPr>
        <w:t xml:space="preserve"> </w:t>
      </w:r>
      <w:r w:rsidR="00EC5418">
        <w:rPr>
          <w:rFonts w:ascii="Verdana" w:hAnsi="Verdana"/>
          <w:sz w:val="18"/>
          <w:szCs w:val="18"/>
        </w:rPr>
        <w:t>I</w:t>
      </w:r>
      <w:r w:rsidR="00CA2FA9">
        <w:rPr>
          <w:rFonts w:ascii="Verdana" w:hAnsi="Verdana"/>
          <w:sz w:val="18"/>
          <w:szCs w:val="18"/>
        </w:rPr>
        <w:t xml:space="preserve"> kwartału</w:t>
      </w:r>
      <w:r w:rsidRPr="00827B82">
        <w:rPr>
          <w:rFonts w:ascii="Verdana" w:hAnsi="Verdana"/>
          <w:sz w:val="18"/>
          <w:szCs w:val="18"/>
        </w:rPr>
        <w:t xml:space="preserve"> 20</w:t>
      </w:r>
      <w:r w:rsidR="00327CD6">
        <w:rPr>
          <w:rFonts w:ascii="Verdana" w:hAnsi="Verdana"/>
          <w:sz w:val="18"/>
          <w:szCs w:val="18"/>
        </w:rPr>
        <w:t>20</w:t>
      </w:r>
      <w:r w:rsidRPr="00827B82">
        <w:rPr>
          <w:rFonts w:ascii="Verdana" w:hAnsi="Verdana"/>
          <w:sz w:val="18"/>
          <w:szCs w:val="18"/>
        </w:rPr>
        <w:t xml:space="preserve"> r. wyniosła:</w:t>
      </w:r>
    </w:p>
    <w:p w:rsidR="009D7579" w:rsidRPr="009D7579" w:rsidRDefault="00113A4B" w:rsidP="009D7579">
      <w:pPr>
        <w:jc w:val="both"/>
        <w:rPr>
          <w:rFonts w:ascii="Arial CE" w:eastAsia="Times New Roman" w:hAnsi="Arial CE" w:cs="Arial CE"/>
          <w:b/>
          <w:bCs/>
          <w:sz w:val="24"/>
          <w:szCs w:val="24"/>
          <w:lang w:eastAsia="pl-PL"/>
        </w:rPr>
      </w:pPr>
      <w:r w:rsidRPr="00827B82">
        <w:rPr>
          <w:rFonts w:ascii="Verdana" w:hAnsi="Verdana"/>
          <w:b/>
          <w:sz w:val="18"/>
          <w:szCs w:val="18"/>
        </w:rPr>
        <w:t xml:space="preserve">Dochody </w:t>
      </w:r>
      <w:r w:rsidR="002952B3" w:rsidRPr="00827B82">
        <w:rPr>
          <w:rFonts w:ascii="Verdana" w:hAnsi="Verdana"/>
          <w:b/>
          <w:sz w:val="18"/>
          <w:szCs w:val="18"/>
        </w:rPr>
        <w:t>ogółem</w:t>
      </w:r>
      <w:r w:rsidR="00A564AE" w:rsidRPr="00827B82">
        <w:rPr>
          <w:rFonts w:ascii="Verdana" w:hAnsi="Verdana"/>
          <w:sz w:val="18"/>
          <w:szCs w:val="18"/>
        </w:rPr>
        <w:tab/>
      </w:r>
      <w:r w:rsidR="002952B3" w:rsidRPr="00827B82">
        <w:rPr>
          <w:rFonts w:ascii="Verdana" w:hAnsi="Verdana"/>
          <w:sz w:val="18"/>
          <w:szCs w:val="18"/>
        </w:rPr>
        <w:tab/>
      </w:r>
      <w:r w:rsidR="002952B3" w:rsidRPr="00827B82">
        <w:rPr>
          <w:rFonts w:ascii="Verdana" w:hAnsi="Verdana"/>
          <w:sz w:val="18"/>
          <w:szCs w:val="18"/>
        </w:rPr>
        <w:tab/>
      </w:r>
      <w:r w:rsidR="009D7579" w:rsidRPr="009D7579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4 954 754</w:t>
      </w:r>
      <w:r w:rsidR="009D7579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 </w:t>
      </w:r>
      <w:r w:rsidR="009D7579" w:rsidRPr="009D7579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392</w:t>
      </w:r>
      <w:r w:rsidR="009D7579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zł,</w:t>
      </w:r>
    </w:p>
    <w:p w:rsidR="00113A4B" w:rsidRPr="00827B82" w:rsidRDefault="00113A4B" w:rsidP="002952B3">
      <w:pPr>
        <w:spacing w:after="0" w:line="360" w:lineRule="auto"/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z tego:</w:t>
      </w:r>
    </w:p>
    <w:p w:rsidR="009D7579" w:rsidRPr="009D7579" w:rsidRDefault="00113A4B" w:rsidP="009D7579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827B82">
        <w:rPr>
          <w:rFonts w:ascii="Verdana" w:hAnsi="Verdana"/>
          <w:b/>
          <w:i/>
          <w:sz w:val="18"/>
          <w:szCs w:val="18"/>
        </w:rPr>
        <w:t>dochody bieżące</w:t>
      </w:r>
      <w:r w:rsidR="002952B3" w:rsidRPr="00827B82">
        <w:rPr>
          <w:rFonts w:ascii="Verdana" w:hAnsi="Verdana"/>
          <w:b/>
          <w:i/>
          <w:sz w:val="18"/>
          <w:szCs w:val="18"/>
        </w:rPr>
        <w:tab/>
      </w:r>
      <w:r w:rsidR="002952B3" w:rsidRPr="00827B82">
        <w:rPr>
          <w:rFonts w:ascii="Verdana" w:hAnsi="Verdana"/>
          <w:b/>
          <w:i/>
          <w:sz w:val="18"/>
          <w:szCs w:val="18"/>
        </w:rPr>
        <w:tab/>
      </w:r>
      <w:r w:rsidR="002952B3" w:rsidRPr="00827B82">
        <w:rPr>
          <w:rFonts w:ascii="Verdana" w:hAnsi="Verdana"/>
          <w:i/>
          <w:sz w:val="18"/>
          <w:szCs w:val="18"/>
        </w:rPr>
        <w:tab/>
      </w:r>
      <w:r w:rsidR="009D7579" w:rsidRPr="009D7579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4 805 432 814 zł,</w:t>
      </w:r>
    </w:p>
    <w:p w:rsidR="009D7579" w:rsidRPr="009D7579" w:rsidRDefault="00113A4B" w:rsidP="009D7579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6A0566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dochody majątkowe</w:t>
      </w:r>
      <w:r w:rsidR="002952B3" w:rsidRPr="006A0566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2952B3" w:rsidRPr="006A0566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 w:rsidRPr="006A0566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D769BB" w:rsidRPr="009D7579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 </w:t>
      </w:r>
      <w:r w:rsidR="002952B3" w:rsidRPr="009D7579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9D7579" w:rsidRPr="009D7579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149 321 578 zł,</w:t>
      </w:r>
    </w:p>
    <w:p w:rsidR="00F13D4E" w:rsidRPr="00A60F0B" w:rsidRDefault="00F13D4E" w:rsidP="009B2092">
      <w:pPr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9D7579" w:rsidRPr="009D7579" w:rsidRDefault="00113A4B" w:rsidP="009D7579">
      <w:pPr>
        <w:jc w:val="both"/>
        <w:rPr>
          <w:rFonts w:ascii="Verdana" w:eastAsia="Times New Roman" w:hAnsi="Verdana" w:cs="Arial CE"/>
          <w:b/>
          <w:bCs/>
          <w:sz w:val="18"/>
          <w:szCs w:val="18"/>
          <w:lang w:eastAsia="pl-PL"/>
        </w:rPr>
      </w:pPr>
      <w:r w:rsidRPr="006A056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Wydatki </w:t>
      </w:r>
      <w:r w:rsidR="002952B3" w:rsidRPr="006A0566">
        <w:rPr>
          <w:rFonts w:ascii="Verdana" w:eastAsia="Times New Roman" w:hAnsi="Verdana" w:cs="Times New Roman"/>
          <w:b/>
          <w:sz w:val="18"/>
          <w:szCs w:val="18"/>
          <w:lang w:eastAsia="pl-PL"/>
        </w:rPr>
        <w:t>ogółem</w:t>
      </w:r>
      <w:r w:rsidR="00A564AE" w:rsidRPr="006A056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2952B3" w:rsidRPr="006A056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A564AE" w:rsidRPr="006A056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9D7579" w:rsidRPr="009D7579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4 700 100</w:t>
      </w:r>
      <w:r w:rsidR="009D7579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 </w:t>
      </w:r>
      <w:r w:rsidR="009D7579" w:rsidRPr="009D7579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928</w:t>
      </w:r>
      <w:r w:rsidR="009D7579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zł,</w:t>
      </w:r>
    </w:p>
    <w:p w:rsidR="00113A4B" w:rsidRPr="00827B82" w:rsidRDefault="009B2092" w:rsidP="009D7579">
      <w:pPr>
        <w:jc w:val="both"/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</w:pPr>
      <w:r w:rsidRPr="00A60F0B">
        <w:rPr>
          <w:rFonts w:ascii="Verdana" w:eastAsia="Times New Roman" w:hAnsi="Verdana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 wp14:anchorId="43B9A3E9" wp14:editId="43D1ECF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827B82">
        <w:rPr>
          <w:rFonts w:ascii="Verdana" w:eastAsia="Times New Roman" w:hAnsi="Verdana" w:cs="Times New Roman"/>
          <w:bCs/>
          <w:i/>
          <w:sz w:val="18"/>
          <w:szCs w:val="18"/>
          <w:lang w:eastAsia="pl-PL"/>
        </w:rPr>
        <w:t>z tego:</w:t>
      </w:r>
    </w:p>
    <w:p w:rsidR="009D7579" w:rsidRPr="009D7579" w:rsidRDefault="00113A4B" w:rsidP="009D7579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wydatki bieżące</w:t>
      </w:r>
      <w:r w:rsidR="002952B3" w:rsidRP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 w:rsidRP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1D2916" w:rsidRPr="00A60F0B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          </w:t>
      </w:r>
      <w:r w:rsidR="009D7579" w:rsidRPr="009D7579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4 355 803 806 zł,</w:t>
      </w:r>
    </w:p>
    <w:p w:rsidR="009D7579" w:rsidRPr="009D7579" w:rsidRDefault="00113A4B" w:rsidP="009D7579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wydatki majątkowe</w:t>
      </w:r>
      <w:r w:rsid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827B82">
        <w:rPr>
          <w:rFonts w:ascii="Verdana" w:eastAsia="Times New Roman" w:hAnsi="Verdana" w:cs="Times New Roman"/>
          <w:i/>
          <w:sz w:val="18"/>
          <w:szCs w:val="18"/>
          <w:lang w:eastAsia="pl-PL"/>
        </w:rPr>
        <w:tab/>
      </w:r>
      <w:r w:rsidR="001D2916" w:rsidRPr="009D7579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 </w:t>
      </w:r>
      <w:r w:rsidR="009D7579" w:rsidRPr="009D7579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344 297 121 zł.</w:t>
      </w:r>
    </w:p>
    <w:p w:rsidR="009B2092" w:rsidRPr="009B2092" w:rsidRDefault="009B2092" w:rsidP="009B2092">
      <w:pPr>
        <w:jc w:val="both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</w:p>
    <w:p w:rsidR="00AF7EFB" w:rsidRPr="00827B82" w:rsidRDefault="00AF7EFB" w:rsidP="003159C4">
      <w:pPr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3975E6" w:rsidRPr="003975E6" w:rsidRDefault="00045622" w:rsidP="003975E6">
      <w:pPr>
        <w:jc w:val="both"/>
        <w:rPr>
          <w:rFonts w:ascii="Verdana" w:eastAsia="Times New Roman" w:hAnsi="Verdana" w:cs="Arial CE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Na koniec </w:t>
      </w:r>
      <w:r w:rsidR="00A60F0B">
        <w:rPr>
          <w:rFonts w:ascii="Verdana" w:eastAsia="Times New Roman" w:hAnsi="Verdana" w:cs="Times New Roman"/>
          <w:b/>
          <w:sz w:val="18"/>
          <w:szCs w:val="18"/>
          <w:lang w:eastAsia="pl-PL"/>
        </w:rPr>
        <w:t>I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kwartału 20</w:t>
      </w:r>
      <w:r w:rsidR="003975E6">
        <w:rPr>
          <w:rFonts w:ascii="Verdana" w:eastAsia="Times New Roman" w:hAnsi="Verdana" w:cs="Times New Roman"/>
          <w:b/>
          <w:sz w:val="18"/>
          <w:szCs w:val="18"/>
          <w:lang w:eastAsia="pl-PL"/>
        </w:rPr>
        <w:t>20</w:t>
      </w: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r. uzyskano </w:t>
      </w:r>
      <w:r w:rsidR="00315FE6" w:rsidRPr="006601CD">
        <w:rPr>
          <w:rFonts w:ascii="Verdana" w:eastAsia="Times New Roman" w:hAnsi="Verdana" w:cs="Times New Roman"/>
          <w:b/>
          <w:sz w:val="18"/>
          <w:szCs w:val="18"/>
          <w:lang w:eastAsia="pl-PL"/>
        </w:rPr>
        <w:t>nadwyżk</w:t>
      </w:r>
      <w:r w:rsidRPr="006601CD">
        <w:rPr>
          <w:rFonts w:ascii="Verdana" w:eastAsia="Times New Roman" w:hAnsi="Verdana" w:cs="Times New Roman"/>
          <w:b/>
          <w:sz w:val="18"/>
          <w:szCs w:val="18"/>
          <w:lang w:eastAsia="pl-PL"/>
        </w:rPr>
        <w:t>ę</w:t>
      </w:r>
      <w:r w:rsidR="00315FE6" w:rsidRPr="006601CD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budżetow</w:t>
      </w:r>
      <w:r w:rsidRPr="006601CD">
        <w:rPr>
          <w:rFonts w:ascii="Verdana" w:eastAsia="Times New Roman" w:hAnsi="Verdana" w:cs="Times New Roman"/>
          <w:b/>
          <w:sz w:val="18"/>
          <w:szCs w:val="18"/>
          <w:lang w:eastAsia="pl-PL"/>
        </w:rPr>
        <w:t>ą</w:t>
      </w:r>
      <w:r w:rsidR="00315FE6" w:rsidRPr="00827B8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kwocie </w:t>
      </w:r>
      <w:r w:rsidR="003975E6" w:rsidRPr="003975E6">
        <w:rPr>
          <w:rFonts w:ascii="Arial CE" w:hAnsi="Arial CE" w:cs="Arial CE"/>
          <w:b/>
          <w:bCs/>
        </w:rPr>
        <w:t xml:space="preserve"> </w:t>
      </w:r>
      <w:r w:rsidR="003975E6" w:rsidRPr="003975E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254 653</w:t>
      </w:r>
      <w:r w:rsidR="003975E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 </w:t>
      </w:r>
      <w:r w:rsidR="003975E6" w:rsidRPr="003975E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464</w:t>
      </w:r>
      <w:r w:rsidR="003975E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zł.</w:t>
      </w:r>
    </w:p>
    <w:p w:rsidR="006B0300" w:rsidRPr="00827B82" w:rsidRDefault="003975E6" w:rsidP="001456A7">
      <w:pPr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</w:t>
      </w:r>
      <w:r w:rsidR="006B0300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ochody budżetowe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zostały zrealizowane 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na </w:t>
      </w:r>
      <w:r w:rsidR="00045622" w:rsidRPr="006A0566">
        <w:rPr>
          <w:rFonts w:ascii="Verdana" w:eastAsia="Times New Roman" w:hAnsi="Verdana" w:cs="Times New Roman"/>
          <w:bCs/>
          <w:sz w:val="18"/>
          <w:szCs w:val="18"/>
          <w:lang w:eastAsia="pl-PL"/>
        </w:rPr>
        <w:t>poziomie</w:t>
      </w:r>
      <w:r w:rsidR="006B0300" w:rsidRPr="006A0566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3975E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25,18</w:t>
      </w:r>
      <w:r w:rsidR="006A0566" w:rsidRPr="00A60F0B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%</w:t>
      </w:r>
      <w:r w:rsidR="00E8320E" w:rsidRPr="00E8320E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6B0300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planu</w:t>
      </w:r>
      <w:r w:rsidR="006F069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, </w:t>
      </w:r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tj. o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0,18</w:t>
      </w:r>
      <w:r w:rsidR="001456A7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>p.p. powyżej wskaźnika wynikającego z upływu czasu.</w:t>
      </w:r>
      <w:r w:rsidR="006B0300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W</w:t>
      </w:r>
      <w:r w:rsidR="00AF7EFB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stosunku do</w:t>
      </w:r>
      <w:r w:rsid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kwartału ub. r.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6B0300"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dochody </w:t>
      </w:r>
      <w:r w:rsidR="00045622"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są wyższe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6B0300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o</w:t>
      </w:r>
      <w:r w:rsidR="00AF7EFB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> </w:t>
      </w:r>
      <w:r w:rsidR="001456A7">
        <w:rPr>
          <w:rFonts w:ascii="Verdana" w:eastAsia="Times New Roman" w:hAnsi="Verdana" w:cs="Times New Roman"/>
          <w:bCs/>
          <w:sz w:val="18"/>
          <w:szCs w:val="18"/>
          <w:lang w:eastAsia="pl-PL"/>
        </w:rPr>
        <w:br/>
      </w:r>
      <w:r w:rsidRPr="003975E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406 955 144</w:t>
      </w:r>
      <w:r w:rsidR="006A0566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 xml:space="preserve"> mln zł</w:t>
      </w:r>
      <w:r w:rsidR="002C2DF3" w:rsidRPr="00CA2FA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, tj. o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8,95</w:t>
      </w:r>
      <w:r w:rsidR="000C5BFD" w:rsidRPr="00CA2FA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</w:t>
      </w:r>
      <w:r w:rsidR="006B0300" w:rsidRPr="00CA2FA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.</w:t>
      </w:r>
      <w:r w:rsidR="006B0300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</w:p>
    <w:p w:rsidR="00F13023" w:rsidRPr="00827B82" w:rsidRDefault="00F13023" w:rsidP="00710541">
      <w:pPr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Zrealizowane </w:t>
      </w:r>
      <w:r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dochody bieżące</w:t>
      </w: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stanowią </w:t>
      </w:r>
      <w:r w:rsidR="003975E6" w:rsidRPr="003975E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25,25</w:t>
      </w:r>
      <w:r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% planu. </w:t>
      </w: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 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stosunku do </w:t>
      </w:r>
      <w:r w:rsidR="00A60F0B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04562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kwartału ub. r.</w:t>
      </w:r>
      <w:r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045622" w:rsidRPr="00483ADA">
        <w:rPr>
          <w:rFonts w:ascii="Verdana" w:eastAsia="Times New Roman" w:hAnsi="Verdana" w:cs="Times New Roman"/>
          <w:bCs/>
          <w:sz w:val="18"/>
          <w:szCs w:val="18"/>
          <w:lang w:eastAsia="pl-PL"/>
        </w:rPr>
        <w:t>są </w:t>
      </w:r>
      <w:r w:rsidR="00045622"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wyższe </w:t>
      </w:r>
      <w:r w:rsidRPr="003975E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 </w:t>
      </w:r>
      <w:r w:rsidR="003975E6" w:rsidRPr="003975E6">
        <w:rPr>
          <w:rFonts w:ascii="Verdana" w:eastAsia="Times New Roman" w:hAnsi="Verdana" w:cs="Arial CE"/>
          <w:b/>
          <w:sz w:val="18"/>
          <w:szCs w:val="18"/>
          <w:lang w:eastAsia="pl-PL"/>
        </w:rPr>
        <w:t>370 973 255</w:t>
      </w:r>
      <w:r w:rsidR="00110C29" w:rsidRPr="00A60F0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zł</w:t>
      </w:r>
      <w:r w:rsidR="00110C2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,</w:t>
      </w:r>
      <w:r w:rsidR="00710541">
        <w:rPr>
          <w:rFonts w:ascii="Arial CE" w:eastAsia="Times New Roman" w:hAnsi="Arial CE" w:cs="Arial CE"/>
          <w:b/>
          <w:sz w:val="20"/>
          <w:szCs w:val="20"/>
          <w:lang w:eastAsia="pl-PL"/>
        </w:rPr>
        <w:t xml:space="preserve"> </w:t>
      </w:r>
      <w:r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tj. o </w:t>
      </w:r>
      <w:r w:rsidR="003975E6">
        <w:rPr>
          <w:rFonts w:ascii="Verdana" w:eastAsia="Times New Roman" w:hAnsi="Verdana" w:cs="Times New Roman"/>
          <w:b/>
          <w:sz w:val="18"/>
          <w:szCs w:val="18"/>
          <w:lang w:eastAsia="pl-PL"/>
        </w:rPr>
        <w:t>8,37</w:t>
      </w:r>
      <w:r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>%.</w:t>
      </w:r>
    </w:p>
    <w:p w:rsidR="005F2664" w:rsidRPr="00827B82" w:rsidRDefault="00045622" w:rsidP="00240159">
      <w:pPr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Zrealizowane </w:t>
      </w:r>
      <w:r w:rsidR="00F13023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dochody majątkowe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stanowią </w:t>
      </w:r>
      <w:r w:rsidR="003975E6" w:rsidRPr="003975E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22,98</w:t>
      </w:r>
      <w:r w:rsidR="00F13023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% planu. 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 stosunku do </w:t>
      </w:r>
      <w:r w:rsidR="00A60F0B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F13023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kwartału ub.r. </w:t>
      </w:r>
      <w:r w:rsidRPr="00483ADA">
        <w:rPr>
          <w:rFonts w:ascii="Verdana" w:eastAsia="Times New Roman" w:hAnsi="Verdana" w:cs="Times New Roman"/>
          <w:bCs/>
          <w:sz w:val="18"/>
          <w:szCs w:val="18"/>
          <w:lang w:eastAsia="pl-PL"/>
        </w:rPr>
        <w:t>są</w:t>
      </w:r>
      <w:r w:rsidRPr="0004562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 </w:t>
      </w:r>
      <w:r w:rsidR="003975E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wyższe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710541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o </w:t>
      </w:r>
      <w:r w:rsidR="003975E6" w:rsidRPr="003975E6">
        <w:rPr>
          <w:rFonts w:ascii="Verdana" w:eastAsia="Times New Roman" w:hAnsi="Verdana" w:cs="Arial CE"/>
          <w:b/>
          <w:sz w:val="18"/>
          <w:szCs w:val="18"/>
          <w:lang w:eastAsia="pl-PL"/>
        </w:rPr>
        <w:t>35 981 889</w:t>
      </w:r>
      <w:r w:rsidR="005F2664" w:rsidRPr="003975E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zł</w:t>
      </w:r>
      <w:r w:rsidR="00710541" w:rsidRPr="003975E6">
        <w:rPr>
          <w:rFonts w:ascii="Verdana" w:eastAsia="Times New Roman" w:hAnsi="Verdana" w:cs="Times New Roman"/>
          <w:b/>
          <w:sz w:val="18"/>
          <w:szCs w:val="18"/>
          <w:lang w:eastAsia="pl-PL"/>
        </w:rPr>
        <w:t>,</w:t>
      </w:r>
      <w:r w:rsidR="005F2664"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tj. o </w:t>
      </w:r>
      <w:r w:rsidR="00A72C4A">
        <w:rPr>
          <w:rFonts w:ascii="Verdana" w:eastAsia="Times New Roman" w:hAnsi="Verdana" w:cs="Times New Roman"/>
          <w:b/>
          <w:sz w:val="18"/>
          <w:szCs w:val="18"/>
          <w:lang w:eastAsia="pl-PL"/>
        </w:rPr>
        <w:t>3</w:t>
      </w:r>
      <w:r w:rsidR="003975E6">
        <w:rPr>
          <w:rFonts w:ascii="Verdana" w:eastAsia="Times New Roman" w:hAnsi="Verdana" w:cs="Times New Roman"/>
          <w:b/>
          <w:sz w:val="18"/>
          <w:szCs w:val="18"/>
          <w:lang w:eastAsia="pl-PL"/>
        </w:rPr>
        <w:t>1,75</w:t>
      </w:r>
      <w:r w:rsidR="005F2664" w:rsidRPr="00827B82">
        <w:rPr>
          <w:rFonts w:ascii="Verdana" w:eastAsia="Times New Roman" w:hAnsi="Verdana" w:cs="Times New Roman"/>
          <w:b/>
          <w:sz w:val="18"/>
          <w:szCs w:val="18"/>
          <w:lang w:eastAsia="pl-PL"/>
        </w:rPr>
        <w:t>%.</w:t>
      </w:r>
    </w:p>
    <w:p w:rsidR="00AF7EFB" w:rsidRPr="00827B82" w:rsidRDefault="00AF7EFB" w:rsidP="00AF7EFB">
      <w:pPr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A72C4A" w:rsidRPr="000C7B71" w:rsidRDefault="006F0698" w:rsidP="000C7B71">
      <w:pPr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Na dochody </w:t>
      </w:r>
      <w:r w:rsidR="00BD4512" w:rsidRPr="00827B82">
        <w:rPr>
          <w:rFonts w:ascii="Verdana" w:eastAsia="Times New Roman" w:hAnsi="Verdana" w:cs="Times New Roman"/>
          <w:sz w:val="18"/>
          <w:szCs w:val="18"/>
          <w:lang w:eastAsia="pl-PL"/>
        </w:rPr>
        <w:t>budżetow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e </w:t>
      </w:r>
      <w:r w:rsidR="00A72C4A">
        <w:rPr>
          <w:rFonts w:ascii="Verdana" w:eastAsia="Times New Roman" w:hAnsi="Verdana" w:cs="Times New Roman"/>
          <w:sz w:val="18"/>
          <w:szCs w:val="18"/>
          <w:lang w:eastAsia="pl-PL"/>
        </w:rPr>
        <w:t>I</w:t>
      </w:r>
      <w:r w:rsidR="00BD4512" w:rsidRPr="00827B8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kwartału 20</w:t>
      </w:r>
      <w:r w:rsidR="003975E6">
        <w:rPr>
          <w:rFonts w:ascii="Verdana" w:eastAsia="Times New Roman" w:hAnsi="Verdana" w:cs="Times New Roman"/>
          <w:sz w:val="18"/>
          <w:szCs w:val="18"/>
          <w:lang w:eastAsia="pl-PL"/>
        </w:rPr>
        <w:t>20</w:t>
      </w:r>
      <w:r w:rsidR="00BD4512" w:rsidRPr="00827B8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r.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składają się m.in.:</w:t>
      </w:r>
      <w:r w:rsidR="005D2009"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240159" w:rsidRPr="00FC452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A72C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</w:t>
      </w:r>
      <w:r w:rsidR="004A0DB2" w:rsidRPr="00FC452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:rsidR="003975E6" w:rsidRPr="003975E6" w:rsidRDefault="00A72C4A" w:rsidP="003975E6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72C4A"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  <w:tab/>
      </w:r>
    </w:p>
    <w:p w:rsidR="00FC4526" w:rsidRPr="000C7B71" w:rsidRDefault="003975E6" w:rsidP="0081618F">
      <w:pPr>
        <w:pStyle w:val="Akapitzlist"/>
        <w:numPr>
          <w:ilvl w:val="0"/>
          <w:numId w:val="4"/>
        </w:numPr>
        <w:tabs>
          <w:tab w:val="right" w:pos="6521"/>
        </w:tabs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A72C4A">
        <w:rPr>
          <w:rFonts w:ascii="Verdana" w:eastAsia="Times New Roman" w:hAnsi="Verdana" w:cs="Times New Roman"/>
          <w:sz w:val="18"/>
          <w:szCs w:val="18"/>
          <w:lang w:eastAsia="pl-PL"/>
        </w:rPr>
        <w:t>dochody z PIT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pl-PL"/>
        </w:rPr>
        <w:t xml:space="preserve">                                      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 </w:t>
      </w:r>
      <w:r w:rsidRPr="000C7B71">
        <w:rPr>
          <w:rFonts w:ascii="Verdana" w:eastAsia="Times New Roman" w:hAnsi="Verdana" w:cs="Arial"/>
          <w:sz w:val="18"/>
          <w:szCs w:val="18"/>
          <w:lang w:eastAsia="pl-PL"/>
        </w:rPr>
        <w:t>1 328</w:t>
      </w:r>
      <w:r w:rsidR="000C7B71">
        <w:rPr>
          <w:rFonts w:ascii="Verdana" w:eastAsia="Times New Roman" w:hAnsi="Verdana" w:cs="Arial"/>
          <w:sz w:val="18"/>
          <w:szCs w:val="18"/>
          <w:lang w:eastAsia="pl-PL"/>
        </w:rPr>
        <w:t> </w:t>
      </w:r>
      <w:r w:rsidRPr="000C7B71">
        <w:rPr>
          <w:rFonts w:ascii="Verdana" w:eastAsia="Times New Roman" w:hAnsi="Verdana" w:cs="Arial"/>
          <w:sz w:val="18"/>
          <w:szCs w:val="18"/>
          <w:lang w:eastAsia="pl-PL"/>
        </w:rPr>
        <w:t>151</w:t>
      </w:r>
      <w:r w:rsidR="000C7B71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0C7B71" w:rsidRPr="000C7B71">
        <w:rPr>
          <w:rFonts w:ascii="Verdana" w:eastAsia="Times New Roman" w:hAnsi="Verdana" w:cs="Arial"/>
          <w:sz w:val="18"/>
          <w:szCs w:val="18"/>
          <w:lang w:eastAsia="pl-PL"/>
        </w:rPr>
        <w:t>959 zł</w:t>
      </w:r>
      <w:r w:rsidR="00603637"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:rsidR="00A72C4A" w:rsidRDefault="00A72C4A" w:rsidP="000C7B71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C452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subwencja oświatowa  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</w:t>
      </w:r>
      <w:r w:rsidR="000C7B7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863 831 510</w:t>
      </w:r>
      <w:r w:rsidRPr="00A72C4A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:rsidR="004A0FD8" w:rsidRPr="004A0FD8" w:rsidRDefault="00A72C4A" w:rsidP="000C7B71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C4526">
        <w:rPr>
          <w:rFonts w:ascii="Verdana" w:eastAsia="Times New Roman" w:hAnsi="Verdana" w:cs="Times New Roman"/>
          <w:sz w:val="18"/>
          <w:szCs w:val="18"/>
          <w:lang w:eastAsia="pl-PL"/>
        </w:rPr>
        <w:t>dotacje z budżetu państwa</w:t>
      </w:r>
      <w:r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</w:t>
      </w:r>
      <w:r w:rsidR="000C7B7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650 </w:t>
      </w:r>
      <w:r w:rsidR="001F22F0">
        <w:rPr>
          <w:rFonts w:ascii="Verdana" w:eastAsia="Times New Roman" w:hAnsi="Verdana" w:cs="Times New Roman"/>
          <w:sz w:val="18"/>
          <w:szCs w:val="18"/>
          <w:lang w:eastAsia="pl-PL"/>
        </w:rPr>
        <w:t>76</w:t>
      </w:r>
      <w:r w:rsidR="000C7B71">
        <w:rPr>
          <w:rFonts w:ascii="Verdana" w:eastAsia="Times New Roman" w:hAnsi="Verdana" w:cs="Times New Roman"/>
          <w:sz w:val="18"/>
          <w:szCs w:val="18"/>
          <w:lang w:eastAsia="pl-PL"/>
        </w:rPr>
        <w:t>3 789</w:t>
      </w:r>
      <w:r w:rsidRPr="00A72C4A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:rsidR="000C7B71" w:rsidRPr="000C7B71" w:rsidRDefault="000C7B71" w:rsidP="000C7B71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4A0FD8">
        <w:rPr>
          <w:rFonts w:ascii="Verdana" w:eastAsia="Times New Roman" w:hAnsi="Verdana" w:cs="Times New Roman"/>
          <w:sz w:val="18"/>
          <w:szCs w:val="18"/>
          <w:lang w:eastAsia="pl-PL"/>
        </w:rPr>
        <w:t>dochody z CIT</w:t>
      </w:r>
      <w:r w:rsidRPr="004A0FD8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               405 164 630</w:t>
      </w:r>
      <w:r w:rsidRPr="004A0FD8"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:rsidR="000C7B71" w:rsidRDefault="000C7B71" w:rsidP="000C7B71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C4526">
        <w:rPr>
          <w:rFonts w:ascii="Verdana" w:eastAsia="Times New Roman" w:hAnsi="Verdana" w:cs="Times New Roman"/>
          <w:sz w:val="18"/>
          <w:szCs w:val="18"/>
          <w:lang w:eastAsia="pl-PL"/>
        </w:rPr>
        <w:t>dochody z mienia</w:t>
      </w:r>
      <w:r w:rsidRPr="00A72C4A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                                           325 590 951</w:t>
      </w:r>
      <w:r w:rsidRPr="00FC4526"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:rsidR="00A368FB" w:rsidRDefault="00A368FB" w:rsidP="000C7B71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C4526">
        <w:rPr>
          <w:rFonts w:ascii="Verdana" w:eastAsia="Times New Roman" w:hAnsi="Verdana" w:cs="Times New Roman"/>
          <w:sz w:val="18"/>
          <w:szCs w:val="18"/>
          <w:lang w:eastAsia="pl-PL"/>
        </w:rPr>
        <w:t>podatek od nieruchomości</w:t>
      </w:r>
      <w:r w:rsidRPr="00A72C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</w:t>
      </w:r>
      <w:r w:rsidR="000C7B71">
        <w:rPr>
          <w:rFonts w:ascii="Verdana" w:eastAsia="Times New Roman" w:hAnsi="Verdana" w:cs="Times New Roman"/>
          <w:sz w:val="18"/>
          <w:szCs w:val="18"/>
          <w:lang w:eastAsia="pl-PL"/>
        </w:rPr>
        <w:t>229 117 707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 w:rsidR="000C7B71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:rsidR="004A0FD8" w:rsidRPr="000C7B71" w:rsidRDefault="004A0FD8" w:rsidP="000C7B71">
      <w:pPr>
        <w:spacing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4A0FD8" w:rsidRDefault="004A0FD8" w:rsidP="004A0FD8">
      <w:pPr>
        <w:pStyle w:val="Akapitzlist"/>
        <w:spacing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FC4526" w:rsidRPr="00FC4526" w:rsidRDefault="008E4F6C" w:rsidP="004A0FD8">
      <w:pPr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5D2009"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170256" w:rsidRPr="00FC4526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="00240159" w:rsidRPr="00FC452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</w:p>
    <w:p w:rsidR="00AF7EFB" w:rsidRPr="00827B82" w:rsidRDefault="00307492" w:rsidP="004A0FD8">
      <w:pPr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Wydatki budżetowe</w:t>
      </w:r>
      <w:r w:rsidRPr="00827B82">
        <w:rPr>
          <w:rFonts w:ascii="Verdana" w:eastAsia="Times New Roman" w:hAnsi="Verdana" w:cs="Arial"/>
          <w:sz w:val="18"/>
          <w:szCs w:val="18"/>
          <w:lang w:eastAsia="pl-PL"/>
        </w:rPr>
        <w:t xml:space="preserve"> zostały zrealizowane </w:t>
      </w:r>
      <w:r w:rsidR="00045622">
        <w:rPr>
          <w:rFonts w:ascii="Verdana" w:eastAsia="Times New Roman" w:hAnsi="Verdana" w:cs="Arial"/>
          <w:sz w:val="18"/>
          <w:szCs w:val="18"/>
          <w:lang w:eastAsia="pl-PL"/>
        </w:rPr>
        <w:t xml:space="preserve">na poziomie </w:t>
      </w:r>
      <w:r w:rsidR="000C7B71" w:rsidRPr="000C7B71">
        <w:rPr>
          <w:rFonts w:ascii="Verdana" w:eastAsia="Times New Roman" w:hAnsi="Verdana" w:cs="Arial"/>
          <w:b/>
          <w:sz w:val="18"/>
          <w:szCs w:val="18"/>
          <w:lang w:eastAsia="pl-PL"/>
        </w:rPr>
        <w:t>20,83</w:t>
      </w:r>
      <w:r w:rsidR="00692D37"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% planu</w:t>
      </w:r>
      <w:r w:rsidR="006F0698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, tj. o </w:t>
      </w:r>
      <w:r w:rsidR="000C7B71">
        <w:rPr>
          <w:rFonts w:ascii="Verdana" w:eastAsia="Times New Roman" w:hAnsi="Verdana" w:cs="Arial"/>
          <w:b/>
          <w:sz w:val="18"/>
          <w:szCs w:val="18"/>
          <w:lang w:eastAsia="pl-PL"/>
        </w:rPr>
        <w:t>4,17</w:t>
      </w:r>
      <w:r w:rsidR="006F0698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p.p</w:t>
      </w:r>
      <w:r w:rsidR="00692D37" w:rsidRPr="00827B82">
        <w:rPr>
          <w:rFonts w:ascii="Verdana" w:eastAsia="Times New Roman" w:hAnsi="Verdana" w:cs="Arial"/>
          <w:sz w:val="18"/>
          <w:szCs w:val="18"/>
          <w:lang w:eastAsia="pl-PL"/>
        </w:rPr>
        <w:t xml:space="preserve">. </w:t>
      </w:r>
      <w:r w:rsidR="006F0698">
        <w:rPr>
          <w:rFonts w:ascii="Verdana" w:eastAsia="Times New Roman" w:hAnsi="Verdana" w:cs="Arial"/>
          <w:sz w:val="18"/>
          <w:szCs w:val="18"/>
          <w:lang w:eastAsia="pl-PL"/>
        </w:rPr>
        <w:t xml:space="preserve">poniżej wskaźnika wynikającego z upływu czasu. </w:t>
      </w:r>
      <w:r w:rsidR="00692D37" w:rsidRPr="00827B82">
        <w:rPr>
          <w:rFonts w:ascii="Verdana" w:eastAsia="Times New Roman" w:hAnsi="Verdana" w:cs="Arial"/>
          <w:sz w:val="18"/>
          <w:szCs w:val="18"/>
          <w:lang w:eastAsia="pl-PL"/>
        </w:rPr>
        <w:t xml:space="preserve">W stosunku do </w:t>
      </w:r>
      <w:r w:rsidR="004A0FD8">
        <w:rPr>
          <w:rFonts w:ascii="Verdana" w:eastAsia="Times New Roman" w:hAnsi="Verdana" w:cs="Arial"/>
          <w:sz w:val="18"/>
          <w:szCs w:val="18"/>
          <w:lang w:eastAsia="pl-PL"/>
        </w:rPr>
        <w:t>I</w:t>
      </w:r>
      <w:r w:rsidR="00045622">
        <w:rPr>
          <w:rFonts w:ascii="Verdana" w:eastAsia="Times New Roman" w:hAnsi="Verdana" w:cs="Arial"/>
          <w:sz w:val="18"/>
          <w:szCs w:val="18"/>
          <w:lang w:eastAsia="pl-PL"/>
        </w:rPr>
        <w:t xml:space="preserve"> kwartału ub. r. </w:t>
      </w:r>
      <w:r w:rsidR="00906676" w:rsidRPr="00906676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wydatki </w:t>
      </w:r>
      <w:r w:rsidR="00045622" w:rsidRPr="00906676">
        <w:rPr>
          <w:rFonts w:ascii="Verdana" w:eastAsia="Times New Roman" w:hAnsi="Verdana" w:cs="Arial"/>
          <w:b/>
          <w:sz w:val="18"/>
          <w:szCs w:val="18"/>
          <w:lang w:eastAsia="pl-PL"/>
        </w:rPr>
        <w:t>s</w:t>
      </w:r>
      <w:r w:rsidR="00045622" w:rsidRPr="00045622">
        <w:rPr>
          <w:rFonts w:ascii="Verdana" w:eastAsia="Times New Roman" w:hAnsi="Verdana" w:cs="Arial"/>
          <w:b/>
          <w:sz w:val="18"/>
          <w:szCs w:val="18"/>
          <w:lang w:eastAsia="pl-PL"/>
        </w:rPr>
        <w:t>ą wyższe</w:t>
      </w:r>
      <w:r w:rsidR="00045622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692D37" w:rsidRPr="00827B82">
        <w:rPr>
          <w:rFonts w:ascii="Verdana" w:eastAsia="Times New Roman" w:hAnsi="Verdana" w:cs="Arial"/>
          <w:sz w:val="18"/>
          <w:szCs w:val="18"/>
          <w:lang w:eastAsia="pl-PL"/>
        </w:rPr>
        <w:t>o</w:t>
      </w:r>
      <w:r w:rsidR="004A0FD8">
        <w:rPr>
          <w:rFonts w:ascii="Verdana" w:eastAsia="Times New Roman" w:hAnsi="Verdana" w:cs="Arial"/>
          <w:sz w:val="18"/>
          <w:szCs w:val="18"/>
          <w:lang w:eastAsia="pl-PL"/>
        </w:rPr>
        <w:br/>
      </w:r>
      <w:r w:rsidR="006F0698" w:rsidRPr="000C7B71">
        <w:rPr>
          <w:rFonts w:ascii="Verdana" w:eastAsia="Times New Roman" w:hAnsi="Verdana" w:cs="Arial"/>
          <w:sz w:val="18"/>
          <w:szCs w:val="18"/>
          <w:lang w:eastAsia="pl-PL"/>
        </w:rPr>
        <w:t> </w:t>
      </w:r>
      <w:r w:rsidR="000C7B71" w:rsidRPr="000C7B71">
        <w:rPr>
          <w:rFonts w:ascii="Verdana" w:eastAsia="Times New Roman" w:hAnsi="Verdana" w:cs="Arial CE"/>
          <w:b/>
          <w:bCs/>
          <w:sz w:val="18"/>
          <w:szCs w:val="18"/>
          <w:lang w:eastAsia="pl-PL"/>
        </w:rPr>
        <w:t>935 130 976 z</w:t>
      </w:r>
      <w:r w:rsidR="000C7B71">
        <w:rPr>
          <w:rFonts w:ascii="Arial CE" w:eastAsia="Times New Roman" w:hAnsi="Arial CE" w:cs="Arial CE"/>
          <w:b/>
          <w:bCs/>
          <w:lang w:eastAsia="pl-PL"/>
        </w:rPr>
        <w:t>ł</w:t>
      </w:r>
      <w:r w:rsidR="00322226" w:rsidRPr="00E55AA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, tj</w:t>
      </w:r>
      <w:r w:rsidR="00322226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. o </w:t>
      </w:r>
      <w:r w:rsidR="000C7B71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24,84</w:t>
      </w:r>
      <w:r w:rsidR="00322226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%.</w:t>
      </w:r>
    </w:p>
    <w:p w:rsidR="007C6FF2" w:rsidRDefault="006F0698" w:rsidP="004A0FD8">
      <w:pPr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</w:t>
      </w:r>
      <w:r w:rsidR="00692D37" w:rsidRPr="00827B8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ydatki bieżące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zrealizowano na poziomie</w:t>
      </w:r>
      <w:r w:rsid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2255EA" w:rsidRPr="002255E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22,78</w:t>
      </w:r>
      <w:r w:rsidR="001D2154" w:rsidRPr="002255E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% planu</w:t>
      </w:r>
      <w:r w:rsidR="001D2154" w:rsidRPr="00827B8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. W </w:t>
      </w:r>
      <w:r w:rsid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>stosunku do</w:t>
      </w:r>
      <w:r w:rsidR="002255EA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I</w:t>
      </w:r>
      <w:r w:rsid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kwartału ub. </w:t>
      </w:r>
      <w:r w:rsidR="007C6FF2" w:rsidRPr="007C6FF2">
        <w:rPr>
          <w:rFonts w:ascii="Verdana" w:eastAsia="Times New Roman" w:hAnsi="Verdana" w:cs="Times New Roman"/>
          <w:bCs/>
          <w:sz w:val="18"/>
          <w:szCs w:val="18"/>
          <w:lang w:eastAsia="pl-PL"/>
        </w:rPr>
        <w:t>r.</w:t>
      </w:r>
      <w:r w:rsidR="007C6FF2" w:rsidRPr="007C6FF2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wzrosły </w:t>
      </w:r>
      <w:r w:rsidRPr="00483ADA">
        <w:rPr>
          <w:rFonts w:ascii="Verdana" w:eastAsia="Times New Roman" w:hAnsi="Verdana" w:cs="Times New Roman"/>
          <w:bCs/>
          <w:sz w:val="18"/>
          <w:szCs w:val="18"/>
          <w:lang w:eastAsia="pl-PL"/>
        </w:rPr>
        <w:t>one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1D2154" w:rsidRPr="002255EA">
        <w:rPr>
          <w:rFonts w:ascii="Verdana" w:hAnsi="Verdana" w:cs="Arial"/>
          <w:sz w:val="18"/>
          <w:szCs w:val="18"/>
        </w:rPr>
        <w:t>o</w:t>
      </w:r>
      <w:r w:rsidR="007C6FF2" w:rsidRPr="002255EA">
        <w:rPr>
          <w:rFonts w:ascii="Verdana" w:hAnsi="Verdana" w:cs="Arial"/>
          <w:b/>
          <w:sz w:val="18"/>
          <w:szCs w:val="18"/>
        </w:rPr>
        <w:t> </w:t>
      </w:r>
      <w:r w:rsidR="002255EA" w:rsidRPr="002255EA">
        <w:rPr>
          <w:rFonts w:ascii="Verdana" w:eastAsia="Times New Roman" w:hAnsi="Verdana" w:cs="Arial CE"/>
          <w:b/>
          <w:sz w:val="18"/>
          <w:szCs w:val="18"/>
          <w:lang w:eastAsia="pl-PL"/>
        </w:rPr>
        <w:t>812 009 830</w:t>
      </w:r>
      <w:r w:rsidR="004A0FD8">
        <w:rPr>
          <w:rFonts w:ascii="Verdana" w:eastAsia="Times New Roman" w:hAnsi="Verdana" w:cs="Arial CE"/>
          <w:b/>
          <w:sz w:val="18"/>
          <w:szCs w:val="18"/>
          <w:lang w:eastAsia="pl-PL"/>
        </w:rPr>
        <w:t xml:space="preserve"> </w:t>
      </w:r>
      <w:r w:rsidR="001D2154" w:rsidRPr="004A0FD8">
        <w:rPr>
          <w:rFonts w:ascii="Verdana" w:eastAsia="Times New Roman" w:hAnsi="Verdana" w:cs="Arial"/>
          <w:b/>
          <w:sz w:val="18"/>
          <w:szCs w:val="18"/>
          <w:lang w:eastAsia="pl-PL"/>
        </w:rPr>
        <w:t>z</w:t>
      </w:r>
      <w:r w:rsidRPr="004A0FD8">
        <w:rPr>
          <w:rFonts w:ascii="Verdana" w:eastAsia="Times New Roman" w:hAnsi="Verdana" w:cs="Arial"/>
          <w:b/>
          <w:sz w:val="18"/>
          <w:szCs w:val="18"/>
          <w:lang w:eastAsia="pl-PL"/>
        </w:rPr>
        <w:t>ł</w:t>
      </w:r>
      <w:r w:rsidR="00322226"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, tj. o</w:t>
      </w:r>
      <w:r w:rsidR="00762CD7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2255EA">
        <w:rPr>
          <w:rFonts w:ascii="Verdana" w:eastAsia="Times New Roman" w:hAnsi="Verdana" w:cs="Arial"/>
          <w:b/>
          <w:sz w:val="18"/>
          <w:szCs w:val="18"/>
          <w:lang w:eastAsia="pl-PL"/>
        </w:rPr>
        <w:t>22,91</w:t>
      </w:r>
      <w:r w:rsidR="00322226" w:rsidRPr="00827B82">
        <w:rPr>
          <w:rFonts w:ascii="Verdana" w:eastAsia="Times New Roman" w:hAnsi="Verdana" w:cs="Arial"/>
          <w:b/>
          <w:sz w:val="18"/>
          <w:szCs w:val="18"/>
          <w:lang w:eastAsia="pl-PL"/>
        </w:rPr>
        <w:t>%</w:t>
      </w:r>
      <w:r w:rsidR="007C6FF2">
        <w:rPr>
          <w:rFonts w:ascii="Verdana" w:eastAsia="Times New Roman" w:hAnsi="Verdana" w:cs="Arial"/>
          <w:b/>
          <w:sz w:val="18"/>
          <w:szCs w:val="18"/>
          <w:lang w:eastAsia="pl-PL"/>
        </w:rPr>
        <w:t>.</w:t>
      </w:r>
    </w:p>
    <w:p w:rsidR="00483ADA" w:rsidRDefault="00483ADA" w:rsidP="009B6597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1F22F0" w:rsidRDefault="001F22F0" w:rsidP="009B6597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B736E5" w:rsidRDefault="005D2009" w:rsidP="006F0698">
      <w:pPr>
        <w:spacing w:after="0" w:line="36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lastRenderedPageBreak/>
        <w:t>W</w:t>
      </w:r>
      <w:r w:rsidR="006F0698" w:rsidRPr="00483AD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ydatki bieżące </w:t>
      </w:r>
      <w:r w:rsidR="00E55AAC" w:rsidRPr="00B43EDE">
        <w:rPr>
          <w:rFonts w:ascii="Verdana" w:eastAsia="Times New Roman" w:hAnsi="Verdana" w:cs="Times New Roman"/>
          <w:bCs/>
          <w:sz w:val="18"/>
          <w:szCs w:val="18"/>
          <w:lang w:eastAsia="pl-PL"/>
        </w:rPr>
        <w:t>I</w:t>
      </w:r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kwartału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przeznaczone </w:t>
      </w:r>
      <w:r w:rsidR="002255EA">
        <w:rPr>
          <w:rFonts w:ascii="Verdana" w:eastAsia="Times New Roman" w:hAnsi="Verdana" w:cs="Times New Roman"/>
          <w:bCs/>
          <w:sz w:val="18"/>
          <w:szCs w:val="18"/>
          <w:lang w:eastAsia="pl-PL"/>
        </w:rPr>
        <w:t>zostały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na finansowanie</w:t>
      </w:r>
      <w:r w:rsidR="006F0698" w:rsidRPr="006F069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m.in.:</w:t>
      </w:r>
    </w:p>
    <w:p w:rsidR="004A0FD8" w:rsidRPr="004A0FD8" w:rsidRDefault="008E4F6C" w:rsidP="004A0FD8">
      <w:pPr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="005D2009"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="005D2009"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</w:p>
    <w:p w:rsidR="00D30904" w:rsidRDefault="004A0FD8" w:rsidP="005D463B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edukacji </w:t>
      </w:r>
      <w:r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ab/>
      </w:r>
      <w:r w:rsidRP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 </w:t>
      </w:r>
      <w:r w:rsid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                 </w:t>
      </w:r>
      <w:r w:rsidR="0081618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</w:t>
      </w:r>
      <w:r w:rsidR="005D463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</w:t>
      </w:r>
      <w:r w:rsidR="009218AB">
        <w:rPr>
          <w:rFonts w:ascii="Verdana" w:eastAsia="Times New Roman" w:hAnsi="Verdana" w:cs="Times New Roman"/>
          <w:bCs/>
          <w:sz w:val="18"/>
          <w:szCs w:val="18"/>
          <w:lang w:eastAsia="pl-PL"/>
        </w:rPr>
        <w:t>1 253 017 840</w:t>
      </w:r>
      <w:r w:rsidR="00D30904" w:rsidRPr="001972E3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:rsidR="001972E3" w:rsidRDefault="001972E3" w:rsidP="005D463B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>zakupu usług komunikacji miejskiej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</w:t>
      </w:r>
      <w:r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</w:t>
      </w:r>
      <w:r w:rsidR="0081618F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</w:t>
      </w:r>
      <w:r w:rsidR="005D463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9218A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438 029 984</w:t>
      </w:r>
      <w:r w:rsidRPr="001972E3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:rsidR="001972E3" w:rsidRDefault="001972E3" w:rsidP="005D463B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3090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wypłaty świadczeń rodzinnych i </w:t>
      </w:r>
      <w:r w:rsidRP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wychowawczych            </w:t>
      </w:r>
      <w:r w:rsidR="005D463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9218A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555 310 994</w:t>
      </w:r>
      <w:r w:rsidRP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1972E3">
        <w:rPr>
          <w:rFonts w:ascii="Verdana" w:eastAsia="Times New Roman" w:hAnsi="Verdana" w:cs="Arial"/>
          <w:sz w:val="18"/>
          <w:szCs w:val="18"/>
          <w:lang w:eastAsia="pl-PL"/>
        </w:rPr>
        <w:t>zł,</w:t>
      </w:r>
    </w:p>
    <w:p w:rsidR="009218AB" w:rsidRDefault="009218AB" w:rsidP="009218A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5D463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gospodarki odpadami            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                   434 721 883</w:t>
      </w:r>
      <w:r w:rsidRPr="005D463B">
        <w:rPr>
          <w:rFonts w:ascii="Verdana" w:eastAsia="Times New Roman" w:hAnsi="Verdana" w:cs="Arial"/>
          <w:sz w:val="18"/>
          <w:szCs w:val="18"/>
          <w:lang w:eastAsia="pl-PL"/>
        </w:rPr>
        <w:t xml:space="preserve"> z</w:t>
      </w:r>
      <w:r w:rsidR="00B43EDE">
        <w:rPr>
          <w:rFonts w:ascii="Verdana" w:eastAsia="Times New Roman" w:hAnsi="Verdana" w:cs="Arial"/>
          <w:sz w:val="18"/>
          <w:szCs w:val="18"/>
          <w:lang w:eastAsia="pl-PL"/>
        </w:rPr>
        <w:t>ł</w:t>
      </w:r>
      <w:r>
        <w:rPr>
          <w:rFonts w:ascii="Verdana" w:eastAsia="Times New Roman" w:hAnsi="Verdana" w:cs="Arial"/>
          <w:sz w:val="18"/>
          <w:szCs w:val="18"/>
          <w:lang w:eastAsia="pl-PL"/>
        </w:rPr>
        <w:t>,</w:t>
      </w:r>
    </w:p>
    <w:p w:rsidR="001972E3" w:rsidRDefault="001972E3" w:rsidP="005D463B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>wpłaty tzw. „janosikowego”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1972E3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                                        </w:t>
      </w:r>
      <w:r w:rsidR="009218AB">
        <w:rPr>
          <w:rFonts w:ascii="Verdana" w:eastAsia="Times New Roman" w:hAnsi="Verdana" w:cs="Times New Roman"/>
          <w:bCs/>
          <w:sz w:val="18"/>
          <w:szCs w:val="18"/>
          <w:lang w:eastAsia="pl-PL"/>
        </w:rPr>
        <w:t>302 195 089</w:t>
      </w:r>
      <w:r w:rsidRPr="001972E3">
        <w:rPr>
          <w:rFonts w:ascii="Verdana" w:eastAsia="Times New Roman" w:hAnsi="Verdana" w:cs="Arial"/>
          <w:sz w:val="18"/>
          <w:szCs w:val="18"/>
          <w:lang w:eastAsia="pl-PL"/>
        </w:rPr>
        <w:t xml:space="preserve"> zł,</w:t>
      </w:r>
    </w:p>
    <w:p w:rsidR="005D463B" w:rsidRDefault="005D463B" w:rsidP="005D463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C07B78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utrzymania zasobu </w:t>
      </w:r>
      <w:r w:rsidRPr="005D463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komunalnego                                     </w:t>
      </w:r>
      <w:r w:rsidR="009218A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186 999 922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zł</w:t>
      </w:r>
      <w:r w:rsidR="009218AB">
        <w:rPr>
          <w:rFonts w:ascii="Verdana" w:eastAsia="Times New Roman" w:hAnsi="Verdana" w:cs="Arial"/>
          <w:sz w:val="18"/>
          <w:szCs w:val="18"/>
          <w:lang w:eastAsia="pl-PL"/>
        </w:rPr>
        <w:t>.</w:t>
      </w:r>
    </w:p>
    <w:p w:rsidR="005D463B" w:rsidRPr="005D463B" w:rsidRDefault="005D463B" w:rsidP="005D463B">
      <w:pPr>
        <w:pStyle w:val="Akapitzlist"/>
        <w:spacing w:line="360" w:lineRule="auto"/>
        <w:ind w:left="786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D463B" w:rsidRPr="00A368FB" w:rsidRDefault="005D463B" w:rsidP="005D463B">
      <w:pPr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>Wydatki majątkowe</w:t>
      </w:r>
      <w:r w:rsidRPr="00A368FB">
        <w:rPr>
          <w:rFonts w:ascii="Verdana" w:eastAsia="Times New Roman" w:hAnsi="Verdana" w:cs="Arial"/>
          <w:sz w:val="18"/>
          <w:szCs w:val="18"/>
          <w:lang w:eastAsia="pl-PL"/>
        </w:rPr>
        <w:t xml:space="preserve"> stanowią </w:t>
      </w:r>
      <w:r w:rsidR="002255EA" w:rsidRPr="002255EA">
        <w:rPr>
          <w:rFonts w:ascii="Verdana" w:eastAsia="Times New Roman" w:hAnsi="Verdana" w:cs="Arial"/>
          <w:b/>
          <w:sz w:val="18"/>
          <w:szCs w:val="18"/>
          <w:lang w:eastAsia="pl-PL"/>
        </w:rPr>
        <w:t>10,02</w:t>
      </w:r>
      <w:r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% planu. </w:t>
      </w:r>
      <w:r w:rsidRPr="00A368FB">
        <w:rPr>
          <w:rFonts w:ascii="Verdana" w:eastAsia="Times New Roman" w:hAnsi="Verdana" w:cs="Arial"/>
          <w:sz w:val="18"/>
          <w:szCs w:val="18"/>
          <w:lang w:eastAsia="pl-PL"/>
        </w:rPr>
        <w:t>W stosunku do I kwartału ub. r. są </w:t>
      </w:r>
      <w:r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wyższe </w:t>
      </w:r>
      <w:r w:rsidR="0081618F">
        <w:rPr>
          <w:rFonts w:ascii="Verdana" w:eastAsia="Times New Roman" w:hAnsi="Verdana" w:cs="Arial"/>
          <w:b/>
          <w:sz w:val="18"/>
          <w:szCs w:val="18"/>
          <w:lang w:eastAsia="pl-PL"/>
        </w:rPr>
        <w:br/>
      </w:r>
      <w:r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>o </w:t>
      </w:r>
      <w:r w:rsidR="002255EA" w:rsidRPr="009218AB">
        <w:rPr>
          <w:rFonts w:ascii="Verdana" w:eastAsia="Times New Roman" w:hAnsi="Verdana" w:cs="Arial CE"/>
          <w:b/>
          <w:sz w:val="18"/>
          <w:szCs w:val="18"/>
          <w:lang w:eastAsia="pl-PL"/>
        </w:rPr>
        <w:t>123 121 146</w:t>
      </w:r>
      <w:r w:rsidRPr="009218AB">
        <w:rPr>
          <w:rFonts w:ascii="Verdana" w:eastAsia="Times New Roman" w:hAnsi="Verdana" w:cs="Arial"/>
          <w:b/>
          <w:sz w:val="18"/>
          <w:szCs w:val="18"/>
          <w:lang w:eastAsia="pl-PL"/>
        </w:rPr>
        <w:t> zł,</w:t>
      </w:r>
      <w:r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tj. o </w:t>
      </w:r>
      <w:r w:rsidR="002255EA">
        <w:rPr>
          <w:rFonts w:ascii="Verdana" w:eastAsia="Times New Roman" w:hAnsi="Verdana" w:cs="Arial"/>
          <w:b/>
          <w:sz w:val="18"/>
          <w:szCs w:val="18"/>
          <w:lang w:eastAsia="pl-PL"/>
        </w:rPr>
        <w:t>55,67</w:t>
      </w:r>
      <w:r w:rsidRPr="00A368FB">
        <w:rPr>
          <w:rFonts w:ascii="Verdana" w:eastAsia="Times New Roman" w:hAnsi="Verdana" w:cs="Arial"/>
          <w:b/>
          <w:sz w:val="18"/>
          <w:szCs w:val="18"/>
          <w:lang w:eastAsia="pl-PL"/>
        </w:rPr>
        <w:t>%.</w:t>
      </w:r>
      <w:r w:rsidRPr="00A368FB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  </w:t>
      </w:r>
    </w:p>
    <w:p w:rsidR="005D463B" w:rsidRPr="00827B82" w:rsidRDefault="005D463B" w:rsidP="005D463B">
      <w:pPr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B43EDE">
        <w:rPr>
          <w:rFonts w:ascii="Verdana" w:hAnsi="Verdana"/>
          <w:b/>
          <w:sz w:val="18"/>
          <w:szCs w:val="18"/>
        </w:rPr>
        <w:t>Zadłużenie</w:t>
      </w:r>
      <w:r w:rsidRPr="00B43EDE">
        <w:rPr>
          <w:rFonts w:ascii="Verdana" w:hAnsi="Verdana"/>
          <w:sz w:val="18"/>
          <w:szCs w:val="18"/>
        </w:rPr>
        <w:t xml:space="preserve"> m.st. Warszawy na koniec I kwartału 20</w:t>
      </w:r>
      <w:r w:rsidR="002255EA" w:rsidRPr="00B43EDE">
        <w:rPr>
          <w:rFonts w:ascii="Verdana" w:hAnsi="Verdana"/>
          <w:sz w:val="18"/>
          <w:szCs w:val="18"/>
        </w:rPr>
        <w:t>20</w:t>
      </w:r>
      <w:r w:rsidRPr="00B43EDE">
        <w:rPr>
          <w:rFonts w:ascii="Verdana" w:hAnsi="Verdana"/>
          <w:sz w:val="18"/>
          <w:szCs w:val="18"/>
        </w:rPr>
        <w:t xml:space="preserve"> r. </w:t>
      </w:r>
      <w:r w:rsidRPr="00B43EDE">
        <w:rPr>
          <w:rFonts w:ascii="Verdana" w:hAnsi="Verdana"/>
          <w:b/>
          <w:sz w:val="18"/>
          <w:szCs w:val="18"/>
        </w:rPr>
        <w:t>wyniosło</w:t>
      </w:r>
      <w:r w:rsidR="00603637" w:rsidRPr="00B43EDE">
        <w:rPr>
          <w:rFonts w:ascii="Verdana" w:hAnsi="Verdana"/>
          <w:b/>
          <w:sz w:val="18"/>
          <w:szCs w:val="18"/>
        </w:rPr>
        <w:t xml:space="preserve"> 3 868</w:t>
      </w:r>
      <w:r w:rsidR="00B56F1A" w:rsidRPr="00B43EDE">
        <w:rPr>
          <w:rFonts w:ascii="Verdana" w:hAnsi="Verdana"/>
          <w:b/>
          <w:sz w:val="18"/>
          <w:szCs w:val="18"/>
        </w:rPr>
        <w:t xml:space="preserve"> 520 </w:t>
      </w:r>
      <w:r w:rsidR="00B73D29" w:rsidRPr="00B43EDE">
        <w:rPr>
          <w:rFonts w:ascii="Verdana" w:hAnsi="Verdana"/>
          <w:b/>
          <w:sz w:val="18"/>
          <w:szCs w:val="18"/>
        </w:rPr>
        <w:t>819</w:t>
      </w:r>
      <w:r w:rsidRPr="00B43ED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zł.</w:t>
      </w:r>
      <w:r w:rsidRPr="00B43ED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br/>
        <w:t xml:space="preserve">Wskaźnik zadłużenia </w:t>
      </w:r>
      <w:r w:rsidRPr="00B43EDE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 relacji do planowanych dochodów ogółem na 20</w:t>
      </w:r>
      <w:r w:rsidR="002255EA" w:rsidRPr="00B43EDE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20</w:t>
      </w:r>
      <w:r w:rsidRPr="00B43EDE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r. wyniósł </w:t>
      </w:r>
      <w:r w:rsidR="00603637" w:rsidRPr="00B43ED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19,66</w:t>
      </w:r>
      <w:r w:rsidRPr="00B43ED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%.</w:t>
      </w:r>
      <w:r w:rsidRPr="00B43EDE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W stosunku do analogicznego okresu ubiegłego roku</w:t>
      </w:r>
      <w:r w:rsidRPr="00B43ED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 poziom długu r/r obniżono</w:t>
      </w:r>
      <w:r w:rsidRPr="00B43EDE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B43ED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o</w:t>
      </w:r>
      <w:r w:rsidR="001F22F0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 </w:t>
      </w:r>
      <w:r w:rsidR="00603637" w:rsidRPr="00B43ED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687</w:t>
      </w:r>
      <w:r w:rsidR="001F22F0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 </w:t>
      </w:r>
      <w:r w:rsidR="00B56F1A" w:rsidRPr="00B43ED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113</w:t>
      </w:r>
      <w:r w:rsidR="001F22F0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 </w:t>
      </w:r>
      <w:r w:rsidR="00B73D29" w:rsidRPr="00B43ED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297</w:t>
      </w:r>
      <w:r w:rsidR="001F22F0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 </w:t>
      </w:r>
      <w:r w:rsidRPr="00B43ED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 xml:space="preserve">zł, tj. o ok. </w:t>
      </w:r>
      <w:r w:rsidR="00603637" w:rsidRPr="00B43ED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15</w:t>
      </w:r>
      <w:r w:rsidRPr="00B43EDE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%.</w:t>
      </w:r>
    </w:p>
    <w:p w:rsidR="005D463B" w:rsidRPr="00827B82" w:rsidRDefault="005D463B" w:rsidP="005D463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8E4F6C" w:rsidRDefault="008E4F6C" w:rsidP="00C07B78">
      <w:pPr>
        <w:pStyle w:val="Akapitzlist"/>
        <w:spacing w:after="0" w:line="360" w:lineRule="auto"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</w:p>
    <w:p w:rsidR="00104D81" w:rsidRPr="00827B82" w:rsidRDefault="00104D81" w:rsidP="009B6597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5D463B" w:rsidRPr="00827B82" w:rsidRDefault="005D463B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</w:p>
    <w:sectPr w:rsidR="005D463B" w:rsidRPr="00827B82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B7" w:rsidRDefault="00121BB7" w:rsidP="002255EA">
      <w:pPr>
        <w:spacing w:after="0" w:line="240" w:lineRule="auto"/>
      </w:pPr>
      <w:r>
        <w:separator/>
      </w:r>
    </w:p>
  </w:endnote>
  <w:endnote w:type="continuationSeparator" w:id="0">
    <w:p w:rsidR="00121BB7" w:rsidRDefault="00121BB7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B7" w:rsidRDefault="00121BB7" w:rsidP="002255EA">
      <w:pPr>
        <w:spacing w:after="0" w:line="240" w:lineRule="auto"/>
      </w:pPr>
      <w:r>
        <w:separator/>
      </w:r>
    </w:p>
  </w:footnote>
  <w:footnote w:type="continuationSeparator" w:id="0">
    <w:p w:rsidR="00121BB7" w:rsidRDefault="00121BB7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71258"/>
    <w:multiLevelType w:val="hybridMultilevel"/>
    <w:tmpl w:val="4E0CA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E7078"/>
    <w:multiLevelType w:val="hybridMultilevel"/>
    <w:tmpl w:val="25CC67C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10618"/>
    <w:rsid w:val="0002783F"/>
    <w:rsid w:val="000409FB"/>
    <w:rsid w:val="00045622"/>
    <w:rsid w:val="0005787C"/>
    <w:rsid w:val="000670D4"/>
    <w:rsid w:val="00077748"/>
    <w:rsid w:val="0009153F"/>
    <w:rsid w:val="000C5BFD"/>
    <w:rsid w:val="000C7B71"/>
    <w:rsid w:val="00104D81"/>
    <w:rsid w:val="00110C29"/>
    <w:rsid w:val="00113A4B"/>
    <w:rsid w:val="00114FCF"/>
    <w:rsid w:val="00121BB7"/>
    <w:rsid w:val="00140372"/>
    <w:rsid w:val="00140BB1"/>
    <w:rsid w:val="00143A4E"/>
    <w:rsid w:val="001456A7"/>
    <w:rsid w:val="00170256"/>
    <w:rsid w:val="00190B17"/>
    <w:rsid w:val="001972E3"/>
    <w:rsid w:val="001C3851"/>
    <w:rsid w:val="001C4AE4"/>
    <w:rsid w:val="001D2154"/>
    <w:rsid w:val="001D2916"/>
    <w:rsid w:val="001F22F0"/>
    <w:rsid w:val="00215925"/>
    <w:rsid w:val="002255EA"/>
    <w:rsid w:val="00240159"/>
    <w:rsid w:val="0025744E"/>
    <w:rsid w:val="00263DB6"/>
    <w:rsid w:val="00281B35"/>
    <w:rsid w:val="002822B7"/>
    <w:rsid w:val="002826D5"/>
    <w:rsid w:val="002839DA"/>
    <w:rsid w:val="002952B3"/>
    <w:rsid w:val="002B4219"/>
    <w:rsid w:val="002C2DF3"/>
    <w:rsid w:val="00307492"/>
    <w:rsid w:val="00310BB7"/>
    <w:rsid w:val="003159C4"/>
    <w:rsid w:val="00315FE6"/>
    <w:rsid w:val="00322226"/>
    <w:rsid w:val="00327CD6"/>
    <w:rsid w:val="003528D1"/>
    <w:rsid w:val="00362310"/>
    <w:rsid w:val="003975E6"/>
    <w:rsid w:val="003A1C90"/>
    <w:rsid w:val="003F58FF"/>
    <w:rsid w:val="00483ADA"/>
    <w:rsid w:val="00495EA4"/>
    <w:rsid w:val="004A0DB2"/>
    <w:rsid w:val="004A0FD8"/>
    <w:rsid w:val="0053752F"/>
    <w:rsid w:val="0054615D"/>
    <w:rsid w:val="00563BFF"/>
    <w:rsid w:val="00563EB7"/>
    <w:rsid w:val="005819EA"/>
    <w:rsid w:val="00587360"/>
    <w:rsid w:val="00590C6F"/>
    <w:rsid w:val="005D2009"/>
    <w:rsid w:val="005D463B"/>
    <w:rsid w:val="005D72EF"/>
    <w:rsid w:val="005F2664"/>
    <w:rsid w:val="005F383B"/>
    <w:rsid w:val="00603637"/>
    <w:rsid w:val="006363DE"/>
    <w:rsid w:val="00646160"/>
    <w:rsid w:val="006601CD"/>
    <w:rsid w:val="00662032"/>
    <w:rsid w:val="00692D37"/>
    <w:rsid w:val="0069606C"/>
    <w:rsid w:val="006A0566"/>
    <w:rsid w:val="006B0300"/>
    <w:rsid w:val="006D38F7"/>
    <w:rsid w:val="006F0698"/>
    <w:rsid w:val="00710541"/>
    <w:rsid w:val="007118AF"/>
    <w:rsid w:val="007310DC"/>
    <w:rsid w:val="00762CD7"/>
    <w:rsid w:val="007A049B"/>
    <w:rsid w:val="007C0566"/>
    <w:rsid w:val="007C422B"/>
    <w:rsid w:val="007C6FF2"/>
    <w:rsid w:val="007E63B3"/>
    <w:rsid w:val="008110E3"/>
    <w:rsid w:val="0081169E"/>
    <w:rsid w:val="0081618F"/>
    <w:rsid w:val="00827B82"/>
    <w:rsid w:val="008433AF"/>
    <w:rsid w:val="008839F7"/>
    <w:rsid w:val="008B0BCF"/>
    <w:rsid w:val="008D715D"/>
    <w:rsid w:val="008E4F6C"/>
    <w:rsid w:val="00906676"/>
    <w:rsid w:val="0091047C"/>
    <w:rsid w:val="009218AB"/>
    <w:rsid w:val="009733F2"/>
    <w:rsid w:val="0099515B"/>
    <w:rsid w:val="009A0DA6"/>
    <w:rsid w:val="009B2092"/>
    <w:rsid w:val="009B6597"/>
    <w:rsid w:val="009D7579"/>
    <w:rsid w:val="009E6BEE"/>
    <w:rsid w:val="00A368FB"/>
    <w:rsid w:val="00A564AE"/>
    <w:rsid w:val="00A60F0B"/>
    <w:rsid w:val="00A72C4A"/>
    <w:rsid w:val="00AA456D"/>
    <w:rsid w:val="00AB50FE"/>
    <w:rsid w:val="00AD773C"/>
    <w:rsid w:val="00AF3477"/>
    <w:rsid w:val="00AF7EFB"/>
    <w:rsid w:val="00B173C6"/>
    <w:rsid w:val="00B308A3"/>
    <w:rsid w:val="00B401A3"/>
    <w:rsid w:val="00B43EDE"/>
    <w:rsid w:val="00B54EAF"/>
    <w:rsid w:val="00B56F1A"/>
    <w:rsid w:val="00B736E5"/>
    <w:rsid w:val="00B73D29"/>
    <w:rsid w:val="00B81412"/>
    <w:rsid w:val="00B905D3"/>
    <w:rsid w:val="00B939B2"/>
    <w:rsid w:val="00B96F4C"/>
    <w:rsid w:val="00BD4512"/>
    <w:rsid w:val="00BE09BA"/>
    <w:rsid w:val="00BE2BE0"/>
    <w:rsid w:val="00C07B78"/>
    <w:rsid w:val="00C31D5C"/>
    <w:rsid w:val="00C3332F"/>
    <w:rsid w:val="00C355C4"/>
    <w:rsid w:val="00C57120"/>
    <w:rsid w:val="00CA2FA9"/>
    <w:rsid w:val="00D12ECC"/>
    <w:rsid w:val="00D132E0"/>
    <w:rsid w:val="00D30904"/>
    <w:rsid w:val="00D769BB"/>
    <w:rsid w:val="00D87D27"/>
    <w:rsid w:val="00D911DB"/>
    <w:rsid w:val="00DD65C2"/>
    <w:rsid w:val="00E40B68"/>
    <w:rsid w:val="00E55AAC"/>
    <w:rsid w:val="00E55AB9"/>
    <w:rsid w:val="00E73588"/>
    <w:rsid w:val="00E8320E"/>
    <w:rsid w:val="00E92CDB"/>
    <w:rsid w:val="00EA4EEA"/>
    <w:rsid w:val="00EB35F7"/>
    <w:rsid w:val="00EB6115"/>
    <w:rsid w:val="00EC5418"/>
    <w:rsid w:val="00F13023"/>
    <w:rsid w:val="00F13D4E"/>
    <w:rsid w:val="00F20800"/>
    <w:rsid w:val="00F2174C"/>
    <w:rsid w:val="00F538B6"/>
    <w:rsid w:val="00F91DD6"/>
    <w:rsid w:val="00F91E7A"/>
    <w:rsid w:val="00FC4526"/>
    <w:rsid w:val="00FC4BB7"/>
    <w:rsid w:val="00FE0177"/>
    <w:rsid w:val="00FE4B33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8581-8EA3-46FE-BCF0-78004240E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Malarowska Bożena</dc:creator>
  <cp:keywords/>
  <dc:description/>
  <cp:lastModifiedBy>Zieliński Zbigniew</cp:lastModifiedBy>
  <cp:revision>2</cp:revision>
  <cp:lastPrinted>2020-05-19T06:41:00Z</cp:lastPrinted>
  <dcterms:created xsi:type="dcterms:W3CDTF">2020-07-30T10:52:00Z</dcterms:created>
  <dcterms:modified xsi:type="dcterms:W3CDTF">2020-07-30T10:52:00Z</dcterms:modified>
</cp:coreProperties>
</file>