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C7A" w:rsidRPr="009E3751" w:rsidRDefault="004B3C7A" w:rsidP="009E3751">
      <w:pPr>
        <w:rPr>
          <w:rFonts w:ascii="Times New Roman" w:hAnsi="Times New Roman" w:cs="Times New Roman"/>
          <w:b/>
          <w:sz w:val="24"/>
          <w:szCs w:val="24"/>
        </w:rPr>
      </w:pPr>
    </w:p>
    <w:p w:rsidR="00A63E65" w:rsidRPr="00A63E65" w:rsidRDefault="00A63E65" w:rsidP="00A63E65">
      <w:pPr>
        <w:ind w:left="4956" w:firstLine="708"/>
        <w:rPr>
          <w:rFonts w:ascii="Times New Roman" w:hAnsi="Times New Roman" w:cs="Times New Roman"/>
          <w:b/>
          <w:sz w:val="24"/>
          <w:szCs w:val="24"/>
        </w:rPr>
      </w:pPr>
      <w:r w:rsidRPr="00A63E65">
        <w:rPr>
          <w:rFonts w:ascii="Times New Roman" w:hAnsi="Times New Roman" w:cs="Times New Roman"/>
          <w:b/>
          <w:sz w:val="24"/>
          <w:szCs w:val="24"/>
        </w:rPr>
        <w:t>Załącznik nr 20</w:t>
      </w:r>
    </w:p>
    <w:p w:rsidR="00A63E65" w:rsidRDefault="00A63E65" w:rsidP="00A63E65">
      <w:pPr>
        <w:ind w:left="5664"/>
        <w:rPr>
          <w:rFonts w:ascii="Times New Roman" w:hAnsi="Times New Roman" w:cs="Times New Roman"/>
          <w:sz w:val="24"/>
          <w:szCs w:val="24"/>
        </w:rPr>
      </w:pPr>
      <w:r w:rsidRPr="00A63E65">
        <w:rPr>
          <w:rFonts w:ascii="Times New Roman" w:hAnsi="Times New Roman" w:cs="Times New Roman"/>
          <w:sz w:val="24"/>
          <w:szCs w:val="24"/>
        </w:rPr>
        <w:t>Do zasad obiegu oraz kontroli</w:t>
      </w:r>
      <w:r>
        <w:rPr>
          <w:rFonts w:ascii="Times New Roman" w:hAnsi="Times New Roman" w:cs="Times New Roman"/>
          <w:sz w:val="24"/>
          <w:szCs w:val="24"/>
        </w:rPr>
        <w:t xml:space="preserve"> sprawozdań budżetowych, sprawozdań w zakresie operacji finansowych w Urzędzie m.st. Warszawy i jednostkach organizacyjnych m.st. Warszawy</w:t>
      </w:r>
    </w:p>
    <w:p w:rsidR="00A63E65" w:rsidRDefault="00A63E65" w:rsidP="00A63E65">
      <w:pPr>
        <w:rPr>
          <w:rFonts w:ascii="Times New Roman" w:hAnsi="Times New Roman" w:cs="Times New Roman"/>
          <w:sz w:val="24"/>
          <w:szCs w:val="24"/>
        </w:rPr>
      </w:pPr>
    </w:p>
    <w:p w:rsidR="00A63E65" w:rsidRDefault="00A63E65" w:rsidP="00A63E65">
      <w:pPr>
        <w:pStyle w:val="Akapitzlist"/>
        <w:numPr>
          <w:ilvl w:val="0"/>
          <w:numId w:val="2"/>
        </w:numPr>
        <w:rPr>
          <w:rFonts w:ascii="Times New Roman" w:hAnsi="Times New Roman" w:cs="Times New Roman"/>
          <w:b/>
          <w:sz w:val="24"/>
          <w:szCs w:val="24"/>
        </w:rPr>
      </w:pPr>
      <w:r w:rsidRPr="00A63E65">
        <w:rPr>
          <w:rFonts w:ascii="Times New Roman" w:hAnsi="Times New Roman" w:cs="Times New Roman"/>
          <w:b/>
          <w:sz w:val="24"/>
          <w:szCs w:val="24"/>
        </w:rPr>
        <w:t>Informacje o Urzędzie Dzielnicy Żoliborz m.st. Warszawy</w:t>
      </w:r>
    </w:p>
    <w:p w:rsidR="00A63E65" w:rsidRPr="00A63E65" w:rsidRDefault="00A63E65" w:rsidP="00A63E65">
      <w:pPr>
        <w:pStyle w:val="Akapitzlist"/>
        <w:numPr>
          <w:ilvl w:val="1"/>
          <w:numId w:val="2"/>
        </w:numPr>
        <w:rPr>
          <w:rFonts w:ascii="Times New Roman" w:hAnsi="Times New Roman" w:cs="Times New Roman"/>
          <w:sz w:val="24"/>
          <w:szCs w:val="24"/>
        </w:rPr>
      </w:pPr>
      <w:r w:rsidRPr="00A63E65">
        <w:rPr>
          <w:rFonts w:ascii="Times New Roman" w:hAnsi="Times New Roman" w:cs="Times New Roman"/>
          <w:sz w:val="24"/>
          <w:szCs w:val="24"/>
        </w:rPr>
        <w:t>Nazwa jednostki</w:t>
      </w:r>
    </w:p>
    <w:p w:rsidR="00A63E65" w:rsidRDefault="00A63E65" w:rsidP="00A63E65">
      <w:pPr>
        <w:pStyle w:val="Akapitzlist"/>
        <w:ind w:left="1080"/>
        <w:rPr>
          <w:rFonts w:ascii="Times New Roman" w:hAnsi="Times New Roman" w:cs="Times New Roman"/>
          <w:sz w:val="24"/>
          <w:szCs w:val="24"/>
        </w:rPr>
      </w:pPr>
      <w:r w:rsidRPr="00A63E65">
        <w:rPr>
          <w:rFonts w:ascii="Times New Roman" w:hAnsi="Times New Roman" w:cs="Times New Roman"/>
          <w:sz w:val="24"/>
          <w:szCs w:val="24"/>
        </w:rPr>
        <w:t>Urząd Dzielnicy Żoliborz</w:t>
      </w:r>
    </w:p>
    <w:p w:rsidR="00A63E65" w:rsidRDefault="00A63E65" w:rsidP="00A63E65">
      <w:pPr>
        <w:pStyle w:val="Akapitzlist"/>
        <w:ind w:left="1080"/>
        <w:rPr>
          <w:rFonts w:ascii="Times New Roman" w:hAnsi="Times New Roman" w:cs="Times New Roman"/>
          <w:sz w:val="24"/>
          <w:szCs w:val="24"/>
        </w:rPr>
      </w:pPr>
    </w:p>
    <w:p w:rsidR="00A63E65" w:rsidRPr="00A63E65" w:rsidRDefault="00A63E65" w:rsidP="00A63E65">
      <w:pPr>
        <w:pStyle w:val="Akapitzlist"/>
        <w:numPr>
          <w:ilvl w:val="1"/>
          <w:numId w:val="2"/>
        </w:numPr>
        <w:rPr>
          <w:rFonts w:ascii="Times New Roman" w:hAnsi="Times New Roman" w:cs="Times New Roman"/>
          <w:sz w:val="24"/>
          <w:szCs w:val="24"/>
        </w:rPr>
      </w:pPr>
      <w:r w:rsidRPr="00A63E65">
        <w:rPr>
          <w:rFonts w:ascii="Times New Roman" w:hAnsi="Times New Roman" w:cs="Times New Roman"/>
          <w:sz w:val="24"/>
          <w:szCs w:val="24"/>
        </w:rPr>
        <w:t>Siedziba jednostki</w:t>
      </w:r>
    </w:p>
    <w:p w:rsidR="00A63E65" w:rsidRDefault="00A63E65" w:rsidP="00A63E65">
      <w:pPr>
        <w:pStyle w:val="Akapitzlist"/>
        <w:ind w:left="1080"/>
        <w:rPr>
          <w:rFonts w:ascii="Times New Roman" w:hAnsi="Times New Roman" w:cs="Times New Roman"/>
          <w:sz w:val="24"/>
          <w:szCs w:val="24"/>
        </w:rPr>
      </w:pPr>
      <w:r>
        <w:rPr>
          <w:rFonts w:ascii="Times New Roman" w:hAnsi="Times New Roman" w:cs="Times New Roman"/>
          <w:sz w:val="24"/>
          <w:szCs w:val="24"/>
        </w:rPr>
        <w:t>01-657 Warszawa</w:t>
      </w:r>
    </w:p>
    <w:p w:rsidR="00A63E65" w:rsidRDefault="00A63E65" w:rsidP="00A63E65">
      <w:pPr>
        <w:pStyle w:val="Akapitzlist"/>
        <w:ind w:left="1080"/>
        <w:rPr>
          <w:rFonts w:ascii="Times New Roman" w:hAnsi="Times New Roman" w:cs="Times New Roman"/>
          <w:sz w:val="24"/>
          <w:szCs w:val="24"/>
        </w:rPr>
      </w:pPr>
      <w:r>
        <w:rPr>
          <w:rFonts w:ascii="Times New Roman" w:hAnsi="Times New Roman" w:cs="Times New Roman"/>
          <w:sz w:val="24"/>
          <w:szCs w:val="24"/>
        </w:rPr>
        <w:t>ul. Słowackiego 6/8</w:t>
      </w:r>
    </w:p>
    <w:p w:rsidR="00A63E65" w:rsidRDefault="00A63E65" w:rsidP="00A63E65">
      <w:pPr>
        <w:pStyle w:val="Akapitzlist"/>
        <w:ind w:left="1080"/>
        <w:rPr>
          <w:rFonts w:ascii="Times New Roman" w:hAnsi="Times New Roman" w:cs="Times New Roman"/>
          <w:sz w:val="24"/>
          <w:szCs w:val="24"/>
        </w:rPr>
      </w:pPr>
    </w:p>
    <w:p w:rsidR="00A63E65" w:rsidRPr="00A63E65" w:rsidRDefault="00A63E65" w:rsidP="00A63E65">
      <w:pPr>
        <w:pStyle w:val="Akapitzlist"/>
        <w:numPr>
          <w:ilvl w:val="1"/>
          <w:numId w:val="2"/>
        </w:numPr>
        <w:rPr>
          <w:rFonts w:ascii="Times New Roman" w:hAnsi="Times New Roman" w:cs="Times New Roman"/>
          <w:sz w:val="24"/>
          <w:szCs w:val="24"/>
        </w:rPr>
      </w:pPr>
      <w:r w:rsidRPr="00A63E65">
        <w:rPr>
          <w:rFonts w:ascii="Times New Roman" w:hAnsi="Times New Roman" w:cs="Times New Roman"/>
          <w:sz w:val="24"/>
          <w:szCs w:val="24"/>
        </w:rPr>
        <w:t>Adres jednostki</w:t>
      </w:r>
    </w:p>
    <w:p w:rsidR="00A63E65" w:rsidRDefault="00A63E65" w:rsidP="00A63E65">
      <w:pPr>
        <w:pStyle w:val="Akapitzlist"/>
        <w:rPr>
          <w:rFonts w:ascii="Times New Roman" w:hAnsi="Times New Roman" w:cs="Times New Roman"/>
          <w:sz w:val="24"/>
          <w:szCs w:val="24"/>
        </w:rPr>
      </w:pPr>
      <w:r>
        <w:rPr>
          <w:rFonts w:ascii="Times New Roman" w:hAnsi="Times New Roman" w:cs="Times New Roman"/>
          <w:sz w:val="24"/>
          <w:szCs w:val="24"/>
        </w:rPr>
        <w:t xml:space="preserve">      01-657 Warszawa</w:t>
      </w:r>
    </w:p>
    <w:p w:rsidR="00A63E65" w:rsidRDefault="00A63E65" w:rsidP="00A63E65">
      <w:pPr>
        <w:pStyle w:val="Akapitzlist"/>
        <w:rPr>
          <w:rFonts w:ascii="Times New Roman" w:hAnsi="Times New Roman" w:cs="Times New Roman"/>
          <w:sz w:val="24"/>
          <w:szCs w:val="24"/>
        </w:rPr>
      </w:pPr>
      <w:r>
        <w:rPr>
          <w:rFonts w:ascii="Times New Roman" w:hAnsi="Times New Roman" w:cs="Times New Roman"/>
          <w:sz w:val="24"/>
          <w:szCs w:val="24"/>
        </w:rPr>
        <w:t xml:space="preserve">      ul. Słowackiego 6/8</w:t>
      </w:r>
    </w:p>
    <w:p w:rsidR="00A63E65" w:rsidRDefault="00A63E65" w:rsidP="00A63E65">
      <w:pPr>
        <w:pStyle w:val="Akapitzlist"/>
        <w:rPr>
          <w:rFonts w:ascii="Times New Roman" w:hAnsi="Times New Roman" w:cs="Times New Roman"/>
          <w:sz w:val="24"/>
          <w:szCs w:val="24"/>
        </w:rPr>
      </w:pPr>
    </w:p>
    <w:p w:rsidR="00A63E65" w:rsidRDefault="00A63E65" w:rsidP="00A63E65">
      <w:pPr>
        <w:pStyle w:val="Akapitzlist"/>
        <w:numPr>
          <w:ilvl w:val="1"/>
          <w:numId w:val="2"/>
        </w:numPr>
        <w:rPr>
          <w:rFonts w:ascii="Times New Roman" w:hAnsi="Times New Roman" w:cs="Times New Roman"/>
          <w:sz w:val="24"/>
          <w:szCs w:val="24"/>
        </w:rPr>
      </w:pPr>
      <w:r w:rsidRPr="00A63E65">
        <w:rPr>
          <w:rFonts w:ascii="Times New Roman" w:hAnsi="Times New Roman" w:cs="Times New Roman"/>
          <w:sz w:val="24"/>
          <w:szCs w:val="24"/>
        </w:rPr>
        <w:t>Podstawowy przedmiot działalności jednostki</w:t>
      </w:r>
    </w:p>
    <w:p w:rsidR="00A63E65" w:rsidRDefault="00A63E65" w:rsidP="00A63E65">
      <w:pPr>
        <w:pStyle w:val="Akapitzlist"/>
        <w:ind w:left="1080"/>
        <w:rPr>
          <w:rFonts w:ascii="Times New Roman" w:hAnsi="Times New Roman" w:cs="Times New Roman"/>
          <w:sz w:val="24"/>
          <w:szCs w:val="24"/>
        </w:rPr>
      </w:pPr>
      <w:r>
        <w:rPr>
          <w:rFonts w:ascii="Times New Roman" w:hAnsi="Times New Roman" w:cs="Times New Roman"/>
          <w:sz w:val="24"/>
          <w:szCs w:val="24"/>
        </w:rPr>
        <w:t>Jednostka pomocnicza miasta stołecznego warszawy.</w:t>
      </w:r>
    </w:p>
    <w:p w:rsidR="00A63E65" w:rsidRDefault="00A63E65" w:rsidP="00A63E65">
      <w:pPr>
        <w:pStyle w:val="Akapitzlist"/>
        <w:ind w:left="1080"/>
        <w:rPr>
          <w:rFonts w:ascii="Times New Roman" w:hAnsi="Times New Roman" w:cs="Times New Roman"/>
          <w:sz w:val="24"/>
          <w:szCs w:val="24"/>
        </w:rPr>
      </w:pPr>
      <w:r>
        <w:rPr>
          <w:rFonts w:ascii="Times New Roman" w:hAnsi="Times New Roman" w:cs="Times New Roman"/>
          <w:sz w:val="24"/>
          <w:szCs w:val="24"/>
        </w:rPr>
        <w:t xml:space="preserve">Zakres działania określony został w Rozdz. II statutu </w:t>
      </w:r>
      <w:r w:rsidR="009E3751">
        <w:rPr>
          <w:rFonts w:ascii="Times New Roman" w:hAnsi="Times New Roman" w:cs="Times New Roman"/>
          <w:sz w:val="24"/>
          <w:szCs w:val="24"/>
        </w:rPr>
        <w:t xml:space="preserve">dzielnicy Żoliborz będącego załącznikiem Nr 18 do Uchwały Nr LXX/2182/2010 Rady m.st. Warszawy z dn. 14 stycznia 2010 r. </w:t>
      </w:r>
    </w:p>
    <w:p w:rsidR="00A63E65" w:rsidRPr="00A63E65" w:rsidRDefault="00A63E65" w:rsidP="00A63E65">
      <w:pPr>
        <w:pStyle w:val="Akapitzlist"/>
        <w:ind w:left="1080"/>
        <w:rPr>
          <w:rFonts w:ascii="Times New Roman" w:hAnsi="Times New Roman" w:cs="Times New Roman"/>
          <w:sz w:val="24"/>
          <w:szCs w:val="24"/>
        </w:rPr>
      </w:pPr>
    </w:p>
    <w:p w:rsidR="00A63E65" w:rsidRPr="00A63E65" w:rsidRDefault="00A63E65" w:rsidP="00A63E65">
      <w:pPr>
        <w:pStyle w:val="Akapitzlist"/>
        <w:numPr>
          <w:ilvl w:val="0"/>
          <w:numId w:val="2"/>
        </w:numPr>
        <w:rPr>
          <w:rFonts w:ascii="Times New Roman" w:hAnsi="Times New Roman" w:cs="Times New Roman"/>
          <w:b/>
          <w:sz w:val="24"/>
          <w:szCs w:val="24"/>
        </w:rPr>
      </w:pPr>
      <w:r w:rsidRPr="00A63E65">
        <w:rPr>
          <w:rFonts w:ascii="Times New Roman" w:hAnsi="Times New Roman" w:cs="Times New Roman"/>
          <w:b/>
          <w:sz w:val="24"/>
          <w:szCs w:val="24"/>
        </w:rPr>
        <w:t>Wskazanie okresu objętego sprawozdaniem</w:t>
      </w:r>
    </w:p>
    <w:p w:rsidR="00A63E65" w:rsidRDefault="00A63E65" w:rsidP="00A63E65">
      <w:pPr>
        <w:pStyle w:val="Akapitzlist"/>
        <w:rPr>
          <w:rFonts w:ascii="Times New Roman" w:hAnsi="Times New Roman" w:cs="Times New Roman"/>
          <w:sz w:val="24"/>
          <w:szCs w:val="24"/>
        </w:rPr>
      </w:pPr>
      <w:r>
        <w:rPr>
          <w:rFonts w:ascii="Times New Roman" w:hAnsi="Times New Roman" w:cs="Times New Roman"/>
          <w:sz w:val="24"/>
          <w:szCs w:val="24"/>
        </w:rPr>
        <w:t>Sprawozdanie obejmuje okres od 01.01.2019 r. do 31.12.2019 r.</w:t>
      </w:r>
    </w:p>
    <w:p w:rsidR="00A63E65" w:rsidRDefault="00A63E65" w:rsidP="00A63E65">
      <w:pPr>
        <w:pStyle w:val="Akapitzlist"/>
        <w:rPr>
          <w:rFonts w:ascii="Times New Roman" w:hAnsi="Times New Roman" w:cs="Times New Roman"/>
          <w:sz w:val="24"/>
          <w:szCs w:val="24"/>
        </w:rPr>
      </w:pPr>
    </w:p>
    <w:p w:rsidR="00A63E65" w:rsidRPr="00A63E65" w:rsidRDefault="00A63E65" w:rsidP="00A63E65">
      <w:pPr>
        <w:pStyle w:val="Akapitzlist"/>
        <w:numPr>
          <w:ilvl w:val="0"/>
          <w:numId w:val="2"/>
        </w:numPr>
        <w:rPr>
          <w:rFonts w:ascii="Times New Roman" w:hAnsi="Times New Roman" w:cs="Times New Roman"/>
          <w:b/>
          <w:sz w:val="24"/>
          <w:szCs w:val="24"/>
        </w:rPr>
      </w:pPr>
      <w:r w:rsidRPr="00A63E65">
        <w:rPr>
          <w:rFonts w:ascii="Times New Roman" w:hAnsi="Times New Roman" w:cs="Times New Roman"/>
          <w:b/>
          <w:sz w:val="24"/>
          <w:szCs w:val="24"/>
        </w:rPr>
        <w:t>Wskazanie, że sprawozdanie zawiera dane łączne</w:t>
      </w:r>
    </w:p>
    <w:p w:rsidR="00A63E65" w:rsidRDefault="00A63E65" w:rsidP="00A63E65">
      <w:pPr>
        <w:pStyle w:val="Akapitzlist"/>
        <w:rPr>
          <w:rFonts w:ascii="Times New Roman" w:hAnsi="Times New Roman" w:cs="Times New Roman"/>
          <w:sz w:val="24"/>
          <w:szCs w:val="24"/>
        </w:rPr>
      </w:pPr>
      <w:r>
        <w:rPr>
          <w:rFonts w:ascii="Times New Roman" w:hAnsi="Times New Roman" w:cs="Times New Roman"/>
          <w:sz w:val="24"/>
          <w:szCs w:val="24"/>
        </w:rPr>
        <w:t>Sprawozdanie nie zawiera danych łącznych.</w:t>
      </w:r>
      <w:bookmarkStart w:id="0" w:name="_GoBack"/>
      <w:bookmarkEnd w:id="0"/>
    </w:p>
    <w:p w:rsidR="00A63E65" w:rsidRDefault="00A63E65" w:rsidP="00A63E65">
      <w:pPr>
        <w:pStyle w:val="Akapitzlist"/>
        <w:rPr>
          <w:rFonts w:ascii="Times New Roman" w:hAnsi="Times New Roman" w:cs="Times New Roman"/>
          <w:sz w:val="24"/>
          <w:szCs w:val="24"/>
        </w:rPr>
      </w:pPr>
    </w:p>
    <w:p w:rsidR="00A63E65" w:rsidRDefault="00A63E65" w:rsidP="00A63E65">
      <w:pPr>
        <w:pStyle w:val="Akapitzlist"/>
        <w:numPr>
          <w:ilvl w:val="0"/>
          <w:numId w:val="2"/>
        </w:numPr>
        <w:rPr>
          <w:rFonts w:ascii="Times New Roman" w:hAnsi="Times New Roman" w:cs="Times New Roman"/>
          <w:b/>
          <w:sz w:val="24"/>
          <w:szCs w:val="24"/>
        </w:rPr>
      </w:pPr>
      <w:r w:rsidRPr="00A63E65">
        <w:rPr>
          <w:rFonts w:ascii="Times New Roman" w:hAnsi="Times New Roman" w:cs="Times New Roman"/>
          <w:b/>
          <w:sz w:val="24"/>
          <w:szCs w:val="24"/>
        </w:rPr>
        <w:t xml:space="preserve">Przyjęte zasady (polityki) rachunkowości, w tym metody wyceny aktywów </w:t>
      </w:r>
      <w:r>
        <w:rPr>
          <w:rFonts w:ascii="Times New Roman" w:hAnsi="Times New Roman" w:cs="Times New Roman"/>
          <w:b/>
          <w:sz w:val="24"/>
          <w:szCs w:val="24"/>
        </w:rPr>
        <w:br/>
      </w:r>
      <w:r w:rsidRPr="00A63E65">
        <w:rPr>
          <w:rFonts w:ascii="Times New Roman" w:hAnsi="Times New Roman" w:cs="Times New Roman"/>
          <w:b/>
          <w:sz w:val="24"/>
          <w:szCs w:val="24"/>
        </w:rPr>
        <w:t>i pasywów</w:t>
      </w:r>
    </w:p>
    <w:p w:rsidR="00160DF2" w:rsidRDefault="00160DF2" w:rsidP="00160DF2">
      <w:pPr>
        <w:pStyle w:val="Akapitzlist"/>
        <w:rPr>
          <w:rFonts w:ascii="Times New Roman" w:hAnsi="Times New Roman" w:cs="Times New Roman"/>
          <w:b/>
          <w:sz w:val="24"/>
          <w:szCs w:val="24"/>
        </w:rPr>
      </w:pPr>
    </w:p>
    <w:p w:rsidR="00A63E65" w:rsidRDefault="00160DF2" w:rsidP="00160DF2">
      <w:pPr>
        <w:pStyle w:val="Akapitzlist"/>
        <w:numPr>
          <w:ilvl w:val="0"/>
          <w:numId w:val="3"/>
        </w:numPr>
        <w:rPr>
          <w:rFonts w:ascii="Times New Roman" w:hAnsi="Times New Roman" w:cs="Times New Roman"/>
          <w:b/>
          <w:sz w:val="24"/>
          <w:szCs w:val="24"/>
        </w:rPr>
      </w:pPr>
      <w:r>
        <w:rPr>
          <w:rFonts w:ascii="Times New Roman" w:hAnsi="Times New Roman" w:cs="Times New Roman"/>
          <w:b/>
          <w:sz w:val="24"/>
          <w:szCs w:val="24"/>
        </w:rPr>
        <w:t>Wartości niematerialne i prawne</w:t>
      </w:r>
    </w:p>
    <w:p w:rsidR="00160DF2" w:rsidRDefault="00160DF2" w:rsidP="00160DF2">
      <w:pPr>
        <w:pStyle w:val="Akapitzlist"/>
        <w:rPr>
          <w:rFonts w:ascii="Times New Roman" w:hAnsi="Times New Roman" w:cs="Times New Roman"/>
          <w:sz w:val="24"/>
          <w:szCs w:val="24"/>
        </w:rPr>
      </w:pPr>
      <w:r w:rsidRPr="00160DF2">
        <w:rPr>
          <w:rFonts w:ascii="Times New Roman" w:hAnsi="Times New Roman" w:cs="Times New Roman"/>
          <w:sz w:val="24"/>
          <w:szCs w:val="24"/>
        </w:rPr>
        <w:t xml:space="preserve">Wartości niematerialne i prawne są wyceniane według cen nabycia </w:t>
      </w:r>
      <w:r>
        <w:rPr>
          <w:rFonts w:ascii="Times New Roman" w:hAnsi="Times New Roman" w:cs="Times New Roman"/>
          <w:sz w:val="24"/>
          <w:szCs w:val="24"/>
        </w:rPr>
        <w:t>lub kosztu wytworzenia pomniejszonych o odpisy umorzeniowe i odpisy z tytułu trwałej utraty wartości.</w:t>
      </w:r>
    </w:p>
    <w:p w:rsidR="00160DF2" w:rsidRDefault="00160DF2" w:rsidP="00160DF2">
      <w:pPr>
        <w:pStyle w:val="Akapitzlist"/>
        <w:rPr>
          <w:rFonts w:ascii="Times New Roman" w:hAnsi="Times New Roman" w:cs="Times New Roman"/>
          <w:sz w:val="24"/>
          <w:szCs w:val="24"/>
        </w:rPr>
      </w:pPr>
      <w:r>
        <w:rPr>
          <w:rFonts w:ascii="Times New Roman" w:hAnsi="Times New Roman" w:cs="Times New Roman"/>
          <w:sz w:val="24"/>
          <w:szCs w:val="24"/>
        </w:rPr>
        <w:t xml:space="preserve">Wartości niematerialne i prawne o wartości do 10.000 zł i okresie używania dłuższym niż 1 rok podlegają umorzeniu w pełnej wartości w miesiącu wydania do używania. Wartości niematerialne i prawne, o wartości jednostkowej powyżej 10.000 zł i okresie </w:t>
      </w:r>
      <w:r>
        <w:rPr>
          <w:rFonts w:ascii="Times New Roman" w:hAnsi="Times New Roman" w:cs="Times New Roman"/>
          <w:sz w:val="24"/>
          <w:szCs w:val="24"/>
        </w:rPr>
        <w:lastRenderedPageBreak/>
        <w:t>używania dłuższym niż rok podlegają umorzeniu nie rzadziej niż raz w roku, według następujących stawek umorzeniowych:</w:t>
      </w:r>
    </w:p>
    <w:p w:rsidR="00160DF2" w:rsidRDefault="00160DF2" w:rsidP="00160DF2">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20% dla wartości niematerialnych i prawnych, których jednostkowa wartość początkowa jest równa bądź większa 100.000,00 zł nabytych na czas:</w:t>
      </w:r>
    </w:p>
    <w:p w:rsidR="000E7B12" w:rsidRDefault="000E7B12" w:rsidP="000E7B12">
      <w:pPr>
        <w:pStyle w:val="Akapitzlist"/>
        <w:ind w:left="1080"/>
        <w:rPr>
          <w:rFonts w:ascii="Times New Roman" w:hAnsi="Times New Roman" w:cs="Times New Roman"/>
          <w:sz w:val="24"/>
          <w:szCs w:val="24"/>
        </w:rPr>
      </w:pPr>
      <w:r>
        <w:rPr>
          <w:rFonts w:ascii="Times New Roman" w:hAnsi="Times New Roman" w:cs="Times New Roman"/>
          <w:sz w:val="24"/>
          <w:szCs w:val="24"/>
        </w:rPr>
        <w:t>- nieokreślony</w:t>
      </w:r>
    </w:p>
    <w:p w:rsidR="000E7B12" w:rsidRPr="000E7B12" w:rsidRDefault="000E7B12" w:rsidP="000E7B12">
      <w:pPr>
        <w:pStyle w:val="Akapitzlist"/>
        <w:ind w:left="1080"/>
        <w:rPr>
          <w:rFonts w:ascii="Times New Roman" w:hAnsi="Times New Roman" w:cs="Times New Roman"/>
          <w:sz w:val="24"/>
          <w:szCs w:val="24"/>
        </w:rPr>
      </w:pPr>
      <w:r>
        <w:rPr>
          <w:rFonts w:ascii="Times New Roman" w:hAnsi="Times New Roman" w:cs="Times New Roman"/>
          <w:sz w:val="24"/>
          <w:szCs w:val="24"/>
        </w:rPr>
        <w:t>-określony: powyżej lub równy 5 lat</w:t>
      </w:r>
    </w:p>
    <w:p w:rsidR="000E7B12" w:rsidRDefault="000E7B12" w:rsidP="000E7B12">
      <w:pPr>
        <w:pStyle w:val="Akapitzlist"/>
        <w:numPr>
          <w:ilvl w:val="0"/>
          <w:numId w:val="4"/>
        </w:numPr>
        <w:rPr>
          <w:rFonts w:ascii="Times New Roman" w:hAnsi="Times New Roman" w:cs="Times New Roman"/>
          <w:sz w:val="24"/>
          <w:szCs w:val="24"/>
        </w:rPr>
      </w:pPr>
      <w:r w:rsidRPr="000E7B12">
        <w:rPr>
          <w:rFonts w:ascii="Times New Roman" w:hAnsi="Times New Roman" w:cs="Times New Roman"/>
          <w:sz w:val="24"/>
          <w:szCs w:val="24"/>
        </w:rPr>
        <w:t>50% dla wartości niematerialnych i prawnych, których jednostkowa wartość początkowa zawiera się w przedziale kwotowym powyżej 10.000,00 zł i nie większym niż 100.000,00 zł nabytych na czas:</w:t>
      </w:r>
    </w:p>
    <w:p w:rsidR="000E7B12" w:rsidRDefault="000E7B12" w:rsidP="000E7B12">
      <w:pPr>
        <w:pStyle w:val="Akapitzlist"/>
        <w:ind w:left="1080"/>
        <w:rPr>
          <w:rFonts w:ascii="Times New Roman" w:hAnsi="Times New Roman" w:cs="Times New Roman"/>
          <w:sz w:val="24"/>
          <w:szCs w:val="24"/>
        </w:rPr>
      </w:pPr>
      <w:r>
        <w:rPr>
          <w:rFonts w:ascii="Times New Roman" w:hAnsi="Times New Roman" w:cs="Times New Roman"/>
          <w:sz w:val="24"/>
          <w:szCs w:val="24"/>
        </w:rPr>
        <w:t>- nieokreślony</w:t>
      </w:r>
    </w:p>
    <w:p w:rsidR="000E7B12" w:rsidRDefault="000E7B12" w:rsidP="000E7B12">
      <w:pPr>
        <w:pStyle w:val="Akapitzlist"/>
        <w:ind w:left="1080"/>
        <w:rPr>
          <w:rFonts w:ascii="Times New Roman" w:hAnsi="Times New Roman" w:cs="Times New Roman"/>
          <w:sz w:val="24"/>
          <w:szCs w:val="24"/>
        </w:rPr>
      </w:pPr>
      <w:r>
        <w:rPr>
          <w:rFonts w:ascii="Times New Roman" w:hAnsi="Times New Roman" w:cs="Times New Roman"/>
          <w:sz w:val="24"/>
          <w:szCs w:val="24"/>
        </w:rPr>
        <w:t>- określony: powyżej 1 roku,</w:t>
      </w:r>
    </w:p>
    <w:p w:rsidR="000E7B12" w:rsidRDefault="000E7B12" w:rsidP="000E7B12">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50% dla wartości niematerialnych i prawnych, których jednostkowa wartość porządkowa jest równa bądź większa 100.000, 00 zł nabytych na czas:</w:t>
      </w:r>
    </w:p>
    <w:p w:rsidR="000E7B12" w:rsidRDefault="000E7B12" w:rsidP="000E7B12">
      <w:pPr>
        <w:pStyle w:val="Akapitzlist"/>
        <w:ind w:left="1080"/>
        <w:rPr>
          <w:rFonts w:ascii="Times New Roman" w:hAnsi="Times New Roman" w:cs="Times New Roman"/>
          <w:sz w:val="24"/>
          <w:szCs w:val="24"/>
        </w:rPr>
      </w:pPr>
      <w:r>
        <w:rPr>
          <w:rFonts w:ascii="Times New Roman" w:hAnsi="Times New Roman" w:cs="Times New Roman"/>
          <w:sz w:val="24"/>
          <w:szCs w:val="24"/>
        </w:rPr>
        <w:t>- określony: powyżej 1 roku i nie dłużej niż 5 lat.</w:t>
      </w:r>
    </w:p>
    <w:p w:rsidR="001543DC" w:rsidRPr="000E7B12" w:rsidRDefault="001543DC" w:rsidP="000E7B12">
      <w:pPr>
        <w:pStyle w:val="Akapitzlist"/>
        <w:ind w:left="1080"/>
        <w:rPr>
          <w:rFonts w:ascii="Times New Roman" w:hAnsi="Times New Roman" w:cs="Times New Roman"/>
          <w:sz w:val="24"/>
          <w:szCs w:val="24"/>
        </w:rPr>
      </w:pPr>
    </w:p>
    <w:p w:rsidR="001543DC" w:rsidRPr="001543DC" w:rsidRDefault="001543DC" w:rsidP="001543DC">
      <w:pPr>
        <w:pStyle w:val="Akapitzlist"/>
        <w:keepNext/>
        <w:keepLines/>
        <w:numPr>
          <w:ilvl w:val="0"/>
          <w:numId w:val="3"/>
        </w:numPr>
        <w:rPr>
          <w:rFonts w:ascii="Times New Roman" w:hAnsi="Times New Roman" w:cs="Times New Roman"/>
          <w:b/>
          <w:color w:val="000000"/>
          <w:sz w:val="24"/>
          <w:szCs w:val="24"/>
        </w:rPr>
      </w:pPr>
      <w:r w:rsidRPr="001543DC">
        <w:rPr>
          <w:rFonts w:ascii="Times New Roman" w:hAnsi="Times New Roman" w:cs="Times New Roman"/>
          <w:b/>
          <w:color w:val="000000"/>
          <w:sz w:val="24"/>
          <w:szCs w:val="24"/>
        </w:rPr>
        <w:t xml:space="preserve">Środki trwałe </w:t>
      </w:r>
    </w:p>
    <w:p w:rsidR="001543DC" w:rsidRPr="001543DC" w:rsidRDefault="001543DC" w:rsidP="001543DC">
      <w:pPr>
        <w:pStyle w:val="Akapitzlist"/>
        <w:autoSpaceDE w:val="0"/>
        <w:autoSpaceDN w:val="0"/>
        <w:adjustRightInd w:val="0"/>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Środki trwałe ujmowane są w księgach rachunkowych według cen nabycia, kosztów wytworzenia lub wartości przeszacowanej pomniejszonych o dotychczas dokonane odpisy umorzeniowe, a także odpisy z tytułu trwałej utraty wartości. Środki trwałe otrzymane nieodpłatnie wyceniane są w wartości określonej w decyzji o przekazaniu, pomniejszonych o odpisy umorzeniowe i odpisy z tytułu trwałej utraty wartości, w przypadku gdy w decyzji nie została określona wartość - według ceny sprzedaży takiego samego środka trwałego lub podobnego.</w:t>
      </w:r>
    </w:p>
    <w:p w:rsidR="001543DC" w:rsidRDefault="001543DC" w:rsidP="001543DC">
      <w:pPr>
        <w:pStyle w:val="Nagwek3"/>
        <w:numPr>
          <w:ilvl w:val="0"/>
          <w:numId w:val="0"/>
        </w:numPr>
        <w:ind w:left="567"/>
        <w:jc w:val="both"/>
        <w:rPr>
          <w:rFonts w:eastAsiaTheme="minorHAnsi"/>
          <w:b w:val="0"/>
          <w:szCs w:val="24"/>
          <w:lang w:val="pl-PL" w:eastAsia="pl-PL"/>
        </w:rPr>
      </w:pPr>
      <w:r>
        <w:rPr>
          <w:rFonts w:eastAsiaTheme="minorHAnsi"/>
          <w:b w:val="0"/>
          <w:szCs w:val="24"/>
          <w:lang w:val="pl-PL" w:eastAsia="pl-PL"/>
        </w:rPr>
        <w:t xml:space="preserve">  </w:t>
      </w:r>
      <w:r w:rsidRPr="001543DC">
        <w:rPr>
          <w:rFonts w:eastAsiaTheme="minorHAnsi"/>
          <w:b w:val="0"/>
          <w:szCs w:val="24"/>
          <w:lang w:val="pl-PL" w:eastAsia="pl-PL"/>
        </w:rPr>
        <w:t xml:space="preserve">Cena nabycia i koszt wytworzenia środków trwałych obejmuje również koszt obsługi </w:t>
      </w:r>
      <w:r>
        <w:rPr>
          <w:rFonts w:eastAsiaTheme="minorHAnsi"/>
          <w:b w:val="0"/>
          <w:szCs w:val="24"/>
          <w:lang w:val="pl-PL" w:eastAsia="pl-PL"/>
        </w:rPr>
        <w:t xml:space="preserve">     </w:t>
      </w:r>
    </w:p>
    <w:p w:rsidR="001543DC" w:rsidRDefault="001543DC" w:rsidP="001543DC">
      <w:pPr>
        <w:pStyle w:val="Nagwek3"/>
        <w:numPr>
          <w:ilvl w:val="0"/>
          <w:numId w:val="0"/>
        </w:numPr>
        <w:ind w:left="567"/>
        <w:jc w:val="both"/>
        <w:rPr>
          <w:rFonts w:eastAsiaTheme="minorHAnsi"/>
          <w:b w:val="0"/>
          <w:szCs w:val="24"/>
          <w:lang w:val="pl-PL" w:eastAsia="pl-PL"/>
        </w:rPr>
      </w:pPr>
      <w:r>
        <w:rPr>
          <w:rFonts w:eastAsiaTheme="minorHAnsi"/>
          <w:b w:val="0"/>
          <w:szCs w:val="24"/>
          <w:lang w:val="pl-PL" w:eastAsia="pl-PL"/>
        </w:rPr>
        <w:t xml:space="preserve">  </w:t>
      </w:r>
      <w:r w:rsidRPr="001543DC">
        <w:rPr>
          <w:rFonts w:eastAsiaTheme="minorHAnsi"/>
          <w:b w:val="0"/>
          <w:szCs w:val="24"/>
          <w:lang w:val="pl-PL" w:eastAsia="pl-PL"/>
        </w:rPr>
        <w:t xml:space="preserve">zobowiązań zaciągniętych i wykorzystanych w celu ich finansowania za okres budowy, </w:t>
      </w:r>
      <w:r>
        <w:rPr>
          <w:rFonts w:eastAsiaTheme="minorHAnsi"/>
          <w:b w:val="0"/>
          <w:szCs w:val="24"/>
          <w:lang w:val="pl-PL" w:eastAsia="pl-PL"/>
        </w:rPr>
        <w:t xml:space="preserve"> </w:t>
      </w:r>
    </w:p>
    <w:p w:rsidR="001543DC" w:rsidRPr="001543DC" w:rsidRDefault="001543DC" w:rsidP="001543DC">
      <w:pPr>
        <w:pStyle w:val="Nagwek3"/>
        <w:numPr>
          <w:ilvl w:val="0"/>
          <w:numId w:val="0"/>
        </w:numPr>
        <w:ind w:left="567"/>
        <w:jc w:val="both"/>
        <w:rPr>
          <w:rFonts w:eastAsiaTheme="minorHAnsi"/>
          <w:b w:val="0"/>
          <w:szCs w:val="24"/>
          <w:lang w:val="pl-PL" w:eastAsia="pl-PL"/>
        </w:rPr>
      </w:pPr>
      <w:r>
        <w:rPr>
          <w:rFonts w:eastAsiaTheme="minorHAnsi"/>
          <w:b w:val="0"/>
          <w:szCs w:val="24"/>
          <w:lang w:val="pl-PL" w:eastAsia="pl-PL"/>
        </w:rPr>
        <w:t xml:space="preserve">  </w:t>
      </w:r>
      <w:r w:rsidRPr="001543DC">
        <w:rPr>
          <w:rFonts w:eastAsiaTheme="minorHAnsi"/>
          <w:b w:val="0"/>
          <w:szCs w:val="24"/>
          <w:lang w:val="pl-PL" w:eastAsia="pl-PL"/>
        </w:rPr>
        <w:t xml:space="preserve">montażu i przystosowania. </w:t>
      </w:r>
    </w:p>
    <w:p w:rsidR="001543DC" w:rsidRPr="001543DC" w:rsidRDefault="001543DC" w:rsidP="001543DC">
      <w:pPr>
        <w:tabs>
          <w:tab w:val="num" w:pos="567"/>
        </w:tabs>
        <w:ind w:left="708"/>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Cenę nabycia lub koszt wytworzenia środka trwałego powi</w:t>
      </w:r>
      <w:r>
        <w:rPr>
          <w:rFonts w:ascii="Times New Roman" w:hAnsi="Times New Roman" w:cs="Times New Roman"/>
          <w:sz w:val="24"/>
          <w:szCs w:val="24"/>
          <w:lang w:eastAsia="pl-PL"/>
        </w:rPr>
        <w:t>ększają koszty jego      ulepszenia.</w:t>
      </w:r>
    </w:p>
    <w:p w:rsidR="001543DC" w:rsidRPr="001543DC" w:rsidRDefault="001543DC" w:rsidP="001543DC">
      <w:pPr>
        <w:tabs>
          <w:tab w:val="num" w:pos="567"/>
        </w:tabs>
        <w:ind w:left="708"/>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Środki trwałe, z wyjątkiem gruntów amortyzowane są liniowo przy zastosowaniu stawek określonych w przepisach o podatku dochodowym od osób prawnych, zgodnie z rozporządzeniem w sprawie rachunkowości z 2017 r., za wyjątkiem stawki dotyczącej prawa wieczystego użytkowania gruntów, ustalonej przez Miasto na podstawie szacunków dotyczących długości trwania umów użytkowa</w:t>
      </w:r>
      <w:r>
        <w:rPr>
          <w:rFonts w:ascii="Times New Roman" w:hAnsi="Times New Roman" w:cs="Times New Roman"/>
          <w:sz w:val="24"/>
          <w:szCs w:val="24"/>
          <w:lang w:eastAsia="pl-PL"/>
        </w:rPr>
        <w:t>nia wieczystego gruntów.</w:t>
      </w:r>
    </w:p>
    <w:p w:rsidR="001543DC" w:rsidRPr="001543DC" w:rsidRDefault="001543DC" w:rsidP="001543DC">
      <w:pPr>
        <w:autoSpaceDE w:val="0"/>
        <w:autoSpaceDN w:val="0"/>
        <w:ind w:firstLine="708"/>
        <w:rPr>
          <w:rFonts w:ascii="Times New Roman" w:hAnsi="Times New Roman" w:cs="Times New Roman"/>
          <w:sz w:val="24"/>
          <w:szCs w:val="24"/>
          <w:lang w:eastAsia="pl-PL"/>
        </w:rPr>
      </w:pPr>
      <w:r w:rsidRPr="001543DC">
        <w:rPr>
          <w:rFonts w:ascii="Times New Roman" w:hAnsi="Times New Roman" w:cs="Times New Roman"/>
          <w:sz w:val="24"/>
          <w:szCs w:val="24"/>
          <w:lang w:eastAsia="pl-PL"/>
        </w:rPr>
        <w:t>Podstawowe stawki amor</w:t>
      </w:r>
      <w:r>
        <w:rPr>
          <w:rFonts w:ascii="Times New Roman" w:hAnsi="Times New Roman" w:cs="Times New Roman"/>
          <w:sz w:val="24"/>
          <w:szCs w:val="24"/>
          <w:lang w:eastAsia="pl-PL"/>
        </w:rPr>
        <w:t>tyzacji stosowane przez Miasto:</w:t>
      </w:r>
    </w:p>
    <w:p w:rsidR="001543DC" w:rsidRPr="001543DC" w:rsidRDefault="001543DC" w:rsidP="001543DC">
      <w:pPr>
        <w:tabs>
          <w:tab w:val="center" w:pos="7513"/>
          <w:tab w:val="left" w:pos="7938"/>
        </w:tabs>
        <w:autoSpaceDE w:val="0"/>
        <w:autoSpaceDN w:val="0"/>
        <w:ind w:left="567"/>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 xml:space="preserve">Budynki, lokale i obiekty inżynierii lądowej i wodnej                       </w:t>
      </w:r>
      <w:r w:rsidRPr="001543DC">
        <w:rPr>
          <w:rFonts w:ascii="Times New Roman" w:hAnsi="Times New Roman" w:cs="Times New Roman"/>
          <w:sz w:val="24"/>
          <w:szCs w:val="24"/>
          <w:lang w:eastAsia="pl-PL"/>
        </w:rPr>
        <w:tab/>
        <w:t>1,5%  ÷   10%</w:t>
      </w:r>
    </w:p>
    <w:p w:rsidR="001543DC" w:rsidRPr="001543DC" w:rsidRDefault="001543DC" w:rsidP="001543DC">
      <w:pPr>
        <w:tabs>
          <w:tab w:val="center" w:pos="7513"/>
          <w:tab w:val="left" w:pos="7938"/>
        </w:tabs>
        <w:autoSpaceDE w:val="0"/>
        <w:autoSpaceDN w:val="0"/>
        <w:ind w:left="567"/>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 xml:space="preserve">Urządzenia techniczne i maszyny </w:t>
      </w:r>
      <w:r w:rsidRPr="001543DC">
        <w:rPr>
          <w:rFonts w:ascii="Times New Roman" w:hAnsi="Times New Roman" w:cs="Times New Roman"/>
          <w:sz w:val="24"/>
          <w:szCs w:val="24"/>
          <w:lang w:eastAsia="pl-PL"/>
        </w:rPr>
        <w:tab/>
      </w: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4,5%  ÷   30%</w:t>
      </w:r>
    </w:p>
    <w:p w:rsidR="001543DC" w:rsidRPr="001543DC" w:rsidRDefault="001543DC" w:rsidP="001543DC">
      <w:pPr>
        <w:tabs>
          <w:tab w:val="center" w:pos="7513"/>
          <w:tab w:val="left" w:pos="7938"/>
        </w:tabs>
        <w:autoSpaceDE w:val="0"/>
        <w:autoSpaceDN w:val="0"/>
        <w:ind w:left="567"/>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 xml:space="preserve">Środki transportu </w:t>
      </w:r>
      <w:r w:rsidRPr="001543DC">
        <w:rPr>
          <w:rFonts w:ascii="Times New Roman" w:hAnsi="Times New Roman" w:cs="Times New Roman"/>
          <w:sz w:val="24"/>
          <w:szCs w:val="24"/>
          <w:lang w:eastAsia="pl-PL"/>
        </w:rPr>
        <w:tab/>
        <w:t xml:space="preserve">  </w:t>
      </w: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 xml:space="preserve"> 7%  ÷   20%</w:t>
      </w:r>
    </w:p>
    <w:p w:rsidR="001543DC" w:rsidRPr="001543DC" w:rsidRDefault="001543DC" w:rsidP="001543DC">
      <w:pPr>
        <w:tabs>
          <w:tab w:val="center" w:pos="7513"/>
          <w:tab w:val="left" w:pos="7938"/>
        </w:tabs>
        <w:autoSpaceDE w:val="0"/>
        <w:autoSpaceDN w:val="0"/>
        <w:ind w:left="567"/>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 xml:space="preserve">Inne środki trwałe </w:t>
      </w:r>
      <w:r w:rsidRPr="001543DC">
        <w:rPr>
          <w:rFonts w:ascii="Times New Roman" w:hAnsi="Times New Roman" w:cs="Times New Roman"/>
          <w:sz w:val="24"/>
          <w:szCs w:val="24"/>
          <w:lang w:eastAsia="pl-PL"/>
        </w:rPr>
        <w:tab/>
        <w:t xml:space="preserve"> </w:t>
      </w: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10%  ÷   20%</w:t>
      </w:r>
    </w:p>
    <w:p w:rsidR="001543DC" w:rsidRPr="001543DC" w:rsidRDefault="001543DC" w:rsidP="001543DC">
      <w:pPr>
        <w:tabs>
          <w:tab w:val="center" w:pos="7629"/>
          <w:tab w:val="left" w:pos="7657"/>
        </w:tabs>
        <w:autoSpaceDE w:val="0"/>
        <w:autoSpaceDN w:val="0"/>
        <w:ind w:left="567"/>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 xml:space="preserve">Prawo wieczystego użytkowania gruntu </w:t>
      </w:r>
      <w:r w:rsidRPr="001543DC">
        <w:rPr>
          <w:rFonts w:ascii="Times New Roman" w:hAnsi="Times New Roman" w:cs="Times New Roman"/>
          <w:sz w:val="24"/>
          <w:szCs w:val="24"/>
          <w:lang w:eastAsia="pl-PL"/>
        </w:rPr>
        <w:tab/>
        <w:t xml:space="preserve">           </w:t>
      </w:r>
      <w:r>
        <w:rPr>
          <w:rFonts w:ascii="Times New Roman" w:hAnsi="Times New Roman" w:cs="Times New Roman"/>
          <w:sz w:val="24"/>
          <w:szCs w:val="24"/>
          <w:lang w:eastAsia="pl-PL"/>
        </w:rPr>
        <w:t xml:space="preserve">            </w:t>
      </w:r>
      <w:r w:rsidRPr="001543DC">
        <w:rPr>
          <w:rFonts w:ascii="Times New Roman" w:hAnsi="Times New Roman" w:cs="Times New Roman"/>
          <w:sz w:val="24"/>
          <w:szCs w:val="24"/>
          <w:lang w:eastAsia="pl-PL"/>
        </w:rPr>
        <w:t>2,5%</w:t>
      </w:r>
    </w:p>
    <w:p w:rsidR="001543DC" w:rsidRPr="001543DC" w:rsidRDefault="001543DC" w:rsidP="001543DC">
      <w:pPr>
        <w:pStyle w:val="Nagwek3"/>
        <w:numPr>
          <w:ilvl w:val="0"/>
          <w:numId w:val="0"/>
        </w:numPr>
        <w:ind w:left="567"/>
        <w:rPr>
          <w:rFonts w:eastAsiaTheme="minorHAnsi"/>
          <w:b w:val="0"/>
          <w:szCs w:val="24"/>
          <w:lang w:val="pl-PL" w:eastAsia="pl-PL"/>
        </w:rPr>
      </w:pPr>
    </w:p>
    <w:p w:rsidR="001543DC" w:rsidRDefault="001543DC" w:rsidP="001543DC">
      <w:pPr>
        <w:autoSpaceDE w:val="0"/>
        <w:autoSpaceDN w:val="0"/>
        <w:ind w:left="567"/>
        <w:rPr>
          <w:rFonts w:ascii="Times New Roman" w:hAnsi="Times New Roman" w:cs="Times New Roman"/>
          <w:sz w:val="24"/>
          <w:szCs w:val="24"/>
          <w:lang w:eastAsia="pl-PL"/>
        </w:rPr>
      </w:pPr>
      <w:r w:rsidRPr="001543DC">
        <w:rPr>
          <w:rFonts w:ascii="Times New Roman" w:hAnsi="Times New Roman" w:cs="Times New Roman"/>
          <w:sz w:val="24"/>
          <w:szCs w:val="24"/>
          <w:lang w:eastAsia="pl-PL"/>
        </w:rPr>
        <w:t>Środki trwałe o niskiej jednostkowej wartości początkowej, tj. do 10.000 złotych umarza się jednorazowo w miesiącu przekazania ich do użytkowania.</w:t>
      </w:r>
    </w:p>
    <w:p w:rsidR="001543DC" w:rsidRDefault="001543DC" w:rsidP="001543DC">
      <w:pPr>
        <w:pStyle w:val="Akapitzlist"/>
        <w:numPr>
          <w:ilvl w:val="0"/>
          <w:numId w:val="3"/>
        </w:numPr>
        <w:autoSpaceDE w:val="0"/>
        <w:autoSpaceDN w:val="0"/>
        <w:rPr>
          <w:rFonts w:ascii="Times New Roman" w:hAnsi="Times New Roman" w:cs="Times New Roman"/>
          <w:b/>
          <w:sz w:val="24"/>
          <w:szCs w:val="24"/>
          <w:lang w:eastAsia="pl-PL"/>
        </w:rPr>
      </w:pPr>
      <w:r w:rsidRPr="001543DC">
        <w:rPr>
          <w:rFonts w:ascii="Times New Roman" w:hAnsi="Times New Roman" w:cs="Times New Roman"/>
          <w:b/>
          <w:sz w:val="24"/>
          <w:szCs w:val="24"/>
          <w:lang w:eastAsia="pl-PL"/>
        </w:rPr>
        <w:t>Środki trwałe w budowie</w:t>
      </w:r>
    </w:p>
    <w:p w:rsidR="001543DC" w:rsidRPr="001543DC" w:rsidRDefault="001543DC" w:rsidP="001543DC">
      <w:pPr>
        <w:pStyle w:val="Akapitzlist"/>
        <w:tabs>
          <w:tab w:val="left" w:pos="567"/>
        </w:tabs>
        <w:autoSpaceDE w:val="0"/>
        <w:autoSpaceDN w:val="0"/>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Środki trwałe w budowie są wyceniane wg kosztów związanych bezpośrednio z nabyciem lub wytworzeniem danego środka trwałego.</w:t>
      </w:r>
    </w:p>
    <w:p w:rsidR="001543DC" w:rsidRPr="001543DC" w:rsidRDefault="001543DC" w:rsidP="001543DC">
      <w:pPr>
        <w:pStyle w:val="Akapitzlist"/>
        <w:tabs>
          <w:tab w:val="left" w:pos="567"/>
        </w:tabs>
        <w:autoSpaceDE w:val="0"/>
        <w:autoSpaceDN w:val="0"/>
        <w:spacing w:after="0" w:line="240" w:lineRule="auto"/>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 xml:space="preserve">Cena nabycia i koszt wytworzenia środków trwałych w budowie obejmuje również koszt obsługi zobowiązań zaciągniętych i wykorzystanych w celu ich finansowania za okres budowy, montażu i przystosowania, ujmując koszty finansowania dotyczące wykorzystanej kwoty kredytu. </w:t>
      </w:r>
    </w:p>
    <w:p w:rsidR="001543DC" w:rsidRPr="001543DC" w:rsidRDefault="001543DC" w:rsidP="001543DC">
      <w:pPr>
        <w:tabs>
          <w:tab w:val="left" w:pos="567"/>
        </w:tabs>
        <w:autoSpaceDE w:val="0"/>
        <w:autoSpaceDN w:val="0"/>
        <w:spacing w:after="0" w:line="240" w:lineRule="auto"/>
        <w:ind w:left="708"/>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Środki trwałe w budowie nie są amortyzowane do momentu zakończenia b</w:t>
      </w:r>
      <w:r>
        <w:rPr>
          <w:rFonts w:ascii="Times New Roman" w:hAnsi="Times New Roman" w:cs="Times New Roman"/>
          <w:sz w:val="24"/>
          <w:szCs w:val="24"/>
          <w:lang w:eastAsia="pl-PL"/>
        </w:rPr>
        <w:t>udowy i oddania do użytkowania.</w:t>
      </w:r>
    </w:p>
    <w:p w:rsidR="001543DC" w:rsidRPr="001543DC" w:rsidRDefault="001543DC" w:rsidP="001543DC">
      <w:pPr>
        <w:tabs>
          <w:tab w:val="left" w:pos="567"/>
        </w:tabs>
        <w:autoSpaceDE w:val="0"/>
        <w:autoSpaceDN w:val="0"/>
        <w:spacing w:after="0" w:line="240" w:lineRule="auto"/>
        <w:ind w:left="708"/>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Środki trwałe w budowie bez efektu ekonomicznego odnoszone są na zmniejszenie Funduszu.</w:t>
      </w:r>
    </w:p>
    <w:p w:rsidR="001543DC" w:rsidRDefault="001543DC" w:rsidP="00244B6B">
      <w:pPr>
        <w:tabs>
          <w:tab w:val="left" w:pos="567"/>
        </w:tabs>
        <w:autoSpaceDE w:val="0"/>
        <w:autoSpaceDN w:val="0"/>
        <w:spacing w:after="0" w:line="240" w:lineRule="auto"/>
        <w:ind w:left="708"/>
        <w:jc w:val="both"/>
        <w:rPr>
          <w:rFonts w:ascii="Times New Roman" w:hAnsi="Times New Roman" w:cs="Times New Roman"/>
          <w:sz w:val="24"/>
          <w:szCs w:val="24"/>
          <w:lang w:eastAsia="pl-PL"/>
        </w:rPr>
      </w:pPr>
      <w:r w:rsidRPr="001543DC">
        <w:rPr>
          <w:rFonts w:ascii="Times New Roman" w:hAnsi="Times New Roman" w:cs="Times New Roman"/>
          <w:sz w:val="24"/>
          <w:szCs w:val="24"/>
          <w:lang w:eastAsia="pl-PL"/>
        </w:rPr>
        <w:t>Miasto dokonuje odpisów z tytułu trwałej utraty wartości środków trwałych w budowie, dotyczących zadań inwestycyjnych rozpoczętych i niezrealizowanych, w szczególności w przypadkach zaprzestania ponoszenia nakładów w dłuższym okresie czasu i braku planowanych nakładów w Wieloletniej Prognozie Finansowej.</w:t>
      </w:r>
    </w:p>
    <w:p w:rsidR="00244B6B" w:rsidRPr="00244B6B" w:rsidRDefault="00244B6B" w:rsidP="00244B6B">
      <w:pPr>
        <w:tabs>
          <w:tab w:val="left" w:pos="567"/>
        </w:tabs>
        <w:autoSpaceDE w:val="0"/>
        <w:autoSpaceDN w:val="0"/>
        <w:spacing w:after="0" w:line="240" w:lineRule="auto"/>
        <w:ind w:left="708"/>
        <w:jc w:val="both"/>
        <w:rPr>
          <w:rFonts w:ascii="Times New Roman" w:hAnsi="Times New Roman" w:cs="Times New Roman"/>
          <w:sz w:val="24"/>
          <w:szCs w:val="24"/>
          <w:lang w:eastAsia="pl-PL"/>
        </w:rPr>
      </w:pPr>
    </w:p>
    <w:p w:rsidR="001543DC" w:rsidRDefault="001543DC" w:rsidP="001543DC">
      <w:pPr>
        <w:pStyle w:val="Akapitzlist"/>
        <w:numPr>
          <w:ilvl w:val="0"/>
          <w:numId w:val="3"/>
        </w:numPr>
        <w:tabs>
          <w:tab w:val="left" w:pos="567"/>
        </w:tabs>
        <w:autoSpaceDE w:val="0"/>
        <w:autoSpaceDN w:val="0"/>
        <w:jc w:val="both"/>
        <w:rPr>
          <w:rFonts w:ascii="Times New Roman" w:hAnsi="Times New Roman" w:cs="Times New Roman"/>
          <w:b/>
          <w:sz w:val="24"/>
          <w:szCs w:val="24"/>
          <w:lang w:eastAsia="pl-PL"/>
        </w:rPr>
      </w:pPr>
      <w:r w:rsidRPr="001543DC">
        <w:rPr>
          <w:rFonts w:ascii="Times New Roman" w:hAnsi="Times New Roman" w:cs="Times New Roman"/>
          <w:b/>
          <w:sz w:val="24"/>
          <w:szCs w:val="24"/>
          <w:lang w:eastAsia="pl-PL"/>
        </w:rPr>
        <w:t xml:space="preserve"> Należności krótko- i długoterminowe</w:t>
      </w:r>
    </w:p>
    <w:p w:rsidR="00244B6B" w:rsidRPr="00244B6B" w:rsidRDefault="00244B6B" w:rsidP="00244B6B">
      <w:pPr>
        <w:pStyle w:val="Tekstpodstawowy"/>
        <w:keepLines/>
        <w:spacing w:after="0"/>
        <w:ind w:left="720"/>
        <w:rPr>
          <w:rFonts w:eastAsiaTheme="minorHAnsi"/>
          <w:color w:val="auto"/>
          <w:szCs w:val="24"/>
          <w:lang w:val="pl-PL" w:eastAsia="pl-PL"/>
        </w:rPr>
      </w:pPr>
      <w:r w:rsidRPr="00244B6B">
        <w:rPr>
          <w:rFonts w:eastAsiaTheme="minorHAnsi"/>
          <w:color w:val="auto"/>
          <w:szCs w:val="24"/>
          <w:lang w:val="pl-PL" w:eastAsia="pl-PL"/>
        </w:rPr>
        <w:t>Należności wycenia się w kwocie wymaganej zapłaty, z zachowaniem zasady ostrożnej wyceny i wykazuje w wartości netto (po pomniejszeniu o odpisy aktualizujące).</w:t>
      </w:r>
    </w:p>
    <w:p w:rsidR="00244B6B" w:rsidRPr="00244B6B" w:rsidRDefault="00244B6B" w:rsidP="00244B6B">
      <w:pPr>
        <w:pStyle w:val="Tekstpodstawowy"/>
        <w:keepLines/>
        <w:spacing w:after="0"/>
        <w:ind w:left="720"/>
        <w:rPr>
          <w:rFonts w:eastAsiaTheme="minorHAnsi"/>
          <w:color w:val="auto"/>
          <w:szCs w:val="24"/>
          <w:lang w:val="pl-PL" w:eastAsia="pl-PL"/>
        </w:rPr>
      </w:pPr>
      <w:r w:rsidRPr="00244B6B">
        <w:rPr>
          <w:rFonts w:eastAsiaTheme="minorHAnsi"/>
          <w:color w:val="auto"/>
          <w:szCs w:val="24"/>
          <w:lang w:val="pl-PL" w:eastAsia="pl-PL"/>
        </w:rPr>
        <w:t xml:space="preserve">Wartość należności podlega aktualizacji wyceny przy uwzględnieniu stopnia prawdopodobieństwa zapłaty poprzez dokonanie odpisu aktualizującego. </w:t>
      </w:r>
    </w:p>
    <w:p w:rsidR="00244B6B" w:rsidRPr="00244B6B" w:rsidRDefault="00244B6B" w:rsidP="00244B6B">
      <w:pPr>
        <w:pStyle w:val="Akapitzlist"/>
        <w:autoSpaceDE w:val="0"/>
        <w:autoSpaceDN w:val="0"/>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Należności umorzone, przedawnione lub nieściągalne, które uprzednio były objęte odpisem aktualizującym zmniejszają wartość dokonanych uprzednio odpisów aktualizujących. Należności umorzone, przedawnione lub nieściągalne, od których nie dokonano odpisów aktualizujących ich wartość lub dokonano odpisów w niepełnej wysokości zalicza się odpowiednio do pozostałych kosztów operacyjnych lub kosztów finansowych, za wyjątkiem należności z tytułu podatków i opłat, do których stosuje się rozporządzenie Ministra Finansów z dnia 25 października 2010 r. w sprawie zasad rachunkowości oraz planów kont dla organów podatkowych jednostek samorządu terytorialnego (Dz. U. Nr 208 poz.1375), dla których dokonuje się jako pomniejszenie przychodów z tytułu dochodów budżetowych.</w:t>
      </w:r>
    </w:p>
    <w:p w:rsidR="00244B6B" w:rsidRDefault="00244B6B" w:rsidP="00244B6B">
      <w:pPr>
        <w:pStyle w:val="Tekstpodstawowy"/>
        <w:keepLines/>
        <w:tabs>
          <w:tab w:val="left" w:pos="567"/>
          <w:tab w:val="left" w:pos="1134"/>
        </w:tabs>
        <w:spacing w:after="0"/>
        <w:ind w:left="720"/>
        <w:rPr>
          <w:rFonts w:eastAsiaTheme="minorHAnsi"/>
          <w:color w:val="auto"/>
          <w:szCs w:val="24"/>
          <w:lang w:val="pl-PL" w:eastAsia="pl-PL"/>
        </w:rPr>
      </w:pPr>
      <w:r w:rsidRPr="00244B6B">
        <w:rPr>
          <w:rFonts w:eastAsiaTheme="minorHAnsi"/>
          <w:color w:val="auto"/>
          <w:szCs w:val="24"/>
          <w:lang w:val="pl-PL" w:eastAsia="pl-PL"/>
        </w:rPr>
        <w:t xml:space="preserve">Do należności długoterminowych zaliczane są należności, których termin płatności przypada w okresie przekraczającym 12 miesięcy od dnia bilansowego. Nie dotyczy to należności z tyt. dostaw i usług, które zawsze prezentowane są jako należności krótkoterminowe. Do należności długoterminowych zalicza się m.in. wieloletnie decyzje administracyjne wydawane w związku z umieszczeniem w pasie drogowym urządzeń infrastruktury technicznej niezwiązanych z potrzebami zarządzania drogami lub potrzebami ruchu drogowego, przekształcenie prawa użytkowania wieczystego w prawo własności, sprzedaż lokali mieszkaniowych i użytkowych, których płatność została rozłożona na raty, a termin spłaty przypada w okresie przekraczającym 12 miesięcy od dnia bilansowego. </w:t>
      </w:r>
    </w:p>
    <w:p w:rsidR="00244B6B" w:rsidRDefault="00244B6B" w:rsidP="00244B6B">
      <w:pPr>
        <w:pStyle w:val="Tekstpodstawowy"/>
        <w:keepLines/>
        <w:tabs>
          <w:tab w:val="left" w:pos="567"/>
          <w:tab w:val="left" w:pos="1134"/>
        </w:tabs>
        <w:spacing w:after="0"/>
        <w:ind w:left="720"/>
        <w:rPr>
          <w:rFonts w:eastAsiaTheme="minorHAnsi"/>
          <w:color w:val="auto"/>
          <w:szCs w:val="24"/>
          <w:lang w:val="pl-PL" w:eastAsia="pl-PL"/>
        </w:rPr>
      </w:pPr>
    </w:p>
    <w:p w:rsidR="00244B6B" w:rsidRDefault="00244B6B" w:rsidP="00244B6B">
      <w:pPr>
        <w:pStyle w:val="Tekstpodstawowy"/>
        <w:keepLines/>
        <w:tabs>
          <w:tab w:val="left" w:pos="567"/>
          <w:tab w:val="left" w:pos="1134"/>
        </w:tabs>
        <w:spacing w:after="0"/>
        <w:ind w:left="720"/>
        <w:rPr>
          <w:rFonts w:eastAsiaTheme="minorHAnsi"/>
          <w:color w:val="auto"/>
          <w:szCs w:val="24"/>
          <w:lang w:val="pl-PL" w:eastAsia="pl-PL"/>
        </w:rPr>
      </w:pPr>
    </w:p>
    <w:p w:rsidR="00244B6B" w:rsidRDefault="00244B6B" w:rsidP="00244B6B">
      <w:pPr>
        <w:pStyle w:val="Tekstpodstawowy"/>
        <w:keepLines/>
        <w:tabs>
          <w:tab w:val="left" w:pos="567"/>
          <w:tab w:val="left" w:pos="1134"/>
        </w:tabs>
        <w:spacing w:after="0"/>
        <w:ind w:left="720"/>
        <w:rPr>
          <w:rFonts w:eastAsiaTheme="minorHAnsi"/>
          <w:color w:val="auto"/>
          <w:szCs w:val="24"/>
          <w:lang w:val="pl-PL" w:eastAsia="pl-PL"/>
        </w:rPr>
      </w:pPr>
    </w:p>
    <w:p w:rsidR="00244B6B" w:rsidRPr="00244B6B" w:rsidRDefault="00244B6B" w:rsidP="00244B6B">
      <w:pPr>
        <w:pStyle w:val="Akapitzlist"/>
        <w:numPr>
          <w:ilvl w:val="0"/>
          <w:numId w:val="3"/>
        </w:numPr>
        <w:tabs>
          <w:tab w:val="left" w:pos="567"/>
        </w:tabs>
        <w:autoSpaceDE w:val="0"/>
        <w:autoSpaceDN w:val="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   </w:t>
      </w:r>
      <w:r w:rsidRPr="00244B6B">
        <w:rPr>
          <w:rFonts w:ascii="Times New Roman" w:hAnsi="Times New Roman" w:cs="Times New Roman"/>
          <w:b/>
          <w:sz w:val="24"/>
          <w:szCs w:val="24"/>
          <w:lang w:eastAsia="pl-PL"/>
        </w:rPr>
        <w:t>Rozliczenia międzyokresowe kosztów</w:t>
      </w:r>
    </w:p>
    <w:p w:rsidR="00244B6B" w:rsidRPr="00244B6B" w:rsidRDefault="00244B6B" w:rsidP="00244B6B">
      <w:pPr>
        <w:pStyle w:val="Akapitzlist"/>
        <w:keepNext/>
        <w:keepLines/>
        <w:autoSpaceDE w:val="0"/>
        <w:autoSpaceDN w:val="0"/>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Czynne rozliczenia międzyokresowe kosztów obejmują poniesione koszty przyszłych okresów sprawozdawczych. Ujmuje się także na dzień bilansowy wartość zinwentaryzowanych druków komunikacyjnych i tablic rejestracyjnych.</w:t>
      </w:r>
    </w:p>
    <w:p w:rsidR="00244B6B" w:rsidRPr="00244B6B" w:rsidRDefault="00244B6B" w:rsidP="00244B6B">
      <w:pPr>
        <w:pStyle w:val="Akapitzlist"/>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Odpisy czynnych rozliczeń międzyokresowych kosztów następują stosownie do upływu czasu lub wielkości świadczeń. Czas i sposób rozliczenia jest uzasadniony charakterem rozliczanych kosztów z zachowaniem zasady ostrożnej wyceny.</w:t>
      </w:r>
    </w:p>
    <w:p w:rsidR="00244B6B" w:rsidRDefault="00244B6B" w:rsidP="00244B6B">
      <w:pPr>
        <w:pStyle w:val="Akapitzlist"/>
        <w:keepLines/>
        <w:tabs>
          <w:tab w:val="left" w:pos="360"/>
          <w:tab w:val="left" w:pos="720"/>
          <w:tab w:val="left" w:pos="1080"/>
          <w:tab w:val="left" w:pos="1440"/>
          <w:tab w:val="left" w:pos="2880"/>
          <w:tab w:val="left" w:pos="4320"/>
          <w:tab w:val="left" w:pos="5760"/>
          <w:tab w:val="left" w:pos="7200"/>
          <w:tab w:val="left" w:pos="8640"/>
          <w:tab w:val="left" w:pos="10440"/>
        </w:tabs>
        <w:autoSpaceDE w:val="0"/>
        <w:autoSpaceDN w:val="0"/>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 xml:space="preserve">Bierne rozliczenia międzyokresowe kosztów dokonywane są w wysokości prawdopodobnych zobowiązań przypadających na bieżący okres sprawozdawczy, wynikających w szczególności ze świadczeń wykonanych na rzecz Miasta przez kontrahentów Miasta, gdy kwotę zobowiązania można oszacować w sposób wiarygodny. </w:t>
      </w:r>
    </w:p>
    <w:p w:rsidR="00244B6B" w:rsidRPr="00244B6B" w:rsidRDefault="00244B6B" w:rsidP="00244B6B">
      <w:pPr>
        <w:pStyle w:val="Tekstpodstawowy"/>
        <w:keepLines/>
        <w:numPr>
          <w:ilvl w:val="0"/>
          <w:numId w:val="3"/>
        </w:numPr>
        <w:tabs>
          <w:tab w:val="left" w:pos="567"/>
          <w:tab w:val="left" w:pos="1134"/>
        </w:tabs>
        <w:spacing w:after="0"/>
        <w:rPr>
          <w:rFonts w:eastAsiaTheme="minorHAnsi"/>
          <w:b/>
          <w:color w:val="auto"/>
          <w:szCs w:val="24"/>
          <w:lang w:val="pl-PL" w:eastAsia="pl-PL"/>
        </w:rPr>
      </w:pPr>
      <w:r>
        <w:rPr>
          <w:rFonts w:eastAsiaTheme="minorHAnsi"/>
          <w:b/>
          <w:color w:val="auto"/>
          <w:szCs w:val="24"/>
          <w:lang w:val="pl-PL" w:eastAsia="pl-PL"/>
        </w:rPr>
        <w:t xml:space="preserve">   </w:t>
      </w:r>
      <w:r w:rsidRPr="00244B6B">
        <w:rPr>
          <w:rFonts w:eastAsiaTheme="minorHAnsi"/>
          <w:b/>
          <w:color w:val="auto"/>
          <w:szCs w:val="24"/>
          <w:lang w:val="pl-PL" w:eastAsia="pl-PL"/>
        </w:rPr>
        <w:t>Sumy obce</w:t>
      </w:r>
    </w:p>
    <w:p w:rsidR="00244B6B" w:rsidRDefault="00244B6B" w:rsidP="00244B6B">
      <w:pPr>
        <w:pStyle w:val="Akapitzlist"/>
        <w:keepLines/>
        <w:tabs>
          <w:tab w:val="left" w:pos="0"/>
          <w:tab w:val="left" w:pos="1080"/>
          <w:tab w:val="left" w:pos="1440"/>
          <w:tab w:val="left" w:pos="2880"/>
          <w:tab w:val="left" w:pos="4320"/>
          <w:tab w:val="left" w:pos="5760"/>
          <w:tab w:val="left" w:pos="7200"/>
          <w:tab w:val="left" w:pos="8640"/>
          <w:tab w:val="left" w:pos="10440"/>
        </w:tabs>
        <w:autoSpaceDE w:val="0"/>
        <w:autoSpaceDN w:val="0"/>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Celem zabezpieczenia interesów finansowych Miasta wynikających z podpisanych umów inwestycyjnych oraz umów o dostawę usług Miasto przyjmuje na wyodrębnione rachunki pieniężne w bankach kaucje i depozyty pieniężne będące gwarancją należytego wykonania usługi. Sumy te wykazywane są na dzień bilansowy w kwocie wymagającej zapłaty.</w:t>
      </w:r>
    </w:p>
    <w:p w:rsidR="00244B6B" w:rsidRDefault="00244B6B" w:rsidP="00244B6B">
      <w:pPr>
        <w:pStyle w:val="Akapitzlist"/>
        <w:keepLines/>
        <w:tabs>
          <w:tab w:val="left" w:pos="0"/>
          <w:tab w:val="left" w:pos="1080"/>
          <w:tab w:val="left" w:pos="1440"/>
          <w:tab w:val="left" w:pos="2880"/>
          <w:tab w:val="left" w:pos="4320"/>
          <w:tab w:val="left" w:pos="5760"/>
          <w:tab w:val="left" w:pos="7200"/>
          <w:tab w:val="left" w:pos="8640"/>
          <w:tab w:val="left" w:pos="10440"/>
        </w:tabs>
        <w:autoSpaceDE w:val="0"/>
        <w:autoSpaceDN w:val="0"/>
        <w:jc w:val="both"/>
        <w:rPr>
          <w:rFonts w:ascii="Times New Roman" w:hAnsi="Times New Roman" w:cs="Times New Roman"/>
          <w:sz w:val="24"/>
          <w:szCs w:val="24"/>
          <w:lang w:eastAsia="pl-PL"/>
        </w:rPr>
      </w:pPr>
    </w:p>
    <w:p w:rsidR="00244B6B" w:rsidRPr="00244B6B" w:rsidRDefault="00244B6B" w:rsidP="00244B6B">
      <w:pPr>
        <w:pStyle w:val="Akapitzlist"/>
        <w:keepLines/>
        <w:numPr>
          <w:ilvl w:val="0"/>
          <w:numId w:val="3"/>
        </w:numPr>
        <w:tabs>
          <w:tab w:val="left" w:pos="0"/>
          <w:tab w:val="left" w:pos="1080"/>
          <w:tab w:val="left" w:pos="1440"/>
          <w:tab w:val="left" w:pos="2880"/>
          <w:tab w:val="left" w:pos="4320"/>
          <w:tab w:val="left" w:pos="5760"/>
          <w:tab w:val="left" w:pos="7200"/>
          <w:tab w:val="left" w:pos="8640"/>
          <w:tab w:val="left" w:pos="10440"/>
        </w:tabs>
        <w:autoSpaceDE w:val="0"/>
        <w:autoSpaceDN w:val="0"/>
        <w:jc w:val="both"/>
        <w:rPr>
          <w:rFonts w:ascii="Times New Roman" w:hAnsi="Times New Roman" w:cs="Times New Roman"/>
          <w:b/>
          <w:sz w:val="24"/>
          <w:szCs w:val="24"/>
          <w:lang w:eastAsia="pl-PL"/>
        </w:rPr>
      </w:pPr>
      <w:r w:rsidRPr="00244B6B">
        <w:rPr>
          <w:rFonts w:ascii="Times New Roman" w:hAnsi="Times New Roman" w:cs="Times New Roman"/>
          <w:b/>
          <w:sz w:val="24"/>
          <w:szCs w:val="24"/>
          <w:lang w:eastAsia="pl-PL"/>
        </w:rPr>
        <w:t>Rezerwy</w:t>
      </w:r>
    </w:p>
    <w:p w:rsidR="00244B6B" w:rsidRPr="00244B6B" w:rsidRDefault="00244B6B" w:rsidP="00244B6B">
      <w:pPr>
        <w:autoSpaceDE w:val="0"/>
        <w:autoSpaceDN w:val="0"/>
        <w:ind w:left="567"/>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Rezerwy są tworzone, jeśli na Mieście ciąży obowiązek (prawny lub zwyczajowy), wynikający ze zdarzeń przeszłych i jest pewne lub wysoce prawdopodobne, że wypełnienie tego obowiązku spowoduje wypływ środków lub wydanie innego aktywa oraz gdy można dokonać wiarygodnego oszac</w:t>
      </w:r>
      <w:r>
        <w:rPr>
          <w:rFonts w:ascii="Times New Roman" w:hAnsi="Times New Roman" w:cs="Times New Roman"/>
          <w:sz w:val="24"/>
          <w:szCs w:val="24"/>
          <w:lang w:eastAsia="pl-PL"/>
        </w:rPr>
        <w:t>owania kwoty tego zobowiązania.</w:t>
      </w:r>
    </w:p>
    <w:p w:rsidR="00244B6B" w:rsidRPr="00244B6B" w:rsidRDefault="00244B6B" w:rsidP="00244B6B">
      <w:pPr>
        <w:autoSpaceDE w:val="0"/>
        <w:autoSpaceDN w:val="0"/>
        <w:ind w:left="567"/>
        <w:jc w:val="both"/>
        <w:rPr>
          <w:rFonts w:ascii="Times New Roman" w:hAnsi="Times New Roman" w:cs="Times New Roman"/>
          <w:sz w:val="24"/>
          <w:szCs w:val="24"/>
          <w:lang w:eastAsia="pl-PL"/>
        </w:rPr>
      </w:pPr>
      <w:r>
        <w:rPr>
          <w:rFonts w:ascii="Times New Roman" w:hAnsi="Times New Roman" w:cs="Times New Roman"/>
          <w:sz w:val="24"/>
          <w:szCs w:val="24"/>
          <w:lang w:eastAsia="pl-PL"/>
        </w:rPr>
        <w:t>Miasto tworzy rezerwy m.in.:</w:t>
      </w:r>
    </w:p>
    <w:p w:rsidR="00244B6B" w:rsidRPr="00244B6B" w:rsidRDefault="00244B6B" w:rsidP="00244B6B">
      <w:pPr>
        <w:pStyle w:val="Akapitzlist"/>
        <w:widowControl w:val="0"/>
        <w:numPr>
          <w:ilvl w:val="0"/>
          <w:numId w:val="7"/>
        </w:numPr>
        <w:tabs>
          <w:tab w:val="num" w:pos="1100"/>
        </w:tabs>
        <w:autoSpaceDE w:val="0"/>
        <w:autoSpaceDN w:val="0"/>
        <w:adjustRightInd w:val="0"/>
        <w:spacing w:after="0" w:line="240" w:lineRule="auto"/>
        <w:jc w:val="both"/>
        <w:textAlignment w:val="baseline"/>
        <w:rPr>
          <w:rFonts w:ascii="Times New Roman" w:hAnsi="Times New Roman" w:cs="Times New Roman"/>
          <w:sz w:val="24"/>
          <w:szCs w:val="24"/>
          <w:lang w:eastAsia="pl-PL"/>
        </w:rPr>
      </w:pPr>
      <w:r w:rsidRPr="00244B6B">
        <w:rPr>
          <w:rFonts w:ascii="Times New Roman" w:hAnsi="Times New Roman" w:cs="Times New Roman"/>
          <w:sz w:val="24"/>
          <w:szCs w:val="24"/>
          <w:lang w:eastAsia="pl-PL"/>
        </w:rPr>
        <w:t>na sprawy sądowe, których prawdopodobieństwo wyroku niekorzystnego dla jednostki jest większe niż prawdopodobieństwo wyroku korzystnego;</w:t>
      </w:r>
    </w:p>
    <w:p w:rsidR="00244B6B" w:rsidRPr="00244B6B" w:rsidRDefault="00244B6B" w:rsidP="00244B6B">
      <w:pPr>
        <w:widowControl w:val="0"/>
        <w:numPr>
          <w:ilvl w:val="0"/>
          <w:numId w:val="7"/>
        </w:numPr>
        <w:tabs>
          <w:tab w:val="num" w:pos="1100"/>
        </w:tabs>
        <w:autoSpaceDE w:val="0"/>
        <w:autoSpaceDN w:val="0"/>
        <w:adjustRightInd w:val="0"/>
        <w:spacing w:after="0" w:line="240" w:lineRule="auto"/>
        <w:jc w:val="both"/>
        <w:textAlignment w:val="baseline"/>
        <w:rPr>
          <w:rFonts w:ascii="Times New Roman" w:hAnsi="Times New Roman" w:cs="Times New Roman"/>
          <w:sz w:val="24"/>
          <w:szCs w:val="24"/>
          <w:lang w:eastAsia="pl-PL"/>
        </w:rPr>
      </w:pPr>
      <w:r w:rsidRPr="00244B6B">
        <w:rPr>
          <w:rFonts w:ascii="Times New Roman" w:hAnsi="Times New Roman" w:cs="Times New Roman"/>
          <w:sz w:val="24"/>
          <w:szCs w:val="24"/>
          <w:lang w:eastAsia="pl-PL"/>
        </w:rPr>
        <w:t>na odszkodowania z tytułów: wywłaszczenia nieruchomości, zajęcia pasa pod drogi, z bezumownego korzystania z nieruchomości, nieruchomości warszawskie „Dekret Bieruta” oraz uchwalenie planu miejscowego zagospodarowania przestrzennego;</w:t>
      </w:r>
    </w:p>
    <w:p w:rsidR="00244B6B" w:rsidRPr="006E32E5" w:rsidRDefault="00244B6B" w:rsidP="00244B6B">
      <w:pPr>
        <w:widowControl w:val="0"/>
        <w:numPr>
          <w:ilvl w:val="0"/>
          <w:numId w:val="7"/>
        </w:numPr>
        <w:tabs>
          <w:tab w:val="num" w:pos="1100"/>
        </w:tabs>
        <w:autoSpaceDE w:val="0"/>
        <w:autoSpaceDN w:val="0"/>
        <w:adjustRightInd w:val="0"/>
        <w:spacing w:after="0" w:line="240" w:lineRule="auto"/>
        <w:jc w:val="both"/>
        <w:textAlignment w:val="baseline"/>
        <w:rPr>
          <w:rFonts w:ascii="Times New Roman" w:hAnsi="Times New Roman" w:cs="Times New Roman"/>
          <w:sz w:val="24"/>
          <w:szCs w:val="24"/>
          <w:lang w:eastAsia="pl-PL"/>
        </w:rPr>
      </w:pPr>
      <w:r w:rsidRPr="00244B6B">
        <w:rPr>
          <w:rFonts w:ascii="Times New Roman" w:hAnsi="Times New Roman" w:cs="Times New Roman"/>
          <w:sz w:val="24"/>
          <w:szCs w:val="24"/>
          <w:lang w:eastAsia="pl-PL"/>
        </w:rPr>
        <w:t>na udzielone gwarancje i poręczenia przez m.st. Warszawa z tytułu zaciągniętych kredytów przez szpitale, dla których m.st. Warszawa jest podmiotem tworzącym.</w:t>
      </w:r>
    </w:p>
    <w:p w:rsidR="00244B6B" w:rsidRPr="00244B6B" w:rsidRDefault="00244B6B" w:rsidP="00244B6B">
      <w:pPr>
        <w:ind w:left="567"/>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W sprawach sądowych oceny prawdopodobieństwa niekorzystnego wyroku dla Miasta dokonują prawnicy zatrudnieni przez Miasto określając rokowania co do wyniku sprawy w wartościach oszacowanych: bardzo prawdopodobne – 100%, prawdopodobne – 50%.</w:t>
      </w:r>
    </w:p>
    <w:p w:rsidR="00244B6B" w:rsidRPr="006E32E5" w:rsidRDefault="00244B6B" w:rsidP="006E32E5">
      <w:pPr>
        <w:ind w:left="567"/>
        <w:jc w:val="both"/>
        <w:rPr>
          <w:rFonts w:ascii="Times New Roman" w:hAnsi="Times New Roman" w:cs="Times New Roman"/>
          <w:sz w:val="24"/>
          <w:szCs w:val="24"/>
          <w:lang w:eastAsia="pl-PL"/>
        </w:rPr>
      </w:pPr>
      <w:r w:rsidRPr="00244B6B">
        <w:rPr>
          <w:rFonts w:ascii="Times New Roman" w:hAnsi="Times New Roman" w:cs="Times New Roman"/>
          <w:sz w:val="24"/>
          <w:szCs w:val="24"/>
          <w:lang w:eastAsia="pl-PL"/>
        </w:rPr>
        <w:t>Rezerwy na zobowiązania na dzień bilansowy zostały wycenione w uzasadnionej  </w:t>
      </w:r>
      <w:r w:rsidR="006E32E5">
        <w:rPr>
          <w:rFonts w:ascii="Times New Roman" w:hAnsi="Times New Roman" w:cs="Times New Roman"/>
          <w:sz w:val="24"/>
          <w:szCs w:val="24"/>
          <w:lang w:eastAsia="pl-PL"/>
        </w:rPr>
        <w:br/>
      </w:r>
      <w:r w:rsidRPr="00244B6B">
        <w:rPr>
          <w:rFonts w:ascii="Times New Roman" w:hAnsi="Times New Roman" w:cs="Times New Roman"/>
          <w:sz w:val="24"/>
          <w:szCs w:val="24"/>
          <w:lang w:eastAsia="pl-PL"/>
        </w:rPr>
        <w:t>i wiarygodnie oszacowanej wartości  wraz z oszacowaną kwotą odsetek naliczonych od momentu, od którego</w:t>
      </w:r>
      <w:r w:rsidR="006E32E5">
        <w:rPr>
          <w:rFonts w:ascii="Times New Roman" w:hAnsi="Times New Roman" w:cs="Times New Roman"/>
          <w:sz w:val="24"/>
          <w:szCs w:val="24"/>
          <w:lang w:eastAsia="pl-PL"/>
        </w:rPr>
        <w:t xml:space="preserve"> powstaje roszczenie o odsetki.</w:t>
      </w:r>
    </w:p>
    <w:p w:rsidR="00244B6B" w:rsidRDefault="006E32E5" w:rsidP="006E32E5">
      <w:pPr>
        <w:pStyle w:val="Akapitzlist"/>
        <w:numPr>
          <w:ilvl w:val="0"/>
          <w:numId w:val="3"/>
        </w:numPr>
        <w:tabs>
          <w:tab w:val="left" w:pos="567"/>
        </w:tabs>
        <w:autoSpaceDE w:val="0"/>
        <w:autoSpaceDN w:val="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Rozliczenia międzyokresowe przychodów</w:t>
      </w:r>
    </w:p>
    <w:p w:rsidR="006E32E5" w:rsidRPr="006E32E5" w:rsidRDefault="006E32E5" w:rsidP="006E32E5">
      <w:pPr>
        <w:pStyle w:val="Akapitzlist"/>
        <w:autoSpaceDE w:val="0"/>
        <w:autoSpaceDN w:val="0"/>
        <w:jc w:val="both"/>
        <w:rPr>
          <w:rFonts w:ascii="Times New Roman" w:hAnsi="Times New Roman" w:cs="Times New Roman"/>
          <w:sz w:val="24"/>
          <w:szCs w:val="24"/>
          <w:lang w:eastAsia="pl-PL"/>
        </w:rPr>
      </w:pPr>
      <w:r w:rsidRPr="006E32E5">
        <w:rPr>
          <w:rFonts w:ascii="Times New Roman" w:hAnsi="Times New Roman" w:cs="Times New Roman"/>
          <w:sz w:val="24"/>
          <w:szCs w:val="24"/>
          <w:lang w:eastAsia="pl-PL"/>
        </w:rPr>
        <w:lastRenderedPageBreak/>
        <w:t>Rozliczenia międzyokresowe przychodów dokonywane są z zachowaniem zasady ostrożnej wyceny i obejmują w szczególności równowartość otrzymanych lub należnych od kontrahentów środków z tytułu świadczeń, w tym m.in.: należności długoterminowe za zajęcie pasa drogowego, przekształcenia prawa użytkowania wieczystego w prawo własności.</w:t>
      </w:r>
    </w:p>
    <w:p w:rsidR="006E32E5" w:rsidRPr="006E32E5" w:rsidRDefault="006E32E5" w:rsidP="006E32E5">
      <w:pPr>
        <w:pStyle w:val="Akapitzlist"/>
        <w:keepLines/>
        <w:tabs>
          <w:tab w:val="left" w:pos="284"/>
          <w:tab w:val="left" w:pos="720"/>
          <w:tab w:val="left" w:pos="1440"/>
          <w:tab w:val="left" w:pos="2160"/>
          <w:tab w:val="left" w:pos="2880"/>
          <w:tab w:val="left" w:pos="3600"/>
          <w:tab w:val="left" w:pos="4320"/>
        </w:tabs>
        <w:autoSpaceDE w:val="0"/>
        <w:autoSpaceDN w:val="0"/>
        <w:rPr>
          <w:rFonts w:ascii="Times New Roman" w:hAnsi="Times New Roman" w:cs="Times New Roman"/>
          <w:sz w:val="24"/>
          <w:szCs w:val="24"/>
          <w:lang w:eastAsia="pl-PL"/>
        </w:rPr>
      </w:pPr>
      <w:r w:rsidRPr="006E32E5">
        <w:rPr>
          <w:rFonts w:ascii="Times New Roman" w:hAnsi="Times New Roman" w:cs="Times New Roman"/>
          <w:sz w:val="24"/>
          <w:szCs w:val="24"/>
          <w:lang w:eastAsia="pl-PL"/>
        </w:rPr>
        <w:t>Rozliczenia w czasie tych przychodów dokonuje się w celu zaliczenia odpowiednich kwot przychodów  do tych okresów sprawozdawczych, których one dotyczą.</w:t>
      </w:r>
    </w:p>
    <w:p w:rsidR="006E32E5" w:rsidRPr="006E32E5" w:rsidRDefault="006E32E5" w:rsidP="006E32E5">
      <w:pPr>
        <w:pStyle w:val="Akapitzlist"/>
        <w:tabs>
          <w:tab w:val="left" w:pos="567"/>
        </w:tabs>
        <w:autoSpaceDE w:val="0"/>
        <w:autoSpaceDN w:val="0"/>
        <w:jc w:val="both"/>
        <w:rPr>
          <w:rFonts w:ascii="Times New Roman" w:hAnsi="Times New Roman" w:cs="Times New Roman"/>
          <w:sz w:val="24"/>
          <w:szCs w:val="24"/>
          <w:lang w:eastAsia="pl-PL"/>
        </w:rPr>
      </w:pPr>
    </w:p>
    <w:p w:rsidR="00244B6B" w:rsidRPr="00EE3D4F" w:rsidRDefault="00EE3D4F" w:rsidP="00EE3D4F">
      <w:pPr>
        <w:pStyle w:val="Akapitzlist"/>
        <w:numPr>
          <w:ilvl w:val="0"/>
          <w:numId w:val="2"/>
        </w:numPr>
        <w:tabs>
          <w:tab w:val="left" w:pos="567"/>
        </w:tabs>
        <w:autoSpaceDE w:val="0"/>
        <w:autoSpaceDN w:val="0"/>
        <w:jc w:val="both"/>
        <w:rPr>
          <w:rFonts w:ascii="Times New Roman" w:hAnsi="Times New Roman" w:cs="Times New Roman"/>
          <w:b/>
          <w:sz w:val="24"/>
          <w:szCs w:val="24"/>
          <w:lang w:eastAsia="pl-PL"/>
        </w:rPr>
      </w:pPr>
      <w:r>
        <w:rPr>
          <w:rFonts w:ascii="Times New Roman" w:hAnsi="Times New Roman" w:cs="Times New Roman"/>
          <w:b/>
          <w:sz w:val="24"/>
          <w:szCs w:val="24"/>
          <w:lang w:eastAsia="pl-PL"/>
        </w:rPr>
        <w:t xml:space="preserve"> Inne informacje</w:t>
      </w:r>
    </w:p>
    <w:p w:rsidR="00EE3D4F" w:rsidRPr="00EE3D4F" w:rsidRDefault="00EE3D4F" w:rsidP="00EE3D4F">
      <w:pPr>
        <w:pStyle w:val="Akapitzlist"/>
        <w:jc w:val="both"/>
        <w:rPr>
          <w:rFonts w:ascii="Times New Roman" w:hAnsi="Times New Roman" w:cs="Times New Roman"/>
          <w:sz w:val="24"/>
          <w:szCs w:val="24"/>
          <w:lang w:eastAsia="pl-PL"/>
        </w:rPr>
      </w:pPr>
      <w:r w:rsidRPr="00EE3D4F">
        <w:rPr>
          <w:rFonts w:ascii="Times New Roman" w:hAnsi="Times New Roman" w:cs="Times New Roman"/>
          <w:sz w:val="24"/>
          <w:szCs w:val="24"/>
          <w:lang w:eastAsia="pl-PL"/>
        </w:rPr>
        <w:t xml:space="preserve">Na mocy ustawy z dn. 20 lipca 2018 r. o przekształceniu prawa użytkowania wieczystego gruntów zabudowanych na cele mieszkaniowe w prawo własności tych gruntów (Dz.U. z 2018 r. poz. 1716 ze zm.) prawo użytkowania wieczystego gruntów zabudowanych na cele mieszkaniowe przekształciło się w prawo własności tych gruntów z dniem 1 stycznia 2019 r. </w:t>
      </w:r>
    </w:p>
    <w:p w:rsidR="001543DC" w:rsidRDefault="00EE3D4F" w:rsidP="00EE3D4F">
      <w:pPr>
        <w:pStyle w:val="Akapitzlist"/>
        <w:autoSpaceDE w:val="0"/>
        <w:autoSpaceDN w:val="0"/>
        <w:spacing w:after="0"/>
        <w:jc w:val="both"/>
        <w:rPr>
          <w:rFonts w:ascii="Times New Roman" w:hAnsi="Times New Roman" w:cs="Times New Roman"/>
          <w:sz w:val="24"/>
          <w:szCs w:val="24"/>
          <w:lang w:eastAsia="pl-PL"/>
        </w:rPr>
      </w:pPr>
      <w:r w:rsidRPr="00EE3D4F">
        <w:rPr>
          <w:rFonts w:ascii="Times New Roman" w:hAnsi="Times New Roman" w:cs="Times New Roman"/>
          <w:sz w:val="24"/>
          <w:szCs w:val="24"/>
          <w:lang w:eastAsia="pl-PL"/>
        </w:rPr>
        <w:t xml:space="preserve">Z tytułu przekształcenia nowy właściciel gruntu ma obowiązek ponosić na rzecz dotychczasowego właściciela gruntu opłatę </w:t>
      </w:r>
      <w:proofErr w:type="spellStart"/>
      <w:r w:rsidRPr="00EE3D4F">
        <w:rPr>
          <w:rFonts w:ascii="Times New Roman" w:hAnsi="Times New Roman" w:cs="Times New Roman"/>
          <w:sz w:val="24"/>
          <w:szCs w:val="24"/>
          <w:lang w:eastAsia="pl-PL"/>
        </w:rPr>
        <w:t>przekształceniową</w:t>
      </w:r>
      <w:proofErr w:type="spellEnd"/>
      <w:r w:rsidRPr="00EE3D4F">
        <w:rPr>
          <w:rFonts w:ascii="Times New Roman" w:hAnsi="Times New Roman" w:cs="Times New Roman"/>
          <w:sz w:val="24"/>
          <w:szCs w:val="24"/>
          <w:lang w:eastAsia="pl-PL"/>
        </w:rPr>
        <w:t xml:space="preserve">. Uchwałą </w:t>
      </w:r>
      <w:r>
        <w:rPr>
          <w:rFonts w:ascii="Times New Roman" w:hAnsi="Times New Roman" w:cs="Times New Roman"/>
          <w:sz w:val="24"/>
          <w:szCs w:val="24"/>
          <w:lang w:eastAsia="pl-PL"/>
        </w:rPr>
        <w:br/>
      </w:r>
      <w:r w:rsidRPr="00EE3D4F">
        <w:rPr>
          <w:rFonts w:ascii="Times New Roman" w:hAnsi="Times New Roman" w:cs="Times New Roman"/>
          <w:sz w:val="24"/>
          <w:szCs w:val="24"/>
          <w:lang w:eastAsia="pl-PL"/>
        </w:rPr>
        <w:t xml:space="preserve">nr LXXV/2128/2018 Rady m.st. Warszawy z dnia 18 października 2018 r. oraz Uchwałą nr VIII/161/2019 Rady m.st. Warszawy z dnia 21 lutego 2019 r. wyrażono zgodę na udzielenie 98 % bonifikaty osobom fizycznym będącym właścicielami budynków mieszkalnych jednorodzinnych lub lokali mieszkalnych lub spółdzielniom mieszkaniowym od opłaty jednorazowej, w tym dotyczącej stanowisk postojowych </w:t>
      </w:r>
      <w:r>
        <w:rPr>
          <w:rFonts w:ascii="Times New Roman" w:hAnsi="Times New Roman" w:cs="Times New Roman"/>
          <w:sz w:val="24"/>
          <w:szCs w:val="24"/>
          <w:lang w:eastAsia="pl-PL"/>
        </w:rPr>
        <w:br/>
      </w:r>
      <w:r w:rsidRPr="00EE3D4F">
        <w:rPr>
          <w:rFonts w:ascii="Times New Roman" w:hAnsi="Times New Roman" w:cs="Times New Roman"/>
          <w:sz w:val="24"/>
          <w:szCs w:val="24"/>
          <w:lang w:eastAsia="pl-PL"/>
        </w:rPr>
        <w:t>i garaży, o której mowa w art. 7 ust. 7 i 8 ustawy o przekształceniu prawa użytkowania wieczystego gruntów.</w:t>
      </w:r>
    </w:p>
    <w:p w:rsidR="00EE3D4F" w:rsidRDefault="00EE3D4F" w:rsidP="00EE3D4F">
      <w:pPr>
        <w:spacing w:after="0"/>
        <w:ind w:left="709"/>
        <w:jc w:val="both"/>
        <w:rPr>
          <w:rFonts w:ascii="Times New Roman" w:hAnsi="Times New Roman" w:cs="Times New Roman"/>
          <w:sz w:val="24"/>
          <w:szCs w:val="24"/>
          <w:lang w:eastAsia="pl-PL"/>
        </w:rPr>
      </w:pPr>
      <w:r w:rsidRPr="00EE3D4F">
        <w:rPr>
          <w:rFonts w:ascii="Times New Roman" w:hAnsi="Times New Roman" w:cs="Times New Roman"/>
          <w:sz w:val="24"/>
          <w:szCs w:val="24"/>
          <w:lang w:eastAsia="pl-PL"/>
        </w:rPr>
        <w:t xml:space="preserve">Z dniem 1 stycznia 2019 r., ale nie później niż na dzień wydania zaświadczenia, </w:t>
      </w:r>
      <w:r>
        <w:rPr>
          <w:rFonts w:ascii="Times New Roman" w:hAnsi="Times New Roman" w:cs="Times New Roman"/>
          <w:sz w:val="24"/>
          <w:szCs w:val="24"/>
          <w:lang w:eastAsia="pl-PL"/>
        </w:rPr>
        <w:br/>
      </w:r>
      <w:r w:rsidRPr="00EE3D4F">
        <w:rPr>
          <w:rFonts w:ascii="Times New Roman" w:hAnsi="Times New Roman" w:cs="Times New Roman"/>
          <w:sz w:val="24"/>
          <w:szCs w:val="24"/>
          <w:lang w:eastAsia="pl-PL"/>
        </w:rPr>
        <w:t>o którym mowa art. 4 ustawy o przekształceniu prawa użytkowania wieczystego gruntów powinno się zaprzestać ujmowania w księgach rachunkowych gruntu spełniającego warunki określone w ustawie.</w:t>
      </w:r>
    </w:p>
    <w:p w:rsidR="00EE3D4F" w:rsidRPr="00EE3D4F" w:rsidRDefault="00EE3D4F" w:rsidP="00EE3D4F">
      <w:pPr>
        <w:spacing w:after="0"/>
        <w:ind w:left="709"/>
        <w:jc w:val="both"/>
        <w:rPr>
          <w:rFonts w:ascii="Times New Roman" w:hAnsi="Times New Roman" w:cs="Times New Roman"/>
          <w:sz w:val="24"/>
          <w:szCs w:val="24"/>
          <w:lang w:eastAsia="pl-PL"/>
        </w:rPr>
      </w:pPr>
      <w:r>
        <w:rPr>
          <w:rFonts w:ascii="Times New Roman" w:hAnsi="Times New Roman" w:cs="Times New Roman"/>
          <w:sz w:val="24"/>
          <w:szCs w:val="24"/>
          <w:lang w:eastAsia="pl-PL"/>
        </w:rPr>
        <w:t>Z uwagi na powyższe na dzień 31.12.2019r. wartość gruntów stanowiących własność jednostki samorządu terytorialnego przekazana w użytkowanie wieczyste innym podmiotom zmalała w stosunku do stanu na dzień 31.12.2018r. o 4.331.133,41 zł.</w:t>
      </w:r>
    </w:p>
    <w:p w:rsidR="00EE3D4F" w:rsidRPr="00EE3D4F" w:rsidRDefault="00EE3D4F" w:rsidP="00EE3D4F">
      <w:pPr>
        <w:pStyle w:val="Akapitzlist"/>
        <w:autoSpaceDE w:val="0"/>
        <w:autoSpaceDN w:val="0"/>
        <w:jc w:val="both"/>
        <w:rPr>
          <w:rFonts w:ascii="Times New Roman" w:hAnsi="Times New Roman" w:cs="Times New Roman"/>
          <w:sz w:val="24"/>
          <w:szCs w:val="24"/>
          <w:lang w:eastAsia="pl-PL"/>
        </w:rPr>
      </w:pPr>
    </w:p>
    <w:p w:rsidR="001543DC" w:rsidRPr="001543DC" w:rsidRDefault="001543DC" w:rsidP="001543DC">
      <w:pPr>
        <w:keepNext/>
        <w:keepLines/>
        <w:ind w:left="720"/>
        <w:rPr>
          <w:rFonts w:ascii="Times New Roman" w:hAnsi="Times New Roman" w:cs="Times New Roman"/>
          <w:sz w:val="24"/>
          <w:szCs w:val="24"/>
          <w:lang w:eastAsia="pl-PL"/>
        </w:rPr>
      </w:pPr>
    </w:p>
    <w:p w:rsidR="000E7B12" w:rsidRDefault="000E7B12" w:rsidP="000E7B12">
      <w:pPr>
        <w:rPr>
          <w:rFonts w:ascii="Times New Roman" w:hAnsi="Times New Roman" w:cs="Times New Roman"/>
          <w:sz w:val="24"/>
          <w:szCs w:val="24"/>
        </w:rPr>
      </w:pPr>
    </w:p>
    <w:p w:rsidR="000E7B12" w:rsidRPr="000E7B12" w:rsidRDefault="000E7B12" w:rsidP="000E7B12">
      <w:pPr>
        <w:rPr>
          <w:rFonts w:ascii="Times New Roman" w:hAnsi="Times New Roman" w:cs="Times New Roman"/>
          <w:sz w:val="24"/>
          <w:szCs w:val="24"/>
        </w:rPr>
      </w:pPr>
    </w:p>
    <w:p w:rsidR="000E7B12" w:rsidRPr="000E7B12" w:rsidRDefault="000E7B12" w:rsidP="000E7B12">
      <w:pPr>
        <w:rPr>
          <w:rFonts w:ascii="Times New Roman" w:hAnsi="Times New Roman" w:cs="Times New Roman"/>
          <w:sz w:val="24"/>
          <w:szCs w:val="24"/>
        </w:rPr>
      </w:pPr>
    </w:p>
    <w:p w:rsidR="000E7B12" w:rsidRPr="000E7B12" w:rsidRDefault="000E7B12" w:rsidP="000E7B12">
      <w:pPr>
        <w:rPr>
          <w:rFonts w:ascii="Times New Roman" w:hAnsi="Times New Roman" w:cs="Times New Roman"/>
          <w:sz w:val="24"/>
          <w:szCs w:val="24"/>
        </w:rPr>
      </w:pPr>
    </w:p>
    <w:p w:rsidR="000E7B12" w:rsidRPr="000E7B12" w:rsidRDefault="000E7B12" w:rsidP="000E7B12">
      <w:pPr>
        <w:rPr>
          <w:rFonts w:ascii="Times New Roman" w:hAnsi="Times New Roman" w:cs="Times New Roman"/>
          <w:sz w:val="24"/>
          <w:szCs w:val="24"/>
        </w:rPr>
      </w:pPr>
    </w:p>
    <w:p w:rsidR="000E7B12" w:rsidRPr="000E7B12" w:rsidRDefault="000E7B12" w:rsidP="000E7B12">
      <w:pPr>
        <w:rPr>
          <w:rFonts w:ascii="Times New Roman" w:hAnsi="Times New Roman" w:cs="Times New Roman"/>
          <w:sz w:val="24"/>
          <w:szCs w:val="24"/>
        </w:rPr>
      </w:pPr>
    </w:p>
    <w:p w:rsidR="000E7B12" w:rsidRPr="000E7B12" w:rsidRDefault="000E7B12" w:rsidP="000E7B12">
      <w:pPr>
        <w:tabs>
          <w:tab w:val="left" w:pos="3495"/>
        </w:tabs>
        <w:rPr>
          <w:rFonts w:ascii="Times New Roman" w:hAnsi="Times New Roman" w:cs="Times New Roman"/>
          <w:sz w:val="24"/>
          <w:szCs w:val="24"/>
        </w:rPr>
      </w:pPr>
    </w:p>
    <w:sectPr w:rsidR="000E7B12" w:rsidRPr="000E7B1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6AB" w:rsidRDefault="002F06AB" w:rsidP="009E3751">
      <w:pPr>
        <w:spacing w:after="0" w:line="240" w:lineRule="auto"/>
      </w:pPr>
      <w:r>
        <w:separator/>
      </w:r>
    </w:p>
  </w:endnote>
  <w:endnote w:type="continuationSeparator" w:id="0">
    <w:p w:rsidR="002F06AB" w:rsidRDefault="002F06AB" w:rsidP="009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751" w:rsidRPr="00AE7AFC" w:rsidRDefault="009E3751">
    <w:pPr>
      <w:pStyle w:val="Stopka"/>
      <w:rPr>
        <w:rFonts w:ascii="Times New Roman" w:hAnsi="Times New Roman" w:cs="Times New Roman"/>
        <w:sz w:val="20"/>
      </w:rPr>
    </w:pPr>
    <w:r w:rsidRPr="00AE7AFC">
      <w:rPr>
        <w:rFonts w:ascii="Times New Roman" w:hAnsi="Times New Roman" w:cs="Times New Roman"/>
        <w:sz w:val="20"/>
      </w:rPr>
      <w:t>Wprowadzenie oraz dodatkowe informacje i objaśnienia stanowią integralną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6AB" w:rsidRDefault="002F06AB" w:rsidP="009E3751">
      <w:pPr>
        <w:spacing w:after="0" w:line="240" w:lineRule="auto"/>
      </w:pPr>
      <w:r>
        <w:separator/>
      </w:r>
    </w:p>
  </w:footnote>
  <w:footnote w:type="continuationSeparator" w:id="0">
    <w:p w:rsidR="002F06AB" w:rsidRDefault="002F06AB" w:rsidP="009E3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751" w:rsidRPr="009E3751" w:rsidRDefault="009E3751">
    <w:pPr>
      <w:pStyle w:val="Nagwek"/>
      <w:rPr>
        <w:rFonts w:ascii="Times New Roman" w:hAnsi="Times New Roman" w:cs="Times New Roman"/>
        <w:b/>
        <w:sz w:val="24"/>
        <w:szCs w:val="24"/>
      </w:rPr>
    </w:pPr>
    <w:r w:rsidRPr="009E3751">
      <w:rPr>
        <w:rFonts w:ascii="Times New Roman" w:hAnsi="Times New Roman" w:cs="Times New Roman"/>
        <w:b/>
        <w:sz w:val="24"/>
        <w:szCs w:val="24"/>
      </w:rPr>
      <w:t>Urząd Dzielnicy Żoliborz m.st. Warszawy</w:t>
    </w:r>
  </w:p>
  <w:p w:rsidR="009E3751" w:rsidRPr="009E3751" w:rsidRDefault="009E3751">
    <w:pPr>
      <w:pStyle w:val="Nagwek"/>
      <w:rPr>
        <w:rFonts w:ascii="Times New Roman" w:hAnsi="Times New Roman" w:cs="Times New Roman"/>
        <w:b/>
        <w:sz w:val="24"/>
        <w:szCs w:val="24"/>
      </w:rPr>
    </w:pPr>
    <w:r w:rsidRPr="009E3751">
      <w:rPr>
        <w:rFonts w:ascii="Times New Roman" w:hAnsi="Times New Roman" w:cs="Times New Roman"/>
        <w:b/>
        <w:sz w:val="24"/>
        <w:szCs w:val="24"/>
      </w:rPr>
      <w:t xml:space="preserve">Informacja dodatkowa do sprawozdania finansowego za rok obrotowy zakończony </w:t>
    </w:r>
  </w:p>
  <w:p w:rsidR="009E3751" w:rsidRPr="009E3751" w:rsidRDefault="009E3751">
    <w:pPr>
      <w:pStyle w:val="Nagwek"/>
      <w:rPr>
        <w:rFonts w:ascii="Times New Roman" w:hAnsi="Times New Roman" w:cs="Times New Roman"/>
        <w:b/>
        <w:sz w:val="24"/>
        <w:szCs w:val="24"/>
      </w:rPr>
    </w:pPr>
    <w:r w:rsidRPr="009E3751">
      <w:rPr>
        <w:rFonts w:ascii="Times New Roman" w:hAnsi="Times New Roman" w:cs="Times New Roman"/>
        <w:b/>
        <w:sz w:val="24"/>
        <w:szCs w:val="24"/>
      </w:rPr>
      <w:t>31 grudnia 2019r.</w:t>
    </w:r>
  </w:p>
  <w:p w:rsidR="009E3751" w:rsidRPr="009E3751" w:rsidRDefault="009E3751" w:rsidP="009E3751">
    <w:pPr>
      <w:pStyle w:val="Nagwek"/>
      <w:numPr>
        <w:ilvl w:val="0"/>
        <w:numId w:val="9"/>
      </w:numPr>
      <w:rPr>
        <w:rFonts w:ascii="Times New Roman" w:hAnsi="Times New Roman" w:cs="Times New Roman"/>
        <w:b/>
        <w:sz w:val="24"/>
        <w:szCs w:val="24"/>
      </w:rPr>
    </w:pPr>
    <w:r w:rsidRPr="009E3751">
      <w:rPr>
        <w:rFonts w:ascii="Times New Roman" w:hAnsi="Times New Roman" w:cs="Times New Roman"/>
        <w:b/>
        <w:sz w:val="24"/>
        <w:szCs w:val="24"/>
      </w:rPr>
      <w:t>Wprowadzenie do sprawozdania finansowego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2D54"/>
    <w:multiLevelType w:val="hybridMultilevel"/>
    <w:tmpl w:val="2E945670"/>
    <w:lvl w:ilvl="0" w:tplc="1562A8B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26F72CA"/>
    <w:multiLevelType w:val="hybridMultilevel"/>
    <w:tmpl w:val="6DF4AA70"/>
    <w:lvl w:ilvl="0" w:tplc="FB687204">
      <w:start w:val="1"/>
      <w:numFmt w:val="lowerLetter"/>
      <w:lvlText w:val="%1."/>
      <w:lvlJc w:val="left"/>
      <w:pPr>
        <w:tabs>
          <w:tab w:val="num" w:pos="1500"/>
        </w:tabs>
        <w:ind w:left="1500" w:hanging="360"/>
      </w:pPr>
      <w:rPr>
        <w:rFonts w:ascii="Times New Roman" w:eastAsiaTheme="minorHAnsi" w:hAnsi="Times New Roman" w:cs="Times New Roman"/>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D5935"/>
    <w:multiLevelType w:val="hybridMultilevel"/>
    <w:tmpl w:val="0AAE0C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00B2FA1"/>
    <w:multiLevelType w:val="multilevel"/>
    <w:tmpl w:val="49BE8F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4246CA7"/>
    <w:multiLevelType w:val="hybridMultilevel"/>
    <w:tmpl w:val="5BE6E7AE"/>
    <w:lvl w:ilvl="0" w:tplc="3D904C6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3E1B99"/>
    <w:multiLevelType w:val="hybridMultilevel"/>
    <w:tmpl w:val="3B0A47E8"/>
    <w:lvl w:ilvl="0" w:tplc="FFC00ED0">
      <w:start w:val="1"/>
      <w:numFmt w:val="lowerLetter"/>
      <w:lvlText w:val="%1)"/>
      <w:lvlJc w:val="left"/>
      <w:pPr>
        <w:tabs>
          <w:tab w:val="num" w:pos="360"/>
        </w:tabs>
        <w:ind w:left="360" w:hanging="360"/>
      </w:pPr>
      <w:rPr>
        <w:rFonts w:cs="Times New Roman" w:hint="default"/>
      </w:rPr>
    </w:lvl>
    <w:lvl w:ilvl="1" w:tplc="02C6C64A">
      <w:start w:val="2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5E8441D0"/>
    <w:multiLevelType w:val="hybridMultilevel"/>
    <w:tmpl w:val="881044B4"/>
    <w:lvl w:ilvl="0" w:tplc="EECE03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2DF5D1C"/>
    <w:multiLevelType w:val="hybridMultilevel"/>
    <w:tmpl w:val="50D0D2B8"/>
    <w:lvl w:ilvl="0" w:tplc="6B3EAE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0"/>
  </w:num>
  <w:num w:numId="5">
    <w:abstractNumId w:val="3"/>
  </w:num>
  <w:num w:numId="6">
    <w:abstractNumId w:val="6"/>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EA"/>
    <w:rsid w:val="000E7B12"/>
    <w:rsid w:val="001543DC"/>
    <w:rsid w:val="00160DF2"/>
    <w:rsid w:val="00244B6B"/>
    <w:rsid w:val="002F06AB"/>
    <w:rsid w:val="00370A6B"/>
    <w:rsid w:val="003A0DEA"/>
    <w:rsid w:val="004B3C7A"/>
    <w:rsid w:val="004C0E60"/>
    <w:rsid w:val="006E32E5"/>
    <w:rsid w:val="009E3751"/>
    <w:rsid w:val="00A63E65"/>
    <w:rsid w:val="00AE7AFC"/>
    <w:rsid w:val="00EE3D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5C71"/>
  <w15:chartTrackingRefBased/>
  <w15:docId w15:val="{C6CAB9CD-C33D-49B2-A302-69AA72E7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next w:val="Normalny"/>
    <w:link w:val="Nagwek3Znak"/>
    <w:qFormat/>
    <w:rsid w:val="001543DC"/>
    <w:pPr>
      <w:keepNext/>
      <w:numPr>
        <w:numId w:val="5"/>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B3C7A"/>
    <w:pPr>
      <w:ind w:left="720"/>
      <w:contextualSpacing/>
    </w:pPr>
  </w:style>
  <w:style w:type="character" w:customStyle="1" w:styleId="Nagwek3Znak">
    <w:name w:val="Nagłówek 3 Znak"/>
    <w:basedOn w:val="Domylnaczcionkaakapitu"/>
    <w:link w:val="Nagwek3"/>
    <w:rsid w:val="001543D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244B6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244B6B"/>
    <w:rPr>
      <w:rFonts w:ascii="Times New Roman" w:eastAsia="Times New Roman" w:hAnsi="Times New Roman" w:cs="Times New Roman"/>
      <w:color w:val="000000"/>
      <w:sz w:val="24"/>
      <w:szCs w:val="20"/>
      <w:lang w:val="en-AU"/>
    </w:rPr>
  </w:style>
  <w:style w:type="paragraph" w:styleId="Tekstdymka">
    <w:name w:val="Balloon Text"/>
    <w:basedOn w:val="Normalny"/>
    <w:link w:val="TekstdymkaZnak"/>
    <w:uiPriority w:val="99"/>
    <w:semiHidden/>
    <w:unhideWhenUsed/>
    <w:rsid w:val="00EE3D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3D4F"/>
    <w:rPr>
      <w:rFonts w:ascii="Segoe UI" w:hAnsi="Segoe UI" w:cs="Segoe UI"/>
      <w:sz w:val="18"/>
      <w:szCs w:val="18"/>
    </w:rPr>
  </w:style>
  <w:style w:type="paragraph" w:styleId="Nagwek">
    <w:name w:val="header"/>
    <w:basedOn w:val="Normalny"/>
    <w:link w:val="NagwekZnak"/>
    <w:uiPriority w:val="99"/>
    <w:unhideWhenUsed/>
    <w:rsid w:val="009E37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3751"/>
  </w:style>
  <w:style w:type="paragraph" w:styleId="Stopka">
    <w:name w:val="footer"/>
    <w:basedOn w:val="Normalny"/>
    <w:link w:val="StopkaZnak"/>
    <w:uiPriority w:val="99"/>
    <w:unhideWhenUsed/>
    <w:rsid w:val="009E37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3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392CF-EC38-44B9-B357-3EA2DF1BD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1592</Words>
  <Characters>9552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Miklaszewska Bożena</dc:creator>
  <cp:keywords/>
  <dc:description/>
  <cp:lastModifiedBy>Miklaszewska Bożena</cp:lastModifiedBy>
  <cp:revision>4</cp:revision>
  <cp:lastPrinted>2020-03-23T12:53:00Z</cp:lastPrinted>
  <dcterms:created xsi:type="dcterms:W3CDTF">2020-03-23T10:47:00Z</dcterms:created>
  <dcterms:modified xsi:type="dcterms:W3CDTF">2020-03-23T13:14:00Z</dcterms:modified>
</cp:coreProperties>
</file>