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3" w:rsidRPr="00FB4670" w:rsidRDefault="00E10123" w:rsidP="00FB4670">
      <w:pPr>
        <w:spacing w:after="0" w:line="36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FB4670">
        <w:rPr>
          <w:rFonts w:eastAsia="Times New Roman" w:cstheme="minorHAnsi"/>
          <w:sz w:val="20"/>
          <w:szCs w:val="20"/>
          <w:lang w:eastAsia="pl-PL"/>
        </w:rPr>
        <w:t xml:space="preserve">Załącznik </w:t>
      </w:r>
    </w:p>
    <w:p w:rsidR="00D64DE3" w:rsidRPr="00FB4670" w:rsidRDefault="00E10123" w:rsidP="00FB4670">
      <w:pPr>
        <w:spacing w:after="0" w:line="36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FB4670">
        <w:rPr>
          <w:rFonts w:eastAsia="Times New Roman" w:cstheme="minorHAnsi"/>
          <w:sz w:val="20"/>
          <w:szCs w:val="20"/>
          <w:lang w:eastAsia="pl-PL"/>
        </w:rPr>
        <w:t xml:space="preserve">do uchwały </w:t>
      </w:r>
      <w:r w:rsidR="00887336">
        <w:rPr>
          <w:rFonts w:eastAsia="Times New Roman" w:cstheme="minorHAnsi"/>
          <w:sz w:val="20"/>
          <w:szCs w:val="20"/>
          <w:lang w:eastAsia="pl-PL"/>
        </w:rPr>
        <w:t>IV/46/2024</w:t>
      </w:r>
    </w:p>
    <w:p w:rsidR="00E10123" w:rsidRPr="00FB4670" w:rsidRDefault="00E10123" w:rsidP="00FB4670">
      <w:pPr>
        <w:spacing w:after="0" w:line="36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FB4670">
        <w:rPr>
          <w:rFonts w:eastAsia="Times New Roman" w:cstheme="minorHAnsi"/>
          <w:sz w:val="20"/>
          <w:szCs w:val="20"/>
          <w:lang w:eastAsia="pl-PL"/>
        </w:rPr>
        <w:t>Rady Dzielnicy Praga Północ</w:t>
      </w:r>
    </w:p>
    <w:p w:rsidR="00E10123" w:rsidRPr="00FB4670" w:rsidRDefault="00E10123" w:rsidP="00FB4670">
      <w:pPr>
        <w:spacing w:after="0" w:line="36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FB4670">
        <w:rPr>
          <w:rFonts w:eastAsia="Times New Roman" w:cstheme="minorHAnsi"/>
          <w:sz w:val="20"/>
          <w:szCs w:val="20"/>
          <w:lang w:eastAsia="pl-PL"/>
        </w:rPr>
        <w:t xml:space="preserve">m.st. Warszawy </w:t>
      </w:r>
    </w:p>
    <w:p w:rsidR="00D64DE3" w:rsidRPr="00FB4670" w:rsidRDefault="00D64DE3" w:rsidP="00FB4670">
      <w:pPr>
        <w:spacing w:after="0" w:line="36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FB4670">
        <w:rPr>
          <w:rFonts w:eastAsia="Times New Roman" w:cstheme="minorHAnsi"/>
          <w:sz w:val="20"/>
          <w:szCs w:val="20"/>
          <w:lang w:eastAsia="pl-PL"/>
        </w:rPr>
        <w:t xml:space="preserve">z dnia </w:t>
      </w:r>
      <w:r w:rsidR="00887336">
        <w:rPr>
          <w:rFonts w:eastAsia="Times New Roman" w:cstheme="minorHAnsi"/>
          <w:sz w:val="20"/>
          <w:szCs w:val="20"/>
          <w:lang w:eastAsia="pl-PL"/>
        </w:rPr>
        <w:t>09.07.2024 r.</w:t>
      </w:r>
      <w:bookmarkStart w:id="0" w:name="_GoBack"/>
      <w:bookmarkEnd w:id="0"/>
    </w:p>
    <w:p w:rsidR="00E10123" w:rsidRPr="00FB4670" w:rsidRDefault="00E10123" w:rsidP="00FB4670">
      <w:pPr>
        <w:spacing w:after="0" w:line="360" w:lineRule="auto"/>
        <w:ind w:left="3540"/>
        <w:rPr>
          <w:rFonts w:eastAsia="Times New Roman" w:cstheme="minorHAnsi"/>
          <w:b/>
          <w:szCs w:val="20"/>
          <w:lang w:eastAsia="pl-PL"/>
        </w:rPr>
      </w:pPr>
    </w:p>
    <w:p w:rsidR="00E10123" w:rsidRPr="00FB4670" w:rsidRDefault="00E10123" w:rsidP="00FB4670">
      <w:pPr>
        <w:spacing w:after="0" w:line="360" w:lineRule="auto"/>
        <w:jc w:val="center"/>
        <w:rPr>
          <w:rFonts w:eastAsia="Times New Roman" w:cstheme="minorHAnsi"/>
          <w:b/>
          <w:szCs w:val="20"/>
          <w:lang w:eastAsia="pl-PL"/>
        </w:rPr>
      </w:pPr>
      <w:r w:rsidRPr="00FB4670">
        <w:rPr>
          <w:rFonts w:eastAsia="Times New Roman" w:cstheme="minorHAnsi"/>
          <w:b/>
          <w:szCs w:val="20"/>
          <w:lang w:eastAsia="pl-PL"/>
        </w:rPr>
        <w:t>Regulamin</w:t>
      </w:r>
    </w:p>
    <w:p w:rsidR="00E10123" w:rsidRPr="00FB4670" w:rsidRDefault="00E10123" w:rsidP="00FB4670">
      <w:pPr>
        <w:spacing w:after="0" w:line="360" w:lineRule="auto"/>
        <w:jc w:val="center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b/>
          <w:szCs w:val="20"/>
          <w:lang w:eastAsia="pl-PL"/>
        </w:rPr>
        <w:t>Komisji Mieszkaniowej w Dzielnicy Praga Północ m.st. Warszawy</w:t>
      </w:r>
    </w:p>
    <w:p w:rsidR="00E10123" w:rsidRPr="00FB4670" w:rsidRDefault="00E10123" w:rsidP="00FB4670">
      <w:pPr>
        <w:spacing w:after="0" w:line="360" w:lineRule="auto"/>
        <w:rPr>
          <w:rFonts w:eastAsia="Times New Roman" w:cstheme="minorHAnsi"/>
          <w:szCs w:val="20"/>
          <w:lang w:eastAsia="pl-PL"/>
        </w:rPr>
      </w:pPr>
    </w:p>
    <w:p w:rsidR="00E10123" w:rsidRPr="00FB4670" w:rsidRDefault="00E10123" w:rsidP="00FB4670">
      <w:pPr>
        <w:spacing w:after="0" w:line="360" w:lineRule="auto"/>
        <w:jc w:val="center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§ 1</w:t>
      </w:r>
    </w:p>
    <w:p w:rsidR="00E10123" w:rsidRPr="00C2566E" w:rsidRDefault="00E10123" w:rsidP="00C2566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C2566E">
        <w:rPr>
          <w:rFonts w:eastAsia="Times New Roman" w:cstheme="minorHAnsi"/>
          <w:szCs w:val="20"/>
          <w:lang w:eastAsia="pl-PL"/>
        </w:rPr>
        <w:t>Komisja Mieszkaniowa</w:t>
      </w:r>
      <w:r w:rsidR="00D64DE3" w:rsidRPr="00C2566E">
        <w:rPr>
          <w:rFonts w:eastAsia="Times New Roman" w:cstheme="minorHAnsi"/>
          <w:szCs w:val="20"/>
          <w:lang w:eastAsia="pl-PL"/>
        </w:rPr>
        <w:t xml:space="preserve"> w Dzielnicy Praga-Północ m.st. Warszawy</w:t>
      </w:r>
      <w:r w:rsidRPr="00C2566E">
        <w:rPr>
          <w:rFonts w:eastAsia="Times New Roman" w:cstheme="minorHAnsi"/>
          <w:szCs w:val="20"/>
          <w:lang w:eastAsia="pl-PL"/>
        </w:rPr>
        <w:t xml:space="preserve">, zwana dalej Komisją, </w:t>
      </w:r>
      <w:r w:rsidR="00D64DE3" w:rsidRPr="00C2566E">
        <w:rPr>
          <w:rFonts w:eastAsia="Times New Roman" w:cstheme="minorHAnsi"/>
          <w:szCs w:val="20"/>
          <w:lang w:eastAsia="pl-PL"/>
        </w:rPr>
        <w:t>działa na podstawie:</w:t>
      </w:r>
    </w:p>
    <w:p w:rsidR="00903959" w:rsidRDefault="00AF0AAC" w:rsidP="00FB467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u</w:t>
      </w:r>
      <w:r w:rsidR="00903959">
        <w:rPr>
          <w:rFonts w:eastAsia="Times New Roman" w:cstheme="minorHAnsi"/>
          <w:szCs w:val="20"/>
          <w:lang w:eastAsia="pl-PL"/>
        </w:rPr>
        <w:t xml:space="preserve">chwały Nr </w:t>
      </w:r>
      <w:r w:rsidR="006C21BB">
        <w:rPr>
          <w:rFonts w:eastAsia="Times New Roman" w:cstheme="minorHAnsi"/>
          <w:szCs w:val="20"/>
          <w:lang w:eastAsia="pl-PL"/>
        </w:rPr>
        <w:t>II/13/2024 r. Rady Dzielnicy Praga-Północ m.st. Warszawy z dnia 27 maja 2024 r. w sprawie powołania Komisji Mieszkaniowej,</w:t>
      </w:r>
    </w:p>
    <w:p w:rsidR="00FD7D7C" w:rsidRDefault="00FD7D7C" w:rsidP="00FB467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uchwały nr XXIII/669/2019 Rady m.st. Warszawy z dnia 5 grudnia 2019</w:t>
      </w:r>
      <w:r w:rsidR="000A1ABC">
        <w:rPr>
          <w:rFonts w:eastAsia="Times New Roman" w:cstheme="minorHAnsi"/>
          <w:szCs w:val="20"/>
          <w:lang w:eastAsia="pl-PL"/>
        </w:rPr>
        <w:t xml:space="preserve"> </w:t>
      </w:r>
      <w:r w:rsidRPr="00FB4670">
        <w:rPr>
          <w:rFonts w:eastAsia="Times New Roman" w:cstheme="minorHAnsi"/>
          <w:szCs w:val="20"/>
          <w:lang w:eastAsia="pl-PL"/>
        </w:rPr>
        <w:t xml:space="preserve">r. </w:t>
      </w:r>
      <w:r w:rsidR="00DD2DE3">
        <w:rPr>
          <w:rFonts w:eastAsia="Times New Roman" w:cstheme="minorHAnsi"/>
          <w:szCs w:val="20"/>
          <w:lang w:eastAsia="pl-PL"/>
        </w:rPr>
        <w:t>w sprawie zasad wynajm</w:t>
      </w:r>
      <w:r w:rsidR="00A92AB6">
        <w:rPr>
          <w:rFonts w:eastAsia="Times New Roman" w:cstheme="minorHAnsi"/>
          <w:szCs w:val="20"/>
          <w:lang w:eastAsia="pl-PL"/>
        </w:rPr>
        <w:t>owania lokali wchodzących w skła</w:t>
      </w:r>
      <w:r w:rsidR="00DD2DE3">
        <w:rPr>
          <w:rFonts w:eastAsia="Times New Roman" w:cstheme="minorHAnsi"/>
          <w:szCs w:val="20"/>
          <w:lang w:eastAsia="pl-PL"/>
        </w:rPr>
        <w:t xml:space="preserve">d mieszkaniowego zasobu m.st. Warszawy </w:t>
      </w:r>
      <w:r w:rsidRPr="00FB4670">
        <w:rPr>
          <w:rFonts w:eastAsia="Times New Roman" w:cstheme="minorHAnsi"/>
          <w:szCs w:val="20"/>
          <w:lang w:eastAsia="pl-PL"/>
        </w:rPr>
        <w:t>(</w:t>
      </w:r>
      <w:r w:rsidR="00C3282E" w:rsidRPr="00F26D60">
        <w:rPr>
          <w:rFonts w:cstheme="minorHAnsi"/>
          <w:shd w:val="clear" w:color="auto" w:fill="FFFFFF"/>
        </w:rPr>
        <w:t xml:space="preserve">Dz. Urz. Woj. </w:t>
      </w:r>
      <w:proofErr w:type="spellStart"/>
      <w:r w:rsidR="00C3282E" w:rsidRPr="00F26D60">
        <w:rPr>
          <w:rFonts w:cstheme="minorHAnsi"/>
          <w:shd w:val="clear" w:color="auto" w:fill="FFFFFF"/>
        </w:rPr>
        <w:t>Maz</w:t>
      </w:r>
      <w:proofErr w:type="spellEnd"/>
      <w:r w:rsidR="00C3282E" w:rsidRPr="00F26D60">
        <w:rPr>
          <w:rFonts w:cstheme="minorHAnsi"/>
          <w:shd w:val="clear" w:color="auto" w:fill="FFFFFF"/>
        </w:rPr>
        <w:t>. poz. 14836, z 2020 r. poz. 5791, z 2021 r. poz. 5586, z 2022 r. poz. 3530, 4666, z 2023 r. poz. 6855, 12734</w:t>
      </w:r>
      <w:r w:rsidRPr="00FB4670">
        <w:rPr>
          <w:rFonts w:eastAsia="Times New Roman" w:cstheme="minorHAnsi"/>
          <w:szCs w:val="20"/>
          <w:lang w:eastAsia="pl-PL"/>
        </w:rPr>
        <w:t>)</w:t>
      </w:r>
      <w:r w:rsidR="00DD2DE3">
        <w:rPr>
          <w:rFonts w:eastAsia="Times New Roman" w:cstheme="minorHAnsi"/>
          <w:szCs w:val="20"/>
          <w:lang w:eastAsia="pl-PL"/>
        </w:rPr>
        <w:t xml:space="preserve">, </w:t>
      </w:r>
      <w:r w:rsidR="00C2566E">
        <w:rPr>
          <w:rFonts w:eastAsia="Times New Roman" w:cstheme="minorHAnsi"/>
          <w:szCs w:val="20"/>
          <w:lang w:eastAsia="pl-PL"/>
        </w:rPr>
        <w:t xml:space="preserve">zwaną dalej uchwałą, </w:t>
      </w:r>
    </w:p>
    <w:p w:rsidR="00AF0AAC" w:rsidRPr="00AF0AAC" w:rsidRDefault="00AF0AAC" w:rsidP="00AF0AAC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ustawy z dnia 21 czerwca 2001 r. o ochronie praw lokatorów, mieszkaniowym zasobie gminy i o zmianie kodeksu cywilnego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Pr="00FB4670">
        <w:rPr>
          <w:rFonts w:eastAsia="Times New Roman" w:cstheme="minorHAnsi"/>
          <w:szCs w:val="20"/>
          <w:lang w:eastAsia="pl-PL"/>
        </w:rPr>
        <w:t>(Dz. U. 2023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Pr="00FB4670">
        <w:rPr>
          <w:rFonts w:eastAsia="Times New Roman" w:cstheme="minorHAnsi"/>
          <w:szCs w:val="20"/>
          <w:lang w:eastAsia="pl-PL"/>
        </w:rPr>
        <w:t>r.</w:t>
      </w:r>
      <w:r w:rsidR="00E20FBB">
        <w:rPr>
          <w:rFonts w:eastAsia="Times New Roman" w:cstheme="minorHAnsi"/>
          <w:szCs w:val="20"/>
          <w:lang w:eastAsia="pl-PL"/>
        </w:rPr>
        <w:t>,</w:t>
      </w:r>
      <w:r w:rsidRPr="00FB4670">
        <w:rPr>
          <w:rFonts w:eastAsia="Times New Roman" w:cstheme="minorHAnsi"/>
          <w:szCs w:val="20"/>
          <w:lang w:eastAsia="pl-PL"/>
        </w:rPr>
        <w:t xml:space="preserve"> poz. 725)</w:t>
      </w:r>
      <w:r>
        <w:rPr>
          <w:rFonts w:eastAsia="Times New Roman" w:cstheme="minorHAnsi"/>
          <w:szCs w:val="20"/>
          <w:lang w:eastAsia="pl-PL"/>
        </w:rPr>
        <w:t>,</w:t>
      </w:r>
    </w:p>
    <w:p w:rsidR="008D265A" w:rsidRPr="00FB4670" w:rsidRDefault="008D265A" w:rsidP="00FB467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ustawy z dnia 10 maja 2018</w:t>
      </w:r>
      <w:r w:rsidR="005531D8">
        <w:rPr>
          <w:rFonts w:eastAsia="Times New Roman" w:cstheme="minorHAnsi"/>
          <w:szCs w:val="20"/>
          <w:lang w:eastAsia="pl-PL"/>
        </w:rPr>
        <w:t xml:space="preserve"> </w:t>
      </w:r>
      <w:r w:rsidRPr="00FB4670">
        <w:rPr>
          <w:rFonts w:eastAsia="Times New Roman" w:cstheme="minorHAnsi"/>
          <w:szCs w:val="20"/>
          <w:lang w:eastAsia="pl-PL"/>
        </w:rPr>
        <w:t>r. o ochronie danych osobowych (Dz. U. 20</w:t>
      </w:r>
      <w:r w:rsidR="00B54321">
        <w:rPr>
          <w:rFonts w:eastAsia="Times New Roman" w:cstheme="minorHAnsi"/>
          <w:szCs w:val="20"/>
          <w:lang w:eastAsia="pl-PL"/>
        </w:rPr>
        <w:t>19</w:t>
      </w:r>
      <w:r w:rsidR="000A1ABC">
        <w:rPr>
          <w:rFonts w:eastAsia="Times New Roman" w:cstheme="minorHAnsi"/>
          <w:szCs w:val="20"/>
          <w:lang w:eastAsia="pl-PL"/>
        </w:rPr>
        <w:t xml:space="preserve"> </w:t>
      </w:r>
      <w:r w:rsidRPr="00FB4670">
        <w:rPr>
          <w:rFonts w:eastAsia="Times New Roman" w:cstheme="minorHAnsi"/>
          <w:szCs w:val="20"/>
          <w:lang w:eastAsia="pl-PL"/>
        </w:rPr>
        <w:t>r.</w:t>
      </w:r>
      <w:r w:rsidR="009B5608">
        <w:rPr>
          <w:rFonts w:eastAsia="Times New Roman" w:cstheme="minorHAnsi"/>
          <w:szCs w:val="20"/>
          <w:lang w:eastAsia="pl-PL"/>
        </w:rPr>
        <w:t>,</w:t>
      </w:r>
      <w:r w:rsidRPr="00FB4670">
        <w:rPr>
          <w:rFonts w:eastAsia="Times New Roman" w:cstheme="minorHAnsi"/>
          <w:szCs w:val="20"/>
          <w:lang w:eastAsia="pl-PL"/>
        </w:rPr>
        <w:t xml:space="preserve"> poz</w:t>
      </w:r>
      <w:r w:rsidR="005531D8">
        <w:rPr>
          <w:rFonts w:eastAsia="Times New Roman" w:cstheme="minorHAnsi"/>
          <w:szCs w:val="20"/>
          <w:lang w:eastAsia="pl-PL"/>
        </w:rPr>
        <w:t>.</w:t>
      </w:r>
      <w:r w:rsidRPr="00FB4670">
        <w:rPr>
          <w:rFonts w:eastAsia="Times New Roman" w:cstheme="minorHAnsi"/>
          <w:szCs w:val="20"/>
          <w:lang w:eastAsia="pl-PL"/>
        </w:rPr>
        <w:t xml:space="preserve"> </w:t>
      </w:r>
      <w:r w:rsidR="00B54321">
        <w:rPr>
          <w:rFonts w:eastAsia="Times New Roman" w:cstheme="minorHAnsi"/>
          <w:szCs w:val="20"/>
          <w:lang w:eastAsia="pl-PL"/>
        </w:rPr>
        <w:t>1781</w:t>
      </w:r>
      <w:r w:rsidRPr="00FB4670">
        <w:rPr>
          <w:rFonts w:eastAsia="Times New Roman" w:cstheme="minorHAnsi"/>
          <w:szCs w:val="20"/>
          <w:lang w:eastAsia="pl-PL"/>
        </w:rPr>
        <w:t>)</w:t>
      </w:r>
      <w:r w:rsidR="00C2566E">
        <w:rPr>
          <w:rFonts w:eastAsia="Times New Roman" w:cstheme="minorHAnsi"/>
          <w:szCs w:val="20"/>
          <w:lang w:eastAsia="pl-PL"/>
        </w:rPr>
        <w:t>,</w:t>
      </w:r>
    </w:p>
    <w:p w:rsidR="00DA706F" w:rsidRDefault="00B54321" w:rsidP="00C2566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Celem </w:t>
      </w:r>
      <w:r w:rsidR="00FD7D7C" w:rsidRPr="00FB4670">
        <w:rPr>
          <w:rFonts w:eastAsia="Times New Roman" w:cstheme="minorHAnsi"/>
          <w:szCs w:val="20"/>
          <w:lang w:eastAsia="pl-PL"/>
        </w:rPr>
        <w:t>Komisj</w:t>
      </w:r>
      <w:r w:rsidR="00D83C55" w:rsidRPr="00FB4670">
        <w:rPr>
          <w:rFonts w:eastAsia="Times New Roman" w:cstheme="minorHAnsi"/>
          <w:szCs w:val="20"/>
          <w:lang w:eastAsia="pl-PL"/>
        </w:rPr>
        <w:t>i</w:t>
      </w:r>
      <w:r w:rsidR="00E10123" w:rsidRPr="00FB4670">
        <w:rPr>
          <w:rFonts w:eastAsia="Times New Roman" w:cstheme="minorHAnsi"/>
          <w:szCs w:val="20"/>
          <w:lang w:eastAsia="pl-PL"/>
        </w:rPr>
        <w:t xml:space="preserve"> jest </w:t>
      </w:r>
      <w:r>
        <w:rPr>
          <w:rFonts w:eastAsia="Times New Roman" w:cstheme="minorHAnsi"/>
          <w:szCs w:val="20"/>
          <w:lang w:eastAsia="pl-PL"/>
        </w:rPr>
        <w:t>społeczna kontrola wniosków z</w:t>
      </w:r>
      <w:r w:rsidR="00D83C55" w:rsidRPr="00FB4670">
        <w:rPr>
          <w:rFonts w:eastAsia="Times New Roman" w:cstheme="minorHAnsi"/>
          <w:szCs w:val="20"/>
          <w:lang w:eastAsia="pl-PL"/>
        </w:rPr>
        <w:t xml:space="preserve"> zakresu pomocy </w:t>
      </w:r>
      <w:r w:rsidR="00ED10A0" w:rsidRPr="00FB4670">
        <w:rPr>
          <w:rFonts w:eastAsia="Times New Roman" w:cstheme="minorHAnsi"/>
          <w:szCs w:val="20"/>
          <w:lang w:eastAsia="pl-PL"/>
        </w:rPr>
        <w:t>mieszkaniowej</w:t>
      </w:r>
      <w:r>
        <w:rPr>
          <w:rFonts w:eastAsia="Times New Roman" w:cstheme="minorHAnsi"/>
          <w:szCs w:val="20"/>
          <w:lang w:eastAsia="pl-PL"/>
        </w:rPr>
        <w:t xml:space="preserve">. Zadaniem Komisji jest opiniowanie wniosków ubiegających się o pomoc mieszkaniową, z wyjątkiem </w:t>
      </w:r>
      <w:r w:rsidR="00DA706F" w:rsidRPr="00FB4670">
        <w:rPr>
          <w:rFonts w:eastAsia="Times New Roman" w:cstheme="minorHAnsi"/>
          <w:szCs w:val="20"/>
          <w:lang w:eastAsia="pl-PL"/>
        </w:rPr>
        <w:t>spraw o których mowa w § 8 ust. 1 uchwały, o ile zapewnienie lokalu zamiennego dotyczy najemcy lokalu innego niż lokal Miasta, także spraw o których mowa w § 8 pkt. 4, 7, 10, § 16 oraz § 30</w:t>
      </w:r>
      <w:r w:rsidR="00DD2DE3">
        <w:rPr>
          <w:rFonts w:eastAsia="Times New Roman" w:cstheme="minorHAnsi"/>
          <w:szCs w:val="20"/>
          <w:lang w:eastAsia="pl-PL"/>
        </w:rPr>
        <w:t xml:space="preserve"> </w:t>
      </w:r>
      <w:r w:rsidR="00DD2DE3" w:rsidRPr="00FB4670">
        <w:rPr>
          <w:rFonts w:eastAsia="Times New Roman" w:cstheme="minorHAnsi"/>
          <w:szCs w:val="20"/>
          <w:lang w:eastAsia="pl-PL"/>
        </w:rPr>
        <w:t>uchwały nr XXIII/669/2019 Rady m.st. Warszawy z dnia 5 grudnia 2019</w:t>
      </w:r>
      <w:r w:rsidR="00DD2DE3">
        <w:rPr>
          <w:rFonts w:eastAsia="Times New Roman" w:cstheme="minorHAnsi"/>
          <w:szCs w:val="20"/>
          <w:lang w:eastAsia="pl-PL"/>
        </w:rPr>
        <w:t xml:space="preserve"> </w:t>
      </w:r>
      <w:r w:rsidR="00DD2DE3" w:rsidRPr="00FB4670">
        <w:rPr>
          <w:rFonts w:eastAsia="Times New Roman" w:cstheme="minorHAnsi"/>
          <w:szCs w:val="20"/>
          <w:lang w:eastAsia="pl-PL"/>
        </w:rPr>
        <w:t xml:space="preserve">r. </w:t>
      </w:r>
    </w:p>
    <w:p w:rsidR="00594C60" w:rsidRPr="00C2566E" w:rsidRDefault="00594C60" w:rsidP="00C2566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Informacje o rozstrzygnięciach zarządu dzielnicy </w:t>
      </w:r>
      <w:r w:rsidR="008219FE">
        <w:rPr>
          <w:rFonts w:eastAsia="Times New Roman" w:cstheme="minorHAnsi"/>
          <w:szCs w:val="20"/>
          <w:lang w:eastAsia="pl-PL"/>
        </w:rPr>
        <w:t>zgodnie z § 37</w:t>
      </w:r>
      <w:r w:rsidR="00060591">
        <w:rPr>
          <w:rFonts w:eastAsia="Times New Roman" w:cstheme="minorHAnsi"/>
          <w:szCs w:val="20"/>
          <w:lang w:eastAsia="pl-PL"/>
        </w:rPr>
        <w:t xml:space="preserve"> </w:t>
      </w:r>
      <w:r w:rsidR="008219FE">
        <w:rPr>
          <w:rFonts w:eastAsia="Times New Roman" w:cstheme="minorHAnsi"/>
          <w:szCs w:val="20"/>
          <w:lang w:eastAsia="pl-PL"/>
        </w:rPr>
        <w:t>ust. 1</w:t>
      </w:r>
      <w:r w:rsidR="00060591">
        <w:rPr>
          <w:rFonts w:eastAsia="Times New Roman" w:cstheme="minorHAnsi"/>
          <w:szCs w:val="20"/>
          <w:lang w:eastAsia="pl-PL"/>
        </w:rPr>
        <w:t xml:space="preserve"> uchwały</w:t>
      </w:r>
      <w:r w:rsidR="008219FE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szCs w:val="20"/>
          <w:lang w:eastAsia="pl-PL"/>
        </w:rPr>
        <w:t>na bieżąco przekazuje się Komisji.</w:t>
      </w:r>
    </w:p>
    <w:p w:rsidR="00DA706F" w:rsidRPr="00FB4670" w:rsidRDefault="00E10123" w:rsidP="00FB4670">
      <w:pPr>
        <w:spacing w:after="0" w:line="360" w:lineRule="auto"/>
        <w:jc w:val="center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§ 2</w:t>
      </w:r>
    </w:p>
    <w:p w:rsidR="00B2571C" w:rsidRPr="00FB4670" w:rsidRDefault="00B2571C" w:rsidP="00E853EE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Kadencja członków Komisji trwa przez okres kadencji Rady Dzielnicy Praga-Północ m.st. Warszawy, z zastrzeżeniem ust. 4.</w:t>
      </w:r>
    </w:p>
    <w:p w:rsidR="00B2571C" w:rsidRPr="00FB4670" w:rsidRDefault="00B2571C" w:rsidP="00E853EE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Liczb</w:t>
      </w:r>
      <w:r w:rsidR="00060591">
        <w:rPr>
          <w:rFonts w:eastAsia="Times New Roman" w:cstheme="minorHAnsi"/>
          <w:szCs w:val="20"/>
          <w:lang w:eastAsia="pl-PL"/>
        </w:rPr>
        <w:t xml:space="preserve">a członków Komisji nie może być mniejsza niż 5 i nie </w:t>
      </w:r>
      <w:r w:rsidRPr="00FB4670">
        <w:rPr>
          <w:rFonts w:eastAsia="Times New Roman" w:cstheme="minorHAnsi"/>
          <w:szCs w:val="20"/>
          <w:lang w:eastAsia="pl-PL"/>
        </w:rPr>
        <w:t>większa niż 7.</w:t>
      </w:r>
    </w:p>
    <w:p w:rsidR="00B2571C" w:rsidRPr="00FB4670" w:rsidRDefault="00B2571C" w:rsidP="00E853EE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Członkowie Komisji pełnią swoje funkcje do czasu ustania członkos</w:t>
      </w:r>
      <w:r w:rsidR="00E853EE">
        <w:rPr>
          <w:rFonts w:eastAsia="Times New Roman" w:cstheme="minorHAnsi"/>
          <w:szCs w:val="20"/>
          <w:lang w:eastAsia="pl-PL"/>
        </w:rPr>
        <w:t xml:space="preserve">twa </w:t>
      </w:r>
      <w:r w:rsidRPr="00FB4670">
        <w:rPr>
          <w:rFonts w:eastAsia="Times New Roman" w:cstheme="minorHAnsi"/>
          <w:szCs w:val="20"/>
          <w:lang w:eastAsia="pl-PL"/>
        </w:rPr>
        <w:t>z powodu:</w:t>
      </w:r>
    </w:p>
    <w:p w:rsidR="00B2571C" w:rsidRPr="0063587C" w:rsidRDefault="00B2571C" w:rsidP="00E853EE">
      <w:pPr>
        <w:pStyle w:val="Akapitzlist"/>
        <w:numPr>
          <w:ilvl w:val="1"/>
          <w:numId w:val="15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odwołania przez Radę Dzielnicy Praga-Północ m.st. Warszawy</w:t>
      </w:r>
      <w:r w:rsidR="0063587C">
        <w:rPr>
          <w:rFonts w:eastAsia="Times New Roman" w:cstheme="minorHAnsi"/>
          <w:szCs w:val="20"/>
          <w:lang w:eastAsia="pl-PL"/>
        </w:rPr>
        <w:t xml:space="preserve"> ze składu Komisji</w:t>
      </w:r>
      <w:r w:rsidRPr="00FB4670">
        <w:rPr>
          <w:rFonts w:eastAsia="Times New Roman" w:cstheme="minorHAnsi"/>
          <w:szCs w:val="20"/>
          <w:lang w:eastAsia="pl-PL"/>
        </w:rPr>
        <w:t>,</w:t>
      </w:r>
    </w:p>
    <w:p w:rsidR="00B2571C" w:rsidRPr="00FB4670" w:rsidRDefault="00B2571C" w:rsidP="00E853EE">
      <w:pPr>
        <w:pStyle w:val="Akapitzlist"/>
        <w:numPr>
          <w:ilvl w:val="1"/>
          <w:numId w:val="15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wygaśnięcia mandatu radnego.</w:t>
      </w:r>
    </w:p>
    <w:p w:rsidR="00B2571C" w:rsidRPr="00E853EE" w:rsidRDefault="00B2571C" w:rsidP="00E853EE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E853EE">
        <w:rPr>
          <w:rFonts w:eastAsia="Times New Roman" w:cstheme="minorHAnsi"/>
          <w:szCs w:val="20"/>
          <w:lang w:eastAsia="pl-PL"/>
        </w:rPr>
        <w:lastRenderedPageBreak/>
        <w:t>W przypadku ustania członkostwa, o którym mowa w ust. 3, Rada</w:t>
      </w:r>
      <w:r w:rsidR="00021C8B" w:rsidRPr="00E853EE">
        <w:rPr>
          <w:rFonts w:eastAsia="Times New Roman" w:cstheme="minorHAnsi"/>
          <w:szCs w:val="20"/>
          <w:lang w:eastAsia="pl-PL"/>
        </w:rPr>
        <w:t xml:space="preserve"> Dzielnicy Praga-Północ m.s</w:t>
      </w:r>
      <w:r w:rsidR="00594C60">
        <w:rPr>
          <w:rFonts w:eastAsia="Times New Roman" w:cstheme="minorHAnsi"/>
          <w:szCs w:val="20"/>
          <w:lang w:eastAsia="pl-PL"/>
        </w:rPr>
        <w:t>t. Warszawy powinna</w:t>
      </w:r>
      <w:r w:rsidR="00021C8B" w:rsidRPr="00E853EE">
        <w:rPr>
          <w:rFonts w:eastAsia="Times New Roman" w:cstheme="minorHAnsi"/>
          <w:szCs w:val="20"/>
          <w:lang w:eastAsia="pl-PL"/>
        </w:rPr>
        <w:t xml:space="preserve"> uzupełnić </w:t>
      </w:r>
      <w:r w:rsidR="00060591">
        <w:rPr>
          <w:rFonts w:eastAsia="Times New Roman" w:cstheme="minorHAnsi"/>
          <w:szCs w:val="20"/>
          <w:lang w:eastAsia="pl-PL"/>
        </w:rPr>
        <w:t>minimalny</w:t>
      </w:r>
      <w:r w:rsidR="00594C60">
        <w:rPr>
          <w:rFonts w:eastAsia="Times New Roman" w:cstheme="minorHAnsi"/>
          <w:szCs w:val="20"/>
          <w:lang w:eastAsia="pl-PL"/>
        </w:rPr>
        <w:t xml:space="preserve"> </w:t>
      </w:r>
      <w:r w:rsidR="00021C8B" w:rsidRPr="00E853EE">
        <w:rPr>
          <w:rFonts w:eastAsia="Times New Roman" w:cstheme="minorHAnsi"/>
          <w:szCs w:val="20"/>
          <w:lang w:eastAsia="pl-PL"/>
        </w:rPr>
        <w:t>skład Komisji, najpóźniej w terminie 30 dni od dnia ustania członkostwa.</w:t>
      </w:r>
    </w:p>
    <w:p w:rsidR="00E10123" w:rsidRDefault="0047309A" w:rsidP="00FB4670">
      <w:pPr>
        <w:spacing w:after="0" w:line="360" w:lineRule="auto"/>
        <w:jc w:val="center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§ 3</w:t>
      </w:r>
    </w:p>
    <w:p w:rsidR="00E10123" w:rsidRDefault="00927EAE" w:rsidP="006228E5">
      <w:p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1.</w:t>
      </w:r>
      <w:r w:rsidR="00B82C46">
        <w:rPr>
          <w:rFonts w:eastAsia="Times New Roman" w:cstheme="minorHAnsi"/>
          <w:szCs w:val="20"/>
          <w:lang w:eastAsia="pl-PL"/>
        </w:rPr>
        <w:t xml:space="preserve"> </w:t>
      </w:r>
      <w:r w:rsidR="00B962EC" w:rsidRPr="00927EAE">
        <w:rPr>
          <w:rFonts w:eastAsia="Times New Roman" w:cstheme="minorHAnsi"/>
          <w:szCs w:val="20"/>
          <w:lang w:eastAsia="pl-PL"/>
        </w:rPr>
        <w:t>P</w:t>
      </w:r>
      <w:r w:rsidR="00E10123" w:rsidRPr="00927EAE">
        <w:rPr>
          <w:rFonts w:eastAsia="Times New Roman" w:cstheme="minorHAnsi"/>
          <w:szCs w:val="20"/>
          <w:lang w:eastAsia="pl-PL"/>
        </w:rPr>
        <w:t>racami</w:t>
      </w:r>
      <w:r w:rsidR="0047309A" w:rsidRPr="00927EAE">
        <w:rPr>
          <w:rFonts w:eastAsia="Times New Roman" w:cstheme="minorHAnsi"/>
          <w:szCs w:val="20"/>
          <w:lang w:eastAsia="pl-PL"/>
        </w:rPr>
        <w:t xml:space="preserve"> Komisji kieruje </w:t>
      </w:r>
      <w:r w:rsidR="009B3D62" w:rsidRPr="00927EAE">
        <w:rPr>
          <w:rFonts w:eastAsia="Times New Roman" w:cstheme="minorHAnsi"/>
          <w:szCs w:val="20"/>
          <w:lang w:eastAsia="pl-PL"/>
        </w:rPr>
        <w:t xml:space="preserve">jej </w:t>
      </w:r>
      <w:r w:rsidR="0047309A" w:rsidRPr="00927EAE">
        <w:rPr>
          <w:rFonts w:eastAsia="Times New Roman" w:cstheme="minorHAnsi"/>
          <w:szCs w:val="20"/>
          <w:lang w:eastAsia="pl-PL"/>
        </w:rPr>
        <w:t xml:space="preserve">Przewodniczący, </w:t>
      </w:r>
      <w:r w:rsidR="009B3D62" w:rsidRPr="00927EAE">
        <w:rPr>
          <w:rFonts w:eastAsia="Times New Roman" w:cstheme="minorHAnsi"/>
          <w:szCs w:val="20"/>
          <w:lang w:eastAsia="pl-PL"/>
        </w:rPr>
        <w:t xml:space="preserve">wybierany i odwoływany przez </w:t>
      </w:r>
      <w:r w:rsidR="00E853EE" w:rsidRPr="00927EAE">
        <w:rPr>
          <w:rFonts w:eastAsia="Times New Roman" w:cstheme="minorHAnsi"/>
          <w:szCs w:val="20"/>
          <w:lang w:eastAsia="pl-PL"/>
        </w:rPr>
        <w:t>R</w:t>
      </w:r>
      <w:r w:rsidR="009B3D62" w:rsidRPr="00927EAE">
        <w:rPr>
          <w:rFonts w:eastAsia="Times New Roman" w:cstheme="minorHAnsi"/>
          <w:szCs w:val="20"/>
          <w:lang w:eastAsia="pl-PL"/>
        </w:rPr>
        <w:t xml:space="preserve">adę Dzielnicy </w:t>
      </w:r>
      <w:r w:rsidR="00E853EE" w:rsidRPr="00927EAE">
        <w:rPr>
          <w:rFonts w:eastAsia="Times New Roman" w:cstheme="minorHAnsi"/>
          <w:szCs w:val="20"/>
          <w:lang w:eastAsia="pl-PL"/>
        </w:rPr>
        <w:t xml:space="preserve">Praga-Północ m.st. Warszawy. </w:t>
      </w:r>
    </w:p>
    <w:p w:rsidR="00E10123" w:rsidRDefault="00927EAE" w:rsidP="006228E5">
      <w:p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2.</w:t>
      </w:r>
      <w:r w:rsidR="00B82C46">
        <w:rPr>
          <w:rFonts w:eastAsia="Times New Roman" w:cstheme="minorHAnsi"/>
          <w:szCs w:val="20"/>
          <w:lang w:eastAsia="pl-PL"/>
        </w:rPr>
        <w:t xml:space="preserve"> </w:t>
      </w:r>
      <w:r w:rsidR="00E10123" w:rsidRPr="00927EAE">
        <w:rPr>
          <w:rFonts w:eastAsia="Times New Roman" w:cstheme="minorHAnsi"/>
          <w:szCs w:val="20"/>
          <w:lang w:eastAsia="pl-PL"/>
        </w:rPr>
        <w:t xml:space="preserve">W </w:t>
      </w:r>
      <w:r w:rsidR="009B3D62" w:rsidRPr="00927EAE">
        <w:rPr>
          <w:rFonts w:eastAsia="Times New Roman" w:cstheme="minorHAnsi"/>
          <w:szCs w:val="20"/>
          <w:lang w:eastAsia="pl-PL"/>
        </w:rPr>
        <w:t>przypadku</w:t>
      </w:r>
      <w:r w:rsidR="00E10123" w:rsidRPr="00927EAE">
        <w:rPr>
          <w:rFonts w:eastAsia="Times New Roman" w:cstheme="minorHAnsi"/>
          <w:szCs w:val="20"/>
          <w:lang w:eastAsia="pl-PL"/>
        </w:rPr>
        <w:t xml:space="preserve"> nieobecności Przewodniczącego </w:t>
      </w:r>
      <w:r w:rsidR="00E853EE" w:rsidRPr="00927EAE">
        <w:rPr>
          <w:rFonts w:eastAsia="Times New Roman" w:cstheme="minorHAnsi"/>
          <w:szCs w:val="20"/>
          <w:lang w:eastAsia="pl-PL"/>
        </w:rPr>
        <w:t xml:space="preserve">na posiedzeniu Komisji, </w:t>
      </w:r>
      <w:r w:rsidR="009B3D62" w:rsidRPr="00927EAE">
        <w:rPr>
          <w:rFonts w:eastAsia="Times New Roman" w:cstheme="minorHAnsi"/>
          <w:szCs w:val="20"/>
          <w:lang w:eastAsia="pl-PL"/>
        </w:rPr>
        <w:t>obowiązki Przewodniczącego Komisji pełni</w:t>
      </w:r>
      <w:r w:rsidR="00E10123" w:rsidRPr="00927EAE">
        <w:rPr>
          <w:rFonts w:eastAsia="Times New Roman" w:cstheme="minorHAnsi"/>
          <w:szCs w:val="20"/>
          <w:lang w:eastAsia="pl-PL"/>
        </w:rPr>
        <w:t xml:space="preserve"> </w:t>
      </w:r>
      <w:r w:rsidR="00E853EE" w:rsidRPr="00927EAE">
        <w:rPr>
          <w:rFonts w:eastAsia="Times New Roman" w:cstheme="minorHAnsi"/>
          <w:szCs w:val="20"/>
          <w:lang w:eastAsia="pl-PL"/>
        </w:rPr>
        <w:t xml:space="preserve">rotacyjnie jeden z </w:t>
      </w:r>
      <w:r w:rsidR="00E10123" w:rsidRPr="00927EAE">
        <w:rPr>
          <w:rFonts w:eastAsia="Times New Roman" w:cstheme="minorHAnsi"/>
          <w:szCs w:val="20"/>
          <w:lang w:eastAsia="pl-PL"/>
        </w:rPr>
        <w:t>Wiceprzewodniczący</w:t>
      </w:r>
      <w:r w:rsidR="00594C60">
        <w:rPr>
          <w:rFonts w:eastAsia="Times New Roman" w:cstheme="minorHAnsi"/>
          <w:szCs w:val="20"/>
          <w:lang w:eastAsia="pl-PL"/>
        </w:rPr>
        <w:t xml:space="preserve">ch, a w przypadku jego </w:t>
      </w:r>
      <w:r w:rsidR="00E853EE" w:rsidRPr="00927EAE">
        <w:rPr>
          <w:rFonts w:eastAsia="Times New Roman" w:cstheme="minorHAnsi"/>
          <w:szCs w:val="20"/>
          <w:lang w:eastAsia="pl-PL"/>
        </w:rPr>
        <w:t>nieobecności</w:t>
      </w:r>
      <w:r w:rsidR="00A92AB6" w:rsidRPr="00927EAE">
        <w:rPr>
          <w:rFonts w:eastAsia="Times New Roman" w:cstheme="minorHAnsi"/>
          <w:szCs w:val="20"/>
          <w:lang w:eastAsia="pl-PL"/>
        </w:rPr>
        <w:t>,</w:t>
      </w:r>
      <w:r w:rsidR="009B3D62" w:rsidRPr="00927EAE">
        <w:rPr>
          <w:rFonts w:eastAsia="Times New Roman" w:cstheme="minorHAnsi"/>
          <w:szCs w:val="20"/>
          <w:lang w:eastAsia="pl-PL"/>
        </w:rPr>
        <w:t xml:space="preserve"> inny członek Komisji, upoważniony przez Przewodniczącego Komisji lub </w:t>
      </w:r>
      <w:r w:rsidR="00E853EE" w:rsidRPr="00927EAE">
        <w:rPr>
          <w:rFonts w:eastAsia="Times New Roman" w:cstheme="minorHAnsi"/>
          <w:szCs w:val="20"/>
          <w:lang w:eastAsia="pl-PL"/>
        </w:rPr>
        <w:t xml:space="preserve">upoważniony przez </w:t>
      </w:r>
      <w:r w:rsidR="009B3D62" w:rsidRPr="00927EAE">
        <w:rPr>
          <w:rFonts w:eastAsia="Times New Roman" w:cstheme="minorHAnsi"/>
          <w:szCs w:val="20"/>
          <w:lang w:eastAsia="pl-PL"/>
        </w:rPr>
        <w:t>Przewodniczącego Rady</w:t>
      </w:r>
      <w:r w:rsidR="00E10123" w:rsidRPr="00927EAE">
        <w:rPr>
          <w:rFonts w:eastAsia="Times New Roman" w:cstheme="minorHAnsi"/>
          <w:szCs w:val="20"/>
          <w:lang w:eastAsia="pl-PL"/>
        </w:rPr>
        <w:t>.</w:t>
      </w:r>
    </w:p>
    <w:p w:rsidR="009B3D62" w:rsidRPr="00927EAE" w:rsidRDefault="00927EAE" w:rsidP="006228E5">
      <w:p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3. </w:t>
      </w:r>
      <w:r w:rsidR="00254742" w:rsidRPr="00927EAE">
        <w:rPr>
          <w:rFonts w:eastAsia="Times New Roman" w:cstheme="minorHAnsi"/>
          <w:szCs w:val="20"/>
          <w:lang w:eastAsia="pl-PL"/>
        </w:rPr>
        <w:t>Obsługę administracyjno-biurową Komisji oraz je</w:t>
      </w:r>
      <w:r w:rsidR="00A92AB6" w:rsidRPr="00927EAE">
        <w:rPr>
          <w:rFonts w:eastAsia="Times New Roman" w:cstheme="minorHAnsi"/>
          <w:szCs w:val="20"/>
          <w:lang w:eastAsia="pl-PL"/>
        </w:rPr>
        <w:t>j</w:t>
      </w:r>
      <w:r w:rsidR="00254742" w:rsidRPr="00927EAE">
        <w:rPr>
          <w:rFonts w:eastAsia="Times New Roman" w:cstheme="minorHAnsi"/>
          <w:szCs w:val="20"/>
          <w:lang w:eastAsia="pl-PL"/>
        </w:rPr>
        <w:t xml:space="preserve"> członków zapewnia</w:t>
      </w:r>
      <w:r w:rsidR="009B3D62" w:rsidRPr="00927EAE">
        <w:rPr>
          <w:rFonts w:eastAsia="Times New Roman" w:cstheme="minorHAnsi"/>
          <w:szCs w:val="20"/>
          <w:lang w:eastAsia="pl-PL"/>
        </w:rPr>
        <w:t xml:space="preserve"> </w:t>
      </w:r>
      <w:r w:rsidR="00161E64">
        <w:rPr>
          <w:rFonts w:eastAsia="Times New Roman" w:cstheme="minorHAnsi"/>
          <w:szCs w:val="20"/>
          <w:lang w:eastAsia="pl-PL"/>
        </w:rPr>
        <w:t>Urząd</w:t>
      </w:r>
      <w:r w:rsidR="009B3D62" w:rsidRPr="00927EAE">
        <w:rPr>
          <w:rFonts w:eastAsia="Times New Roman" w:cstheme="minorHAnsi"/>
          <w:szCs w:val="20"/>
          <w:lang w:eastAsia="pl-PL"/>
        </w:rPr>
        <w:t xml:space="preserve"> Dzielnicy Praga-Północ m.st. Warszawy </w:t>
      </w:r>
      <w:r w:rsidR="00254742" w:rsidRPr="00927EAE">
        <w:rPr>
          <w:rFonts w:eastAsia="Times New Roman" w:cstheme="minorHAnsi"/>
          <w:szCs w:val="20"/>
          <w:lang w:eastAsia="pl-PL"/>
        </w:rPr>
        <w:t>poprzez wskazanie pracowników</w:t>
      </w:r>
      <w:r w:rsidR="00A92AB6" w:rsidRPr="00927EAE">
        <w:rPr>
          <w:rFonts w:eastAsia="Times New Roman" w:cstheme="minorHAnsi"/>
          <w:szCs w:val="20"/>
          <w:lang w:eastAsia="pl-PL"/>
        </w:rPr>
        <w:t xml:space="preserve"> do współ</w:t>
      </w:r>
      <w:r w:rsidR="00B82C46">
        <w:rPr>
          <w:rFonts w:eastAsia="Times New Roman" w:cstheme="minorHAnsi"/>
          <w:szCs w:val="20"/>
          <w:lang w:eastAsia="pl-PL"/>
        </w:rPr>
        <w:t>p</w:t>
      </w:r>
      <w:r w:rsidR="00A92AB6" w:rsidRPr="00927EAE">
        <w:rPr>
          <w:rFonts w:eastAsia="Times New Roman" w:cstheme="minorHAnsi"/>
          <w:szCs w:val="20"/>
          <w:lang w:eastAsia="pl-PL"/>
        </w:rPr>
        <w:t>racy</w:t>
      </w:r>
      <w:r w:rsidR="00254742" w:rsidRPr="00927EAE">
        <w:rPr>
          <w:rFonts w:eastAsia="Times New Roman" w:cstheme="minorHAnsi"/>
          <w:szCs w:val="20"/>
          <w:lang w:eastAsia="pl-PL"/>
        </w:rPr>
        <w:t xml:space="preserve">, </w:t>
      </w:r>
      <w:r w:rsidR="009B3D62" w:rsidRPr="00927EAE">
        <w:rPr>
          <w:rFonts w:eastAsia="Times New Roman" w:cstheme="minorHAnsi"/>
          <w:szCs w:val="20"/>
          <w:lang w:eastAsia="pl-PL"/>
        </w:rPr>
        <w:t>pomieszcze</w:t>
      </w:r>
      <w:r w:rsidR="00254742" w:rsidRPr="00927EAE">
        <w:rPr>
          <w:rFonts w:eastAsia="Times New Roman" w:cstheme="minorHAnsi"/>
          <w:szCs w:val="20"/>
          <w:lang w:eastAsia="pl-PL"/>
        </w:rPr>
        <w:t>ń biurowych oraz</w:t>
      </w:r>
      <w:r w:rsidR="009B3D62" w:rsidRPr="00927EAE">
        <w:rPr>
          <w:rFonts w:eastAsia="Times New Roman" w:cstheme="minorHAnsi"/>
          <w:szCs w:val="20"/>
          <w:lang w:eastAsia="pl-PL"/>
        </w:rPr>
        <w:t xml:space="preserve"> </w:t>
      </w:r>
      <w:r w:rsidR="00254742" w:rsidRPr="00927EAE">
        <w:rPr>
          <w:rFonts w:eastAsia="Times New Roman" w:cstheme="minorHAnsi"/>
          <w:szCs w:val="20"/>
          <w:lang w:eastAsia="pl-PL"/>
        </w:rPr>
        <w:t xml:space="preserve">innych </w:t>
      </w:r>
      <w:r w:rsidR="009B3D62" w:rsidRPr="00927EAE">
        <w:rPr>
          <w:rFonts w:eastAsia="Times New Roman" w:cstheme="minorHAnsi"/>
          <w:szCs w:val="20"/>
          <w:lang w:eastAsia="pl-PL"/>
        </w:rPr>
        <w:t>niezbędn</w:t>
      </w:r>
      <w:r w:rsidR="00254742" w:rsidRPr="00927EAE">
        <w:rPr>
          <w:rFonts w:eastAsia="Times New Roman" w:cstheme="minorHAnsi"/>
          <w:szCs w:val="20"/>
          <w:lang w:eastAsia="pl-PL"/>
        </w:rPr>
        <w:t xml:space="preserve">ych </w:t>
      </w:r>
      <w:r w:rsidR="009B3D62" w:rsidRPr="00927EAE">
        <w:rPr>
          <w:rFonts w:eastAsia="Times New Roman" w:cstheme="minorHAnsi"/>
          <w:szCs w:val="20"/>
          <w:lang w:eastAsia="pl-PL"/>
        </w:rPr>
        <w:t>środk</w:t>
      </w:r>
      <w:r w:rsidR="00254742" w:rsidRPr="00927EAE">
        <w:rPr>
          <w:rFonts w:eastAsia="Times New Roman" w:cstheme="minorHAnsi"/>
          <w:szCs w:val="20"/>
          <w:lang w:eastAsia="pl-PL"/>
        </w:rPr>
        <w:t>ów</w:t>
      </w:r>
      <w:r w:rsidR="00B82C46">
        <w:rPr>
          <w:rFonts w:eastAsia="Times New Roman" w:cstheme="minorHAnsi"/>
          <w:szCs w:val="20"/>
          <w:lang w:eastAsia="pl-PL"/>
        </w:rPr>
        <w:t xml:space="preserve"> biurowych</w:t>
      </w:r>
      <w:r w:rsidR="00254742" w:rsidRPr="00927EAE">
        <w:rPr>
          <w:rFonts w:eastAsia="Times New Roman" w:cstheme="minorHAnsi"/>
          <w:szCs w:val="20"/>
          <w:lang w:eastAsia="pl-PL"/>
        </w:rPr>
        <w:t xml:space="preserve">. </w:t>
      </w:r>
    </w:p>
    <w:p w:rsidR="00E10123" w:rsidRPr="00FB4670" w:rsidRDefault="009B3D62" w:rsidP="00FB4670">
      <w:pPr>
        <w:spacing w:after="0" w:line="360" w:lineRule="auto"/>
        <w:jc w:val="center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§ 4</w:t>
      </w:r>
    </w:p>
    <w:p w:rsidR="00E10123" w:rsidRPr="00FB4670" w:rsidRDefault="009B3D62" w:rsidP="00FB467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Posiedzenia Komisji odbywają się w miarę potrzeb i zwoływane są przez Przewodniczącego.</w:t>
      </w:r>
    </w:p>
    <w:p w:rsidR="009B3D62" w:rsidRPr="00FB4670" w:rsidRDefault="006675DB" w:rsidP="00FB467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Posiedzenia Komisji odbywają się w Urzędzie Dzielnicy Praga-Północm.st. Warszawy w terminie i miejscu wskazanym w zawiadomieniu.</w:t>
      </w:r>
    </w:p>
    <w:p w:rsidR="006675DB" w:rsidRPr="00FB4670" w:rsidRDefault="006675DB" w:rsidP="00FB467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 xml:space="preserve">Zawiadomienie o terminie posiedzenia Komisji </w:t>
      </w:r>
      <w:r w:rsidR="002F5FB2">
        <w:rPr>
          <w:rFonts w:eastAsia="Times New Roman" w:cstheme="minorHAnsi"/>
          <w:szCs w:val="20"/>
          <w:lang w:eastAsia="pl-PL"/>
        </w:rPr>
        <w:t xml:space="preserve">będzie wysłane </w:t>
      </w:r>
      <w:r w:rsidRPr="00FB4670">
        <w:rPr>
          <w:rFonts w:eastAsia="Times New Roman" w:cstheme="minorHAnsi"/>
          <w:szCs w:val="20"/>
          <w:lang w:eastAsia="pl-PL"/>
        </w:rPr>
        <w:t>być za pośrednictwem poczty elektron</w:t>
      </w:r>
      <w:r w:rsidR="006228E5">
        <w:rPr>
          <w:rFonts w:eastAsia="Times New Roman" w:cstheme="minorHAnsi"/>
          <w:szCs w:val="20"/>
          <w:lang w:eastAsia="pl-PL"/>
        </w:rPr>
        <w:t>icznej</w:t>
      </w:r>
      <w:r w:rsidR="00D513F6">
        <w:rPr>
          <w:rFonts w:eastAsia="Times New Roman" w:cstheme="minorHAnsi"/>
          <w:szCs w:val="20"/>
          <w:lang w:eastAsia="pl-PL"/>
        </w:rPr>
        <w:t xml:space="preserve"> </w:t>
      </w:r>
      <w:r w:rsidR="00207282">
        <w:rPr>
          <w:rFonts w:eastAsia="Times New Roman" w:cstheme="minorHAnsi"/>
          <w:szCs w:val="20"/>
          <w:lang w:eastAsia="pl-PL"/>
        </w:rPr>
        <w:t xml:space="preserve">przez Wydział Obsługi </w:t>
      </w:r>
      <w:r w:rsidR="00D513F6">
        <w:rPr>
          <w:rFonts w:eastAsia="Times New Roman" w:cstheme="minorHAnsi"/>
          <w:szCs w:val="20"/>
          <w:lang w:eastAsia="pl-PL"/>
        </w:rPr>
        <w:t>w terminie co najmniej 5</w:t>
      </w:r>
      <w:r w:rsidRPr="00FB4670">
        <w:rPr>
          <w:rFonts w:eastAsia="Times New Roman" w:cstheme="minorHAnsi"/>
          <w:szCs w:val="20"/>
          <w:lang w:eastAsia="pl-PL"/>
        </w:rPr>
        <w:t xml:space="preserve"> dni przed planowanym posiedzeniem. </w:t>
      </w:r>
      <w:r w:rsidR="008F3E4C">
        <w:rPr>
          <w:rFonts w:eastAsia="Times New Roman" w:cstheme="minorHAnsi"/>
          <w:szCs w:val="20"/>
          <w:lang w:eastAsia="pl-PL"/>
        </w:rPr>
        <w:t xml:space="preserve">Komisja może ustalić, że posiedzenia będą odbywały się z terminach wskazanych w harmonogramie </w:t>
      </w:r>
      <w:r w:rsidR="00750F7C">
        <w:rPr>
          <w:rFonts w:eastAsia="Times New Roman" w:cstheme="minorHAnsi"/>
          <w:szCs w:val="20"/>
          <w:lang w:eastAsia="pl-PL"/>
        </w:rPr>
        <w:t>ustalony</w:t>
      </w:r>
      <w:r w:rsidR="006228E5">
        <w:rPr>
          <w:rFonts w:eastAsia="Times New Roman" w:cstheme="minorHAnsi"/>
          <w:szCs w:val="20"/>
          <w:lang w:eastAsia="pl-PL"/>
        </w:rPr>
        <w:t>m na jeden miesiąc kalendarzowy</w:t>
      </w:r>
      <w:r w:rsidR="00750F7C">
        <w:rPr>
          <w:rFonts w:eastAsia="Times New Roman" w:cstheme="minorHAnsi"/>
          <w:szCs w:val="20"/>
          <w:lang w:eastAsia="pl-PL"/>
        </w:rPr>
        <w:t xml:space="preserve"> z wyprzedzeniem.</w:t>
      </w:r>
    </w:p>
    <w:p w:rsidR="006228E5" w:rsidRDefault="00D47785" w:rsidP="00FB467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6228E5">
        <w:rPr>
          <w:rFonts w:eastAsia="Times New Roman" w:cstheme="minorHAnsi"/>
          <w:szCs w:val="20"/>
          <w:lang w:eastAsia="pl-PL"/>
        </w:rPr>
        <w:t>Członkowie Komisji składają stosowne pisemne oświadczenie o bezstronności po zapoznaniu się z list</w:t>
      </w:r>
      <w:r w:rsidR="009343FC" w:rsidRPr="006228E5">
        <w:rPr>
          <w:rFonts w:eastAsia="Times New Roman" w:cstheme="minorHAnsi"/>
          <w:szCs w:val="20"/>
          <w:lang w:eastAsia="pl-PL"/>
        </w:rPr>
        <w:t>ą spraw</w:t>
      </w:r>
      <w:r w:rsidR="00D513F6" w:rsidRPr="006228E5">
        <w:rPr>
          <w:rFonts w:eastAsia="Times New Roman" w:cstheme="minorHAnsi"/>
          <w:szCs w:val="20"/>
          <w:lang w:eastAsia="pl-PL"/>
        </w:rPr>
        <w:t xml:space="preserve"> przedstawionych do</w:t>
      </w:r>
      <w:r w:rsidR="006228E5" w:rsidRPr="006228E5">
        <w:rPr>
          <w:rFonts w:eastAsia="Times New Roman" w:cstheme="minorHAnsi"/>
          <w:szCs w:val="20"/>
          <w:lang w:eastAsia="pl-PL"/>
        </w:rPr>
        <w:t xml:space="preserve"> zaopiniowania przez pracownika </w:t>
      </w:r>
      <w:r w:rsidR="00D513F6" w:rsidRPr="006228E5">
        <w:rPr>
          <w:rFonts w:eastAsia="Times New Roman" w:cstheme="minorHAnsi"/>
          <w:szCs w:val="20"/>
          <w:lang w:eastAsia="pl-PL"/>
        </w:rPr>
        <w:t>Wydziału Zasobów Lokalowych dla Dzielnicy Praga-Północ m.st. Warszawy</w:t>
      </w:r>
      <w:r w:rsidR="006228E5" w:rsidRPr="006228E5">
        <w:rPr>
          <w:rFonts w:eastAsia="Times New Roman" w:cstheme="minorHAnsi"/>
          <w:szCs w:val="20"/>
          <w:lang w:eastAsia="pl-PL"/>
        </w:rPr>
        <w:t>.</w:t>
      </w:r>
      <w:r w:rsidR="001C26C0" w:rsidRPr="006228E5">
        <w:rPr>
          <w:rFonts w:eastAsia="Times New Roman" w:cstheme="minorHAnsi"/>
          <w:szCs w:val="20"/>
          <w:lang w:eastAsia="pl-PL"/>
        </w:rPr>
        <w:t xml:space="preserve"> </w:t>
      </w:r>
    </w:p>
    <w:p w:rsidR="006228E5" w:rsidRPr="006228E5" w:rsidRDefault="009343FC" w:rsidP="00FB467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6228E5">
        <w:rPr>
          <w:rFonts w:eastAsia="Times New Roman" w:cstheme="minorHAnsi"/>
          <w:szCs w:val="20"/>
          <w:lang w:eastAsia="pl-PL"/>
        </w:rPr>
        <w:t>Z</w:t>
      </w:r>
      <w:r w:rsidR="00D513F6" w:rsidRPr="006228E5">
        <w:rPr>
          <w:rFonts w:eastAsia="Times New Roman" w:cstheme="minorHAnsi"/>
          <w:szCs w:val="20"/>
          <w:lang w:eastAsia="pl-PL"/>
        </w:rPr>
        <w:t xml:space="preserve"> </w:t>
      </w:r>
      <w:r w:rsidR="006675DB" w:rsidRPr="006228E5">
        <w:rPr>
          <w:rFonts w:eastAsia="Times New Roman" w:cstheme="minorHAnsi"/>
          <w:szCs w:val="20"/>
          <w:lang w:eastAsia="pl-PL"/>
        </w:rPr>
        <w:t>każdego posiedzenia Komisji</w:t>
      </w:r>
      <w:r w:rsidR="006228E5">
        <w:rPr>
          <w:rFonts w:eastAsia="Times New Roman" w:cstheme="minorHAnsi"/>
          <w:szCs w:val="20"/>
          <w:lang w:eastAsia="pl-PL"/>
        </w:rPr>
        <w:t xml:space="preserve">, sporządzany jest </w:t>
      </w:r>
      <w:r w:rsidR="006675DB" w:rsidRPr="006228E5">
        <w:rPr>
          <w:rFonts w:eastAsia="Times New Roman" w:cstheme="minorHAnsi"/>
          <w:szCs w:val="20"/>
          <w:lang w:eastAsia="pl-PL"/>
        </w:rPr>
        <w:t>protokół zawierający</w:t>
      </w:r>
      <w:r w:rsidR="00D513F6" w:rsidRPr="006228E5">
        <w:rPr>
          <w:rFonts w:eastAsia="Times New Roman" w:cstheme="minorHAnsi"/>
          <w:szCs w:val="20"/>
          <w:lang w:eastAsia="pl-PL"/>
        </w:rPr>
        <w:t xml:space="preserve"> listę spraw przedstawionych do zaopiniowania,</w:t>
      </w:r>
      <w:r w:rsidR="00451277" w:rsidRPr="006228E5">
        <w:rPr>
          <w:rFonts w:eastAsia="Times New Roman" w:cstheme="minorHAnsi"/>
          <w:szCs w:val="20"/>
          <w:lang w:eastAsia="pl-PL"/>
        </w:rPr>
        <w:t xml:space="preserve"> listę obecności,</w:t>
      </w:r>
      <w:r w:rsidR="006675DB" w:rsidRPr="006228E5">
        <w:rPr>
          <w:rFonts w:eastAsia="Times New Roman" w:cstheme="minorHAnsi"/>
          <w:szCs w:val="20"/>
          <w:lang w:eastAsia="pl-PL"/>
        </w:rPr>
        <w:t xml:space="preserve"> opis przebiegu obrad, wyniki głosowania, czynności oraz wnioski przyjęte przez Komisję</w:t>
      </w:r>
      <w:r w:rsidR="002834E4" w:rsidRPr="006228E5">
        <w:rPr>
          <w:rFonts w:eastAsia="Times New Roman" w:cstheme="minorHAnsi"/>
          <w:szCs w:val="20"/>
          <w:lang w:eastAsia="pl-PL"/>
        </w:rPr>
        <w:t xml:space="preserve">, </w:t>
      </w:r>
      <w:r w:rsidR="008F3E4C" w:rsidRPr="006228E5">
        <w:rPr>
          <w:rFonts w:eastAsia="Times New Roman" w:cstheme="minorHAnsi"/>
          <w:szCs w:val="20"/>
          <w:lang w:eastAsia="pl-PL"/>
        </w:rPr>
        <w:t xml:space="preserve">jak również inne informacje czy uwagi zgłoszone do </w:t>
      </w:r>
      <w:r w:rsidR="00451277" w:rsidRPr="006228E5">
        <w:rPr>
          <w:rFonts w:eastAsia="Times New Roman" w:cstheme="minorHAnsi"/>
          <w:szCs w:val="20"/>
          <w:lang w:eastAsia="pl-PL"/>
        </w:rPr>
        <w:t xml:space="preserve">treści </w:t>
      </w:r>
      <w:r w:rsidRPr="006228E5">
        <w:rPr>
          <w:rFonts w:eastAsia="Times New Roman" w:cstheme="minorHAnsi"/>
          <w:szCs w:val="20"/>
          <w:lang w:eastAsia="pl-PL"/>
        </w:rPr>
        <w:t>protokołu, który podpisuje osoba przewodnicząc</w:t>
      </w:r>
      <w:r w:rsidR="006228E5" w:rsidRPr="006228E5">
        <w:rPr>
          <w:rFonts w:eastAsia="Times New Roman" w:cstheme="minorHAnsi"/>
          <w:szCs w:val="20"/>
          <w:lang w:eastAsia="pl-PL"/>
        </w:rPr>
        <w:t>a</w:t>
      </w:r>
      <w:r w:rsidR="00060591">
        <w:rPr>
          <w:rFonts w:eastAsia="Times New Roman" w:cstheme="minorHAnsi"/>
          <w:szCs w:val="20"/>
          <w:lang w:eastAsia="pl-PL"/>
        </w:rPr>
        <w:t xml:space="preserve"> posiedzeniu Komisji</w:t>
      </w:r>
      <w:r w:rsidR="006228E5" w:rsidRPr="006228E5">
        <w:rPr>
          <w:rFonts w:eastAsia="Times New Roman" w:cstheme="minorHAnsi"/>
          <w:szCs w:val="20"/>
          <w:lang w:eastAsia="pl-PL"/>
        </w:rPr>
        <w:t>.</w:t>
      </w:r>
    </w:p>
    <w:p w:rsidR="006675DB" w:rsidRPr="006228E5" w:rsidRDefault="006675DB" w:rsidP="00FB467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6228E5">
        <w:rPr>
          <w:rFonts w:eastAsia="Times New Roman" w:cstheme="minorHAnsi"/>
          <w:szCs w:val="20"/>
          <w:lang w:eastAsia="pl-PL"/>
        </w:rPr>
        <w:t>W posiedzeniach Komisji, bez prawa udziału w głosowaniu</w:t>
      </w:r>
      <w:r w:rsidR="002834E4" w:rsidRPr="006228E5">
        <w:rPr>
          <w:rFonts w:eastAsia="Times New Roman" w:cstheme="minorHAnsi"/>
          <w:szCs w:val="20"/>
          <w:lang w:eastAsia="pl-PL"/>
        </w:rPr>
        <w:t>,</w:t>
      </w:r>
      <w:r w:rsidRPr="006228E5">
        <w:rPr>
          <w:rFonts w:eastAsia="Times New Roman" w:cstheme="minorHAnsi"/>
          <w:szCs w:val="20"/>
          <w:lang w:eastAsia="pl-PL"/>
        </w:rPr>
        <w:t xml:space="preserve"> </w:t>
      </w:r>
      <w:r w:rsidR="002834E4" w:rsidRPr="006228E5">
        <w:rPr>
          <w:rFonts w:eastAsia="Times New Roman" w:cstheme="minorHAnsi"/>
          <w:szCs w:val="20"/>
          <w:lang w:eastAsia="pl-PL"/>
        </w:rPr>
        <w:t>uczestniczy pracownik</w:t>
      </w:r>
      <w:r w:rsidR="008F3E4C" w:rsidRPr="006228E5">
        <w:rPr>
          <w:rFonts w:eastAsia="Times New Roman" w:cstheme="minorHAnsi"/>
          <w:szCs w:val="20"/>
          <w:lang w:eastAsia="pl-PL"/>
        </w:rPr>
        <w:t xml:space="preserve"> Wydziału</w:t>
      </w:r>
      <w:r w:rsidR="009343FC" w:rsidRPr="006228E5">
        <w:rPr>
          <w:rFonts w:eastAsia="Times New Roman" w:cstheme="minorHAnsi"/>
          <w:szCs w:val="20"/>
          <w:lang w:eastAsia="pl-PL"/>
        </w:rPr>
        <w:t xml:space="preserve"> Zasobów</w:t>
      </w:r>
      <w:r w:rsidR="008F3E4C" w:rsidRPr="006228E5">
        <w:rPr>
          <w:rFonts w:eastAsia="Times New Roman" w:cstheme="minorHAnsi"/>
          <w:szCs w:val="20"/>
          <w:lang w:eastAsia="pl-PL"/>
        </w:rPr>
        <w:t xml:space="preserve"> Lokalowych dla Dzielnic</w:t>
      </w:r>
      <w:r w:rsidR="0048520A" w:rsidRPr="006228E5">
        <w:rPr>
          <w:rFonts w:eastAsia="Times New Roman" w:cstheme="minorHAnsi"/>
          <w:szCs w:val="20"/>
          <w:lang w:eastAsia="pl-PL"/>
        </w:rPr>
        <w:t>y Praga-Północ m.st. Warszawy,</w:t>
      </w:r>
      <w:r w:rsidR="002834E4" w:rsidRPr="006228E5">
        <w:rPr>
          <w:rFonts w:eastAsia="Times New Roman" w:cstheme="minorHAnsi"/>
          <w:szCs w:val="20"/>
          <w:lang w:eastAsia="pl-PL"/>
        </w:rPr>
        <w:t xml:space="preserve"> który przedstawia </w:t>
      </w:r>
      <w:r w:rsidR="0048520A" w:rsidRPr="006228E5">
        <w:rPr>
          <w:rFonts w:eastAsia="Times New Roman" w:cstheme="minorHAnsi"/>
          <w:szCs w:val="20"/>
          <w:lang w:eastAsia="pl-PL"/>
        </w:rPr>
        <w:t>sprawy do zaopiniowania wraz z wnioskami</w:t>
      </w:r>
      <w:r w:rsidR="002834E4" w:rsidRPr="006228E5">
        <w:rPr>
          <w:rFonts w:eastAsia="Times New Roman" w:cstheme="minorHAnsi"/>
          <w:szCs w:val="20"/>
          <w:lang w:eastAsia="pl-PL"/>
        </w:rPr>
        <w:t xml:space="preserve"> po przeprowadzeniu analizy, o której mowa w</w:t>
      </w:r>
      <w:r w:rsidR="0010227E" w:rsidRPr="006228E5">
        <w:rPr>
          <w:rFonts w:eastAsia="Times New Roman" w:cstheme="minorHAnsi"/>
          <w:szCs w:val="20"/>
          <w:lang w:eastAsia="pl-PL"/>
        </w:rPr>
        <w:t xml:space="preserve"> § 32 uchwały.</w:t>
      </w:r>
    </w:p>
    <w:p w:rsidR="0010227E" w:rsidRPr="00FB4670" w:rsidRDefault="0010227E" w:rsidP="00FB467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W posiedzeniach Komisji mogą brać udział</w:t>
      </w:r>
      <w:r w:rsidR="00D513F6">
        <w:rPr>
          <w:rFonts w:eastAsia="Times New Roman" w:cstheme="minorHAnsi"/>
          <w:szCs w:val="20"/>
          <w:lang w:eastAsia="pl-PL"/>
        </w:rPr>
        <w:t xml:space="preserve"> członkowie Zarządu Dzielnicy Praga-Północ m.st. Warszawy oraz osoby</w:t>
      </w:r>
      <w:r w:rsidRPr="00FB4670">
        <w:rPr>
          <w:rFonts w:eastAsia="Times New Roman" w:cstheme="minorHAnsi"/>
          <w:szCs w:val="20"/>
          <w:lang w:eastAsia="pl-PL"/>
        </w:rPr>
        <w:t xml:space="preserve"> zaproszone przez Przewodniczącego Komisji, bez prawa udziału w głosowaniu</w:t>
      </w:r>
      <w:r w:rsidR="00060591">
        <w:rPr>
          <w:rFonts w:eastAsia="Times New Roman" w:cstheme="minorHAnsi"/>
          <w:szCs w:val="20"/>
          <w:lang w:eastAsia="pl-PL"/>
        </w:rPr>
        <w:t>, których obecność jest merytorycznie uzasadniona</w:t>
      </w:r>
      <w:r w:rsidRPr="00FB4670">
        <w:rPr>
          <w:rFonts w:eastAsia="Times New Roman" w:cstheme="minorHAnsi"/>
          <w:szCs w:val="20"/>
          <w:lang w:eastAsia="pl-PL"/>
        </w:rPr>
        <w:t xml:space="preserve">. </w:t>
      </w:r>
    </w:p>
    <w:p w:rsidR="00E10123" w:rsidRPr="00FB4670" w:rsidRDefault="00E10123" w:rsidP="00FB4670">
      <w:pPr>
        <w:spacing w:after="0" w:line="360" w:lineRule="auto"/>
        <w:rPr>
          <w:rFonts w:eastAsia="Times New Roman" w:cstheme="minorHAnsi"/>
          <w:szCs w:val="20"/>
          <w:lang w:eastAsia="pl-PL"/>
        </w:rPr>
      </w:pPr>
    </w:p>
    <w:p w:rsidR="0010227E" w:rsidRDefault="0010227E" w:rsidP="00FB4670">
      <w:pPr>
        <w:spacing w:after="0" w:line="360" w:lineRule="auto"/>
        <w:jc w:val="center"/>
        <w:rPr>
          <w:rFonts w:eastAsia="Times New Roman" w:cstheme="minorHAnsi"/>
          <w:szCs w:val="20"/>
          <w:lang w:eastAsia="pl-PL"/>
        </w:rPr>
      </w:pPr>
      <w:r w:rsidRPr="00FB4670">
        <w:rPr>
          <w:rFonts w:eastAsia="Times New Roman" w:cstheme="minorHAnsi"/>
          <w:szCs w:val="20"/>
          <w:lang w:eastAsia="pl-PL"/>
        </w:rPr>
        <w:t>§ 5</w:t>
      </w:r>
    </w:p>
    <w:p w:rsidR="00D47785" w:rsidRDefault="008F3E4C" w:rsidP="00D47785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Rozstrzygnięcia </w:t>
      </w:r>
      <w:r w:rsidR="00D47785">
        <w:rPr>
          <w:rFonts w:eastAsia="Times New Roman" w:cstheme="minorHAnsi"/>
          <w:szCs w:val="20"/>
          <w:lang w:eastAsia="pl-PL"/>
        </w:rPr>
        <w:t>Komisji zapadają zwykłą większością głosów</w:t>
      </w:r>
      <w:r w:rsidR="00DF5136">
        <w:rPr>
          <w:rFonts w:eastAsia="Times New Roman" w:cstheme="minorHAnsi"/>
          <w:szCs w:val="20"/>
          <w:lang w:eastAsia="pl-PL"/>
        </w:rPr>
        <w:t>,</w:t>
      </w:r>
      <w:r w:rsidR="00D47785">
        <w:rPr>
          <w:rFonts w:eastAsia="Times New Roman" w:cstheme="minorHAnsi"/>
          <w:szCs w:val="20"/>
          <w:lang w:eastAsia="pl-PL"/>
        </w:rPr>
        <w:t xml:space="preserve"> </w:t>
      </w:r>
      <w:r w:rsidR="00AD672D">
        <w:rPr>
          <w:rFonts w:eastAsia="Times New Roman" w:cstheme="minorHAnsi"/>
          <w:szCs w:val="20"/>
          <w:lang w:eastAsia="pl-PL"/>
        </w:rPr>
        <w:t>w obecności prz</w:t>
      </w:r>
      <w:r w:rsidR="0016767B">
        <w:rPr>
          <w:rFonts w:eastAsia="Times New Roman" w:cstheme="minorHAnsi"/>
          <w:szCs w:val="20"/>
          <w:lang w:eastAsia="pl-PL"/>
        </w:rPr>
        <w:t>ynajmniej połowy składu Komisji, w głosowaniu jawnym.</w:t>
      </w:r>
    </w:p>
    <w:p w:rsidR="00C2566E" w:rsidRDefault="00DF5136" w:rsidP="00D47785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Każdy członek </w:t>
      </w:r>
      <w:r w:rsidR="00C2566E">
        <w:rPr>
          <w:rFonts w:eastAsia="Times New Roman" w:cstheme="minorHAnsi"/>
          <w:szCs w:val="20"/>
          <w:lang w:eastAsia="pl-PL"/>
        </w:rPr>
        <w:t xml:space="preserve">Komisji </w:t>
      </w:r>
      <w:r>
        <w:rPr>
          <w:rFonts w:eastAsia="Times New Roman" w:cstheme="minorHAnsi"/>
          <w:szCs w:val="20"/>
          <w:lang w:eastAsia="pl-PL"/>
        </w:rPr>
        <w:t xml:space="preserve">oraz osoby, które uczestniczyły w posiedzeniu </w:t>
      </w:r>
      <w:r w:rsidR="00C2566E">
        <w:rPr>
          <w:rFonts w:eastAsia="Times New Roman" w:cstheme="minorHAnsi"/>
          <w:szCs w:val="20"/>
          <w:lang w:eastAsia="pl-PL"/>
        </w:rPr>
        <w:t xml:space="preserve">są </w:t>
      </w:r>
      <w:r>
        <w:rPr>
          <w:rFonts w:eastAsia="Times New Roman" w:cstheme="minorHAnsi"/>
          <w:szCs w:val="20"/>
          <w:lang w:eastAsia="pl-PL"/>
        </w:rPr>
        <w:t>obowiązane do nieujawniania informacji, o których dowiedzieli się podczas posiedzenia</w:t>
      </w:r>
      <w:r w:rsidR="00A92AB6">
        <w:rPr>
          <w:rFonts w:eastAsia="Times New Roman" w:cstheme="minorHAnsi"/>
          <w:szCs w:val="20"/>
          <w:lang w:eastAsia="pl-PL"/>
        </w:rPr>
        <w:t xml:space="preserve"> oraz do przestrzegania przepisów oraz zasad przetwarzania i ochrony danych osobowych, które obowiązują w Urzędzie m.st. Warszawy.</w:t>
      </w:r>
    </w:p>
    <w:p w:rsidR="006228E5" w:rsidRDefault="00C2566E" w:rsidP="00D47785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Protokół z posiedzenia </w:t>
      </w:r>
      <w:r w:rsidR="009343FC">
        <w:rPr>
          <w:rFonts w:eastAsia="Times New Roman" w:cstheme="minorHAnsi"/>
          <w:szCs w:val="20"/>
          <w:lang w:eastAsia="pl-PL"/>
        </w:rPr>
        <w:t xml:space="preserve">podpisuje </w:t>
      </w:r>
      <w:r>
        <w:rPr>
          <w:rFonts w:eastAsia="Times New Roman" w:cstheme="minorHAnsi"/>
          <w:szCs w:val="20"/>
          <w:lang w:eastAsia="pl-PL"/>
        </w:rPr>
        <w:t>Przewodniczący Komisji lub osoba, która przewodniczyła posiedzeniu.</w:t>
      </w:r>
      <w:r w:rsidR="00E75247">
        <w:rPr>
          <w:rFonts w:eastAsia="Times New Roman" w:cstheme="minorHAnsi"/>
          <w:szCs w:val="20"/>
          <w:lang w:eastAsia="pl-PL"/>
        </w:rPr>
        <w:t xml:space="preserve"> </w:t>
      </w:r>
    </w:p>
    <w:p w:rsidR="00C2566E" w:rsidRPr="00D47785" w:rsidRDefault="00E75247" w:rsidP="00D47785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Protokół przechowywany jest w </w:t>
      </w:r>
      <w:r w:rsidR="006228E5">
        <w:rPr>
          <w:rFonts w:eastAsia="Times New Roman" w:cstheme="minorHAnsi"/>
          <w:szCs w:val="20"/>
          <w:lang w:eastAsia="pl-PL"/>
        </w:rPr>
        <w:t>Wydziale Zasobów Lokalowych</w:t>
      </w:r>
      <w:r w:rsidR="00584680">
        <w:rPr>
          <w:rFonts w:eastAsia="Times New Roman" w:cstheme="minorHAnsi"/>
          <w:szCs w:val="20"/>
          <w:lang w:eastAsia="pl-PL"/>
        </w:rPr>
        <w:t xml:space="preserve"> dla Dzielnicy Praga-Północ m.st. Warszawy.</w:t>
      </w:r>
    </w:p>
    <w:sectPr w:rsidR="00C2566E" w:rsidRPr="00D4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306"/>
    <w:multiLevelType w:val="hybridMultilevel"/>
    <w:tmpl w:val="B34AB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85E"/>
    <w:multiLevelType w:val="hybridMultilevel"/>
    <w:tmpl w:val="5D24A7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147013"/>
    <w:multiLevelType w:val="hybridMultilevel"/>
    <w:tmpl w:val="AE323CEE"/>
    <w:lvl w:ilvl="0" w:tplc="98E4C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348D9"/>
    <w:multiLevelType w:val="hybridMultilevel"/>
    <w:tmpl w:val="15D012EC"/>
    <w:lvl w:ilvl="0" w:tplc="07DE4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06F73"/>
    <w:multiLevelType w:val="hybridMultilevel"/>
    <w:tmpl w:val="29BE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2DA2"/>
    <w:multiLevelType w:val="hybridMultilevel"/>
    <w:tmpl w:val="75BE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39FC"/>
    <w:multiLevelType w:val="hybridMultilevel"/>
    <w:tmpl w:val="7632E324"/>
    <w:lvl w:ilvl="0" w:tplc="6C962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E4237"/>
    <w:multiLevelType w:val="hybridMultilevel"/>
    <w:tmpl w:val="520A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84446">
      <w:start w:val="1"/>
      <w:numFmt w:val="lowerLetter"/>
      <w:lvlText w:val="%2)"/>
      <w:lvlJc w:val="left"/>
      <w:pPr>
        <w:ind w:left="1815" w:hanging="7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C2DCD"/>
    <w:multiLevelType w:val="hybridMultilevel"/>
    <w:tmpl w:val="7E2601E2"/>
    <w:lvl w:ilvl="0" w:tplc="64D83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C7C4C"/>
    <w:multiLevelType w:val="hybridMultilevel"/>
    <w:tmpl w:val="2A985F52"/>
    <w:lvl w:ilvl="0" w:tplc="6C962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283C7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00D83"/>
    <w:multiLevelType w:val="hybridMultilevel"/>
    <w:tmpl w:val="29E22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3264"/>
    <w:multiLevelType w:val="hybridMultilevel"/>
    <w:tmpl w:val="A2F2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1DE1"/>
    <w:multiLevelType w:val="hybridMultilevel"/>
    <w:tmpl w:val="E7B2371C"/>
    <w:lvl w:ilvl="0" w:tplc="6C962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2FC3"/>
    <w:multiLevelType w:val="hybridMultilevel"/>
    <w:tmpl w:val="D5106B58"/>
    <w:lvl w:ilvl="0" w:tplc="6C962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E83A0C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4873C9"/>
    <w:multiLevelType w:val="hybridMultilevel"/>
    <w:tmpl w:val="DC3687DE"/>
    <w:lvl w:ilvl="0" w:tplc="2F380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47054F"/>
    <w:multiLevelType w:val="hybridMultilevel"/>
    <w:tmpl w:val="902A1F20"/>
    <w:lvl w:ilvl="0" w:tplc="64D83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250CB9"/>
    <w:multiLevelType w:val="hybridMultilevel"/>
    <w:tmpl w:val="CE6A6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64A6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FF1266"/>
    <w:multiLevelType w:val="hybridMultilevel"/>
    <w:tmpl w:val="84260F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231C4"/>
    <w:multiLevelType w:val="hybridMultilevel"/>
    <w:tmpl w:val="45705B0A"/>
    <w:lvl w:ilvl="0" w:tplc="E33AA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C093C"/>
    <w:multiLevelType w:val="hybridMultilevel"/>
    <w:tmpl w:val="C880612E"/>
    <w:lvl w:ilvl="0" w:tplc="6C962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7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18"/>
  </w:num>
  <w:num w:numId="13">
    <w:abstractNumId w:val="14"/>
  </w:num>
  <w:num w:numId="14">
    <w:abstractNumId w:val="7"/>
  </w:num>
  <w:num w:numId="15">
    <w:abstractNumId w:val="3"/>
  </w:num>
  <w:num w:numId="16">
    <w:abstractNumId w:val="6"/>
  </w:num>
  <w:num w:numId="17">
    <w:abstractNumId w:val="12"/>
  </w:num>
  <w:num w:numId="18">
    <w:abstractNumId w:val="10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C3"/>
    <w:rsid w:val="00021C8B"/>
    <w:rsid w:val="00060591"/>
    <w:rsid w:val="000A1ABC"/>
    <w:rsid w:val="000C35F1"/>
    <w:rsid w:val="0010227E"/>
    <w:rsid w:val="00110BCD"/>
    <w:rsid w:val="00122A4B"/>
    <w:rsid w:val="00161E64"/>
    <w:rsid w:val="0016767B"/>
    <w:rsid w:val="001C26C0"/>
    <w:rsid w:val="00207282"/>
    <w:rsid w:val="00254742"/>
    <w:rsid w:val="00266DC3"/>
    <w:rsid w:val="0028343C"/>
    <w:rsid w:val="002834E4"/>
    <w:rsid w:val="002F5FB2"/>
    <w:rsid w:val="00451277"/>
    <w:rsid w:val="00462FEE"/>
    <w:rsid w:val="0047309A"/>
    <w:rsid w:val="0048520A"/>
    <w:rsid w:val="005531D8"/>
    <w:rsid w:val="00584680"/>
    <w:rsid w:val="00594C60"/>
    <w:rsid w:val="006228E5"/>
    <w:rsid w:val="0063587C"/>
    <w:rsid w:val="006675DB"/>
    <w:rsid w:val="00672558"/>
    <w:rsid w:val="006C21BB"/>
    <w:rsid w:val="00750F7C"/>
    <w:rsid w:val="00775EF3"/>
    <w:rsid w:val="008219FE"/>
    <w:rsid w:val="00887336"/>
    <w:rsid w:val="008D265A"/>
    <w:rsid w:val="008F3E4C"/>
    <w:rsid w:val="00903959"/>
    <w:rsid w:val="00927EAE"/>
    <w:rsid w:val="009343FC"/>
    <w:rsid w:val="00951A89"/>
    <w:rsid w:val="009B3D62"/>
    <w:rsid w:val="009B5608"/>
    <w:rsid w:val="00A92AB6"/>
    <w:rsid w:val="00AD672D"/>
    <w:rsid w:val="00AD6AFB"/>
    <w:rsid w:val="00AF0AAC"/>
    <w:rsid w:val="00B2571C"/>
    <w:rsid w:val="00B40029"/>
    <w:rsid w:val="00B54321"/>
    <w:rsid w:val="00B82C46"/>
    <w:rsid w:val="00B962EC"/>
    <w:rsid w:val="00C2566E"/>
    <w:rsid w:val="00C3282E"/>
    <w:rsid w:val="00CC0BE8"/>
    <w:rsid w:val="00D467D9"/>
    <w:rsid w:val="00D47785"/>
    <w:rsid w:val="00D513F6"/>
    <w:rsid w:val="00D64DE3"/>
    <w:rsid w:val="00D83C55"/>
    <w:rsid w:val="00DA706F"/>
    <w:rsid w:val="00DD2DE3"/>
    <w:rsid w:val="00DF5136"/>
    <w:rsid w:val="00E10123"/>
    <w:rsid w:val="00E12A25"/>
    <w:rsid w:val="00E20FBB"/>
    <w:rsid w:val="00E75247"/>
    <w:rsid w:val="00E853EE"/>
    <w:rsid w:val="00ED10A0"/>
    <w:rsid w:val="00FB4670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52094-0505-4232-88A3-BDA6284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Michalicka Dorota</dc:creator>
  <cp:keywords/>
  <dc:description/>
  <cp:lastModifiedBy>Oracka Dorota</cp:lastModifiedBy>
  <cp:revision>2</cp:revision>
  <dcterms:created xsi:type="dcterms:W3CDTF">2024-07-11T08:17:00Z</dcterms:created>
  <dcterms:modified xsi:type="dcterms:W3CDTF">2024-07-11T08:17:00Z</dcterms:modified>
</cp:coreProperties>
</file>